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37133200" w:rsidR="00EC6F8D" w:rsidRPr="00BB6EEC" w:rsidRDefault="005C792B" w:rsidP="00EC6F8D">
      <w:pPr>
        <w:spacing w:before="1200"/>
        <w:jc w:val="center"/>
        <w:rPr>
          <w:rFonts w:ascii="Arial" w:hAnsi="Arial" w:cs="Arial"/>
          <w:b/>
          <w:sz w:val="22"/>
          <w:szCs w:val="22"/>
          <w:lang w:val="en-GB"/>
        </w:rPr>
      </w:pPr>
      <w:r w:rsidRPr="005C792B">
        <w:rPr>
          <w:rFonts w:ascii="Arial" w:hAnsi="Arial" w:cs="Arial"/>
          <w:b/>
          <w:sz w:val="22"/>
          <w:szCs w:val="22"/>
          <w:lang w:val="en-GB"/>
        </w:rPr>
        <w:t>GENERAL ASSEMBLY OF THE STATES PARTIES TO THE CONVENTION</w:t>
      </w:r>
    </w:p>
    <w:p w14:paraId="2E1CD4B4" w14:textId="1F59B9D4" w:rsidR="00EC6F8D" w:rsidRPr="00BB6EEC" w:rsidRDefault="005C792B"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Tenth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05D2C62D" w:rsidR="00B2172B" w:rsidRPr="00BB6EEC" w:rsidRDefault="005C792B" w:rsidP="00B2172B">
      <w:pPr>
        <w:jc w:val="center"/>
        <w:rPr>
          <w:rFonts w:ascii="Arial" w:hAnsi="Arial" w:cs="Arial"/>
          <w:b/>
          <w:sz w:val="22"/>
          <w:szCs w:val="22"/>
          <w:lang w:val="en-GB"/>
        </w:rPr>
      </w:pPr>
      <w:r w:rsidRPr="005C792B">
        <w:rPr>
          <w:rFonts w:ascii="Arial" w:hAnsi="Arial" w:cs="Arial"/>
          <w:b/>
          <w:sz w:val="22"/>
          <w:szCs w:val="22"/>
          <w:lang w:val="en-GB"/>
        </w:rPr>
        <w:t>UNESCO Headquarters, Room I</w:t>
      </w:r>
    </w:p>
    <w:p w14:paraId="52EA6D50" w14:textId="4112CC87" w:rsidR="00B2172B" w:rsidRPr="00BB6EEC" w:rsidRDefault="0054535F" w:rsidP="00B2172B">
      <w:pPr>
        <w:jc w:val="center"/>
        <w:rPr>
          <w:rFonts w:ascii="Arial" w:hAnsi="Arial" w:cs="Arial"/>
          <w:b/>
          <w:sz w:val="22"/>
          <w:szCs w:val="22"/>
          <w:lang w:val="en-GB"/>
        </w:rPr>
      </w:pPr>
      <w:r>
        <w:rPr>
          <w:rFonts w:ascii="Arial" w:hAnsi="Arial" w:cs="Arial"/>
          <w:b/>
          <w:sz w:val="22"/>
          <w:szCs w:val="22"/>
          <w:lang w:val="en-GB"/>
        </w:rPr>
        <w:t>11</w:t>
      </w:r>
      <w:r w:rsidR="0026221A" w:rsidRPr="00BB6EEC">
        <w:rPr>
          <w:rFonts w:ascii="Arial" w:hAnsi="Arial" w:cs="Arial"/>
          <w:b/>
          <w:sz w:val="22"/>
          <w:szCs w:val="22"/>
          <w:lang w:val="en-GB"/>
        </w:rPr>
        <w:t xml:space="preserve"> to </w:t>
      </w:r>
      <w:r w:rsidR="006D5E64">
        <w:rPr>
          <w:rFonts w:ascii="Arial" w:hAnsi="Arial" w:cs="Arial"/>
          <w:b/>
          <w:sz w:val="22"/>
          <w:szCs w:val="22"/>
          <w:lang w:val="en-GB"/>
        </w:rPr>
        <w:t xml:space="preserve">12 </w:t>
      </w:r>
      <w:r>
        <w:rPr>
          <w:rFonts w:ascii="Arial" w:hAnsi="Arial" w:cs="Arial"/>
          <w:b/>
          <w:sz w:val="22"/>
          <w:szCs w:val="22"/>
          <w:lang w:val="en-GB"/>
        </w:rPr>
        <w:t>June</w:t>
      </w:r>
      <w:r w:rsidR="00B2172B" w:rsidRPr="00BB6EEC">
        <w:rPr>
          <w:rFonts w:ascii="Arial" w:hAnsi="Arial" w:cs="Arial"/>
          <w:b/>
          <w:sz w:val="22"/>
          <w:szCs w:val="22"/>
          <w:lang w:val="en-GB"/>
        </w:rPr>
        <w:t xml:space="preserve"> 202</w:t>
      </w:r>
      <w:r w:rsidR="005C792B">
        <w:rPr>
          <w:rFonts w:ascii="Arial" w:hAnsi="Arial" w:cs="Arial"/>
          <w:b/>
          <w:sz w:val="22"/>
          <w:szCs w:val="22"/>
          <w:lang w:val="en-GB"/>
        </w:rPr>
        <w:t>4</w:t>
      </w:r>
    </w:p>
    <w:p w14:paraId="0365203A" w14:textId="3F2CCF80"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BF724B">
        <w:rPr>
          <w:rFonts w:ascii="Arial" w:hAnsi="Arial" w:cs="Arial"/>
          <w:b/>
          <w:sz w:val="22"/>
          <w:szCs w:val="22"/>
          <w:u w:val="single"/>
          <w:lang w:val="en-GB"/>
        </w:rPr>
        <w:t>6</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5CA1C2B5" w:rsidR="004A2875" w:rsidRPr="00BB6EEC" w:rsidRDefault="00BF724B" w:rsidP="004A2875">
      <w:pPr>
        <w:pStyle w:val="Sansinterligne2"/>
        <w:spacing w:after="960"/>
        <w:jc w:val="center"/>
        <w:rPr>
          <w:rFonts w:ascii="Arial" w:hAnsi="Arial" w:cs="Arial"/>
          <w:bCs/>
          <w:sz w:val="22"/>
          <w:szCs w:val="22"/>
          <w:lang w:val="en-GB"/>
        </w:rPr>
      </w:pPr>
      <w:r>
        <w:rPr>
          <w:rFonts w:ascii="Arial" w:hAnsi="Arial" w:cs="Arial"/>
          <w:b/>
          <w:sz w:val="22"/>
          <w:szCs w:val="22"/>
          <w:lang w:val="en-GB"/>
        </w:rPr>
        <w:t>Report by the Secretariat on its activities (January 2022 to December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BF724B"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612E5DE6" w14:textId="47536C45" w:rsidR="00BB6EEC" w:rsidRPr="00BB6EEC" w:rsidRDefault="00BF724B" w:rsidP="00BB6EEC">
            <w:pPr>
              <w:pStyle w:val="Sansinterligne1"/>
              <w:jc w:val="both"/>
              <w:rPr>
                <w:rFonts w:ascii="Arial" w:hAnsi="Arial" w:cs="Arial"/>
                <w:bCs/>
                <w:sz w:val="22"/>
                <w:szCs w:val="22"/>
                <w:lang w:val="en-GB"/>
              </w:rPr>
            </w:pPr>
            <w:r w:rsidRPr="00BF724B">
              <w:rPr>
                <w:rFonts w:ascii="Arial" w:hAnsi="Arial" w:cs="Arial"/>
                <w:sz w:val="22"/>
                <w:szCs w:val="22"/>
                <w:lang w:val="en-GB"/>
              </w:rPr>
              <w:t xml:space="preserve">This document provides an overview of the activities undertaken by the Secretariat of the 2003 Convention from 1 January </w:t>
            </w:r>
            <w:r>
              <w:rPr>
                <w:rFonts w:ascii="Arial" w:hAnsi="Arial" w:cs="Arial"/>
                <w:sz w:val="22"/>
                <w:szCs w:val="22"/>
                <w:lang w:val="en-GB"/>
              </w:rPr>
              <w:t>2022</w:t>
            </w:r>
            <w:r w:rsidRPr="00BF724B">
              <w:rPr>
                <w:rFonts w:ascii="Arial" w:hAnsi="Arial" w:cs="Arial"/>
                <w:sz w:val="22"/>
                <w:szCs w:val="22"/>
                <w:lang w:val="en-GB"/>
              </w:rPr>
              <w:t xml:space="preserve"> to 31 December </w:t>
            </w:r>
            <w:r>
              <w:rPr>
                <w:rFonts w:ascii="Arial" w:hAnsi="Arial" w:cs="Arial"/>
                <w:sz w:val="22"/>
                <w:szCs w:val="22"/>
                <w:lang w:val="en-GB"/>
              </w:rPr>
              <w:t>2023.</w:t>
            </w:r>
          </w:p>
          <w:p w14:paraId="290310E8" w14:textId="539E1417"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70228F">
              <w:rPr>
                <w:rFonts w:ascii="Arial" w:hAnsi="Arial" w:cs="Arial"/>
                <w:bCs/>
                <w:sz w:val="22"/>
                <w:szCs w:val="22"/>
                <w:lang w:val="en-GB"/>
              </w:rPr>
              <w:t>22</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C62585F" w14:textId="1FBD00B9" w:rsidR="00F70CC5" w:rsidRPr="00BB6EEC" w:rsidRDefault="00FD4BC8" w:rsidP="00F70CC5">
      <w:pPr>
        <w:pStyle w:val="COMPara"/>
        <w:numPr>
          <w:ilvl w:val="0"/>
          <w:numId w:val="0"/>
        </w:numPr>
        <w:spacing w:before="240"/>
        <w:jc w:val="both"/>
        <w:rPr>
          <w:b/>
          <w:bCs/>
        </w:rPr>
      </w:pPr>
      <w:bookmarkStart w:id="0" w:name="_Hlk124351255"/>
      <w:r w:rsidRPr="00BB6EEC">
        <w:rPr>
          <w:b/>
          <w:bCs/>
        </w:rPr>
        <w:lastRenderedPageBreak/>
        <w:t>Background</w:t>
      </w:r>
    </w:p>
    <w:bookmarkEnd w:id="0"/>
    <w:p w14:paraId="5FA2B7DB" w14:textId="0FC3E965" w:rsidR="0057439C" w:rsidRPr="00495090" w:rsidRDefault="004A38CF" w:rsidP="00495090">
      <w:pPr>
        <w:pStyle w:val="COMPara"/>
        <w:ind w:left="567" w:hanging="567"/>
        <w:jc w:val="both"/>
        <w:rPr>
          <w:bCs/>
          <w:lang w:val="en-US"/>
        </w:rPr>
      </w:pPr>
      <w:r w:rsidRPr="004A38CF">
        <w:t xml:space="preserve">The present report focuses on the work of the Secretariat of the 2003 Convention from January </w:t>
      </w:r>
      <w:r>
        <w:t>2022</w:t>
      </w:r>
      <w:r w:rsidRPr="004A38CF">
        <w:t xml:space="preserve"> to December </w:t>
      </w:r>
      <w:r>
        <w:t>2023</w:t>
      </w:r>
      <w:r w:rsidR="00804D8B">
        <w:t xml:space="preserve"> pursuant to Resolution </w:t>
      </w:r>
      <w:hyperlink r:id="rId8" w:history="1">
        <w:r w:rsidR="00804D8B" w:rsidRPr="00804D8B">
          <w:rPr>
            <w:rStyle w:val="Lienhypertexte"/>
          </w:rPr>
          <w:t>9.GA 6</w:t>
        </w:r>
      </w:hyperlink>
      <w:r w:rsidRPr="004A38CF">
        <w:t xml:space="preserve">. </w:t>
      </w:r>
      <w:r w:rsidR="00AD228A" w:rsidRPr="00495090">
        <w:rPr>
          <w:bCs/>
          <w:lang w:val="en-US"/>
        </w:rPr>
        <w:t xml:space="preserve">The reporting period is aligned with UNESCO’s other reporting processes, namely the </w:t>
      </w:r>
      <w:hyperlink r:id="rId9" w:history="1">
        <w:r w:rsidR="00AD228A" w:rsidRPr="00495090">
          <w:rPr>
            <w:rStyle w:val="Lienhypertexte"/>
            <w:bCs/>
            <w:lang w:val="en-US"/>
          </w:rPr>
          <w:t>Director-General’s report</w:t>
        </w:r>
      </w:hyperlink>
      <w:r w:rsidR="00AD228A" w:rsidRPr="00495090">
        <w:rPr>
          <w:bCs/>
          <w:lang w:val="en-US"/>
        </w:rPr>
        <w:t xml:space="preserve"> on the execution of </w:t>
      </w:r>
      <w:r w:rsidR="00F55CB3" w:rsidRPr="00495090">
        <w:rPr>
          <w:bCs/>
          <w:lang w:val="en-US"/>
        </w:rPr>
        <w:t xml:space="preserve">the </w:t>
      </w:r>
      <w:r w:rsidR="00945797" w:rsidRPr="00495090">
        <w:rPr>
          <w:bCs/>
          <w:lang w:val="en-US"/>
        </w:rPr>
        <w:t>programme adopted by the General Conference (EX/4).</w:t>
      </w:r>
      <w:r w:rsidR="00495090">
        <w:rPr>
          <w:bCs/>
          <w:lang w:val="en-US"/>
        </w:rPr>
        <w:t xml:space="preserve"> </w:t>
      </w:r>
      <w:hyperlink w:anchor="AnnexI" w:history="1">
        <w:r w:rsidR="00AD228A" w:rsidRPr="00115225">
          <w:rPr>
            <w:rStyle w:val="Lienhypertexte"/>
            <w:bCs/>
            <w:lang w:val="en-US"/>
          </w:rPr>
          <w:t>Annex I</w:t>
        </w:r>
      </w:hyperlink>
      <w:r w:rsidR="00AD228A" w:rsidRPr="00495090">
        <w:rPr>
          <w:bCs/>
          <w:lang w:val="en-US"/>
        </w:rPr>
        <w:t xml:space="preserve"> demonstrates the contribution of the Secretariat’s work to the 41C/5 results framework and, more specifically, to the performance indicators </w:t>
      </w:r>
      <w:r w:rsidR="00AD228A" w:rsidRPr="00495090">
        <w:rPr>
          <w:bCs/>
          <w:iCs/>
          <w:lang w:val="en-US"/>
        </w:rPr>
        <w:t xml:space="preserve">under the Outcome </w:t>
      </w:r>
      <w:proofErr w:type="gramStart"/>
      <w:r w:rsidR="00AD228A" w:rsidRPr="00495090">
        <w:rPr>
          <w:bCs/>
          <w:iCs/>
          <w:lang w:val="en-US"/>
        </w:rPr>
        <w:t>5.CLT</w:t>
      </w:r>
      <w:proofErr w:type="gramEnd"/>
      <w:r w:rsidR="00AD228A" w:rsidRPr="00495090">
        <w:rPr>
          <w:bCs/>
          <w:iCs/>
          <w:lang w:val="en-US"/>
        </w:rPr>
        <w:t xml:space="preserve">4 of Major Programme IV. </w:t>
      </w:r>
      <w:hyperlink r:id="rId10" w:history="1">
        <w:r w:rsidR="00495090" w:rsidRPr="00B241E7">
          <w:rPr>
            <w:rStyle w:val="Lienhypertexte"/>
            <w:bCs/>
            <w:iCs/>
            <w:lang w:val="en-US"/>
          </w:rPr>
          <w:t>Annex II</w:t>
        </w:r>
      </w:hyperlink>
      <w:r w:rsidR="00495090" w:rsidRPr="00495090">
        <w:rPr>
          <w:bCs/>
          <w:iCs/>
          <w:lang w:val="en-US"/>
        </w:rPr>
        <w:t xml:space="preserve"> provides </w:t>
      </w:r>
      <w:r w:rsidR="00BC7D36">
        <w:rPr>
          <w:bCs/>
          <w:iCs/>
          <w:lang w:val="en-US"/>
        </w:rPr>
        <w:t xml:space="preserve">a </w:t>
      </w:r>
      <w:r w:rsidR="00495090" w:rsidRPr="00495090">
        <w:rPr>
          <w:bCs/>
          <w:iCs/>
          <w:lang w:val="en-US"/>
        </w:rPr>
        <w:t xml:space="preserve">follow-up on the twelve recommendations of the </w:t>
      </w:r>
      <w:hyperlink r:id="rId11" w:history="1">
        <w:r w:rsidR="00495090" w:rsidRPr="00B241E7">
          <w:rPr>
            <w:rStyle w:val="Lienhypertexte"/>
            <w:bCs/>
            <w:iCs/>
            <w:lang w:val="en-US"/>
          </w:rPr>
          <w:t>2021 IOS Evaluation</w:t>
        </w:r>
      </w:hyperlink>
      <w:r w:rsidR="00495090" w:rsidRPr="00495090">
        <w:rPr>
          <w:bCs/>
          <w:iCs/>
          <w:lang w:val="en-US"/>
        </w:rPr>
        <w:t xml:space="preserve"> of UNESCO’s action in the framework of the 2003 Convention</w:t>
      </w:r>
      <w:r w:rsidR="00495090">
        <w:rPr>
          <w:rStyle w:val="Appelnotedebasdep"/>
          <w:bCs/>
          <w:iCs/>
          <w:lang w:val="en-US"/>
        </w:rPr>
        <w:footnoteReference w:id="1"/>
      </w:r>
      <w:r w:rsidR="00495090" w:rsidRPr="00495090">
        <w:rPr>
          <w:bCs/>
          <w:iCs/>
          <w:lang w:val="en-US"/>
        </w:rPr>
        <w:t xml:space="preserve">. </w:t>
      </w:r>
      <w:r w:rsidR="00945797" w:rsidRPr="00495090">
        <w:rPr>
          <w:bCs/>
          <w:iCs/>
          <w:lang w:val="en-US"/>
        </w:rPr>
        <w:t xml:space="preserve">The report should </w:t>
      </w:r>
      <w:r w:rsidR="00495090" w:rsidRPr="00495090">
        <w:rPr>
          <w:bCs/>
          <w:iCs/>
          <w:lang w:val="en-US"/>
        </w:rPr>
        <w:t xml:space="preserve">also </w:t>
      </w:r>
      <w:r w:rsidR="00945797" w:rsidRPr="00495090">
        <w:rPr>
          <w:bCs/>
          <w:iCs/>
          <w:lang w:val="en-US"/>
        </w:rPr>
        <w:t xml:space="preserve">be read </w:t>
      </w:r>
      <w:r w:rsidR="00DE6A13" w:rsidRPr="00495090">
        <w:rPr>
          <w:bCs/>
          <w:iCs/>
          <w:lang w:val="en-US"/>
        </w:rPr>
        <w:t>alongside</w:t>
      </w:r>
      <w:r w:rsidR="00945797" w:rsidRPr="00495090">
        <w:rPr>
          <w:bCs/>
          <w:iCs/>
          <w:lang w:val="en-US"/>
        </w:rPr>
        <w:t xml:space="preserve"> the financial report of the Convention’s Fund for the Safeguarding of the Intangible Cultural Heritage</w:t>
      </w:r>
      <w:r w:rsidR="00495090">
        <w:rPr>
          <w:bCs/>
          <w:iCs/>
          <w:lang w:val="en-US"/>
        </w:rPr>
        <w:t xml:space="preserve"> with the same reporting period</w:t>
      </w:r>
      <w:r w:rsidR="002F3502" w:rsidRPr="00495090">
        <w:rPr>
          <w:bCs/>
          <w:iCs/>
          <w:lang w:val="en-US"/>
        </w:rPr>
        <w:t xml:space="preserve"> </w:t>
      </w:r>
      <w:r w:rsidR="00945797" w:rsidRPr="00495090">
        <w:rPr>
          <w:bCs/>
          <w:iCs/>
          <w:lang w:val="en-US"/>
        </w:rPr>
        <w:t xml:space="preserve">(document </w:t>
      </w:r>
      <w:hyperlink r:id="rId12" w:history="1">
        <w:r w:rsidR="00622751" w:rsidRPr="00502368">
          <w:rPr>
            <w:rStyle w:val="Lienhypertexte"/>
            <w:bCs/>
            <w:iCs/>
            <w:lang w:val="en-US"/>
          </w:rPr>
          <w:t>LHE/24/10.GA</w:t>
        </w:r>
        <w:r w:rsidR="006E140E" w:rsidRPr="00502368">
          <w:rPr>
            <w:rStyle w:val="Lienhypertexte"/>
            <w:bCs/>
            <w:iCs/>
            <w:lang w:val="en-US"/>
          </w:rPr>
          <w:t>/INF.</w:t>
        </w:r>
        <w:r w:rsidR="00622751" w:rsidRPr="00502368">
          <w:rPr>
            <w:rStyle w:val="Lienhypertexte"/>
            <w:bCs/>
            <w:iCs/>
            <w:lang w:val="en-US"/>
          </w:rPr>
          <w:t>8</w:t>
        </w:r>
      </w:hyperlink>
      <w:r w:rsidR="00945797" w:rsidRPr="00495090">
        <w:rPr>
          <w:bCs/>
          <w:iCs/>
          <w:lang w:val="en-US"/>
        </w:rPr>
        <w:t>).</w:t>
      </w:r>
    </w:p>
    <w:p w14:paraId="20014F4B" w14:textId="69DD801C" w:rsidR="00495090" w:rsidRPr="0001092A" w:rsidRDefault="00B63830" w:rsidP="00495090">
      <w:pPr>
        <w:pStyle w:val="COMPara"/>
        <w:ind w:left="567" w:hanging="567"/>
        <w:jc w:val="both"/>
        <w:rPr>
          <w:bCs/>
          <w:lang w:val="en-US"/>
        </w:rPr>
      </w:pPr>
      <w:r w:rsidRPr="00495090">
        <w:rPr>
          <w:bCs/>
          <w:iCs/>
          <w:lang w:val="en-US"/>
        </w:rPr>
        <w:t xml:space="preserve">The Secretariat’s core activities focused on the international cooperation and assistance mechanisms of the Convention (section </w:t>
      </w:r>
      <w:r w:rsidR="009F438C" w:rsidRPr="00495090">
        <w:rPr>
          <w:bCs/>
          <w:iCs/>
          <w:lang w:val="en-US"/>
        </w:rPr>
        <w:t>I</w:t>
      </w:r>
      <w:r w:rsidRPr="00495090">
        <w:rPr>
          <w:bCs/>
          <w:iCs/>
          <w:lang w:val="en-US"/>
        </w:rPr>
        <w:t xml:space="preserve">), </w:t>
      </w:r>
      <w:r w:rsidR="00BA36C9" w:rsidRPr="00495090">
        <w:rPr>
          <w:bCs/>
          <w:iCs/>
          <w:lang w:val="en-US"/>
        </w:rPr>
        <w:t xml:space="preserve">operational activities </w:t>
      </w:r>
      <w:r w:rsidRPr="00495090">
        <w:rPr>
          <w:bCs/>
          <w:iCs/>
          <w:lang w:val="en-US"/>
        </w:rPr>
        <w:t xml:space="preserve">(section </w:t>
      </w:r>
      <w:r w:rsidR="009F438C" w:rsidRPr="00495090">
        <w:rPr>
          <w:bCs/>
          <w:iCs/>
          <w:lang w:val="en-US"/>
        </w:rPr>
        <w:t>II</w:t>
      </w:r>
      <w:r w:rsidRPr="00495090">
        <w:rPr>
          <w:bCs/>
          <w:iCs/>
          <w:lang w:val="en-US"/>
        </w:rPr>
        <w:t xml:space="preserve">), </w:t>
      </w:r>
      <w:r w:rsidR="00BA36C9" w:rsidRPr="00495090">
        <w:rPr>
          <w:bCs/>
          <w:iCs/>
          <w:lang w:val="en-US"/>
        </w:rPr>
        <w:t>thematic initiatives (section III)</w:t>
      </w:r>
      <w:r w:rsidR="0007636C">
        <w:rPr>
          <w:bCs/>
          <w:iCs/>
          <w:lang w:val="en-US"/>
        </w:rPr>
        <w:t>,</w:t>
      </w:r>
      <w:r w:rsidR="00BA36C9" w:rsidRPr="00495090">
        <w:rPr>
          <w:bCs/>
          <w:iCs/>
          <w:lang w:val="en-US"/>
        </w:rPr>
        <w:t xml:space="preserve"> </w:t>
      </w:r>
      <w:r w:rsidR="00F9513D" w:rsidRPr="00495090">
        <w:rPr>
          <w:bCs/>
          <w:iCs/>
          <w:lang w:val="en-US"/>
        </w:rPr>
        <w:t xml:space="preserve">as well as </w:t>
      </w:r>
      <w:r w:rsidR="00500964">
        <w:rPr>
          <w:bCs/>
          <w:iCs/>
          <w:lang w:val="en-US"/>
        </w:rPr>
        <w:t>partnership</w:t>
      </w:r>
      <w:r w:rsidR="00BC7D36">
        <w:rPr>
          <w:bCs/>
          <w:iCs/>
          <w:lang w:val="en-US"/>
        </w:rPr>
        <w:t>s</w:t>
      </w:r>
      <w:r w:rsidR="00500964">
        <w:rPr>
          <w:bCs/>
          <w:iCs/>
          <w:lang w:val="en-US"/>
        </w:rPr>
        <w:t xml:space="preserve">, </w:t>
      </w:r>
      <w:proofErr w:type="gramStart"/>
      <w:r w:rsidR="006E53E0" w:rsidRPr="00495090">
        <w:rPr>
          <w:bCs/>
          <w:iCs/>
          <w:lang w:val="en-US"/>
        </w:rPr>
        <w:t>communications</w:t>
      </w:r>
      <w:proofErr w:type="gramEnd"/>
      <w:r w:rsidRPr="00495090">
        <w:rPr>
          <w:bCs/>
          <w:iCs/>
          <w:lang w:val="en-US"/>
        </w:rPr>
        <w:t xml:space="preserve"> and outreach (section </w:t>
      </w:r>
      <w:r w:rsidR="009F438C" w:rsidRPr="00495090">
        <w:rPr>
          <w:bCs/>
          <w:iCs/>
          <w:lang w:val="en-US"/>
        </w:rPr>
        <w:t>I</w:t>
      </w:r>
      <w:r w:rsidR="00BA36C9" w:rsidRPr="00495090">
        <w:rPr>
          <w:bCs/>
          <w:iCs/>
          <w:lang w:val="en-US"/>
        </w:rPr>
        <w:t>V</w:t>
      </w:r>
      <w:r w:rsidRPr="00495090">
        <w:rPr>
          <w:bCs/>
          <w:iCs/>
          <w:lang w:val="en-US"/>
        </w:rPr>
        <w:t>)</w:t>
      </w:r>
      <w:r w:rsidR="00F9513D" w:rsidRPr="00495090">
        <w:rPr>
          <w:bCs/>
          <w:iCs/>
          <w:lang w:val="en-US"/>
        </w:rPr>
        <w:t>. The report also in</w:t>
      </w:r>
      <w:r w:rsidR="00A54C7C">
        <w:rPr>
          <w:bCs/>
          <w:iCs/>
          <w:lang w:val="en-US"/>
        </w:rPr>
        <w:t xml:space="preserve">cludes information </w:t>
      </w:r>
      <w:r w:rsidR="00500964">
        <w:rPr>
          <w:bCs/>
          <w:iCs/>
          <w:lang w:val="en-US"/>
        </w:rPr>
        <w:t xml:space="preserve">and consultation points </w:t>
      </w:r>
      <w:r w:rsidR="00A54C7C">
        <w:rPr>
          <w:bCs/>
          <w:iCs/>
          <w:lang w:val="en-US"/>
        </w:rPr>
        <w:t>on the visions for the Convention</w:t>
      </w:r>
      <w:r w:rsidR="00500964">
        <w:rPr>
          <w:bCs/>
          <w:iCs/>
          <w:lang w:val="en-US"/>
        </w:rPr>
        <w:t>,</w:t>
      </w:r>
      <w:r w:rsidR="00A54C7C">
        <w:rPr>
          <w:bCs/>
          <w:iCs/>
          <w:lang w:val="en-US"/>
        </w:rPr>
        <w:t xml:space="preserve"> following the twentieth anniversary of the Convention celebrated in 2023</w:t>
      </w:r>
      <w:r w:rsidR="00424F96" w:rsidRPr="00495090">
        <w:rPr>
          <w:bCs/>
          <w:iCs/>
          <w:lang w:val="en-US"/>
        </w:rPr>
        <w:t xml:space="preserve"> (section V)</w:t>
      </w:r>
      <w:r w:rsidR="0001092A" w:rsidRPr="00495090">
        <w:rPr>
          <w:bCs/>
          <w:iCs/>
          <w:lang w:val="en-US"/>
        </w:rPr>
        <w:t>.</w:t>
      </w:r>
    </w:p>
    <w:p w14:paraId="123B6521" w14:textId="7FFAD90E" w:rsidR="00F70CC5" w:rsidRPr="00BB6EEC" w:rsidRDefault="001C2B87" w:rsidP="00AC18C1">
      <w:pPr>
        <w:pStyle w:val="COMPara"/>
        <w:numPr>
          <w:ilvl w:val="0"/>
          <w:numId w:val="21"/>
        </w:numPr>
        <w:spacing w:before="240"/>
        <w:ind w:left="567" w:hanging="567"/>
        <w:jc w:val="both"/>
        <w:rPr>
          <w:b/>
          <w:bCs/>
        </w:rPr>
      </w:pPr>
      <w:r>
        <w:rPr>
          <w:b/>
          <w:bCs/>
        </w:rPr>
        <w:t>Governance of the Convention: Statutory support</w:t>
      </w:r>
    </w:p>
    <w:p w14:paraId="61BC18B9" w14:textId="22E54D6C" w:rsidR="002873D0" w:rsidRDefault="00BB7C9C" w:rsidP="00B61234">
      <w:pPr>
        <w:pStyle w:val="COMPara"/>
        <w:ind w:left="567" w:hanging="567"/>
        <w:jc w:val="both"/>
      </w:pPr>
      <w:r>
        <w:t>T</w:t>
      </w:r>
      <w:r w:rsidR="002873D0">
        <w:t xml:space="preserve">he Secretariat ensured administrative, logistical and substantive </w:t>
      </w:r>
      <w:r w:rsidR="002873D0" w:rsidRPr="00B61234">
        <w:rPr>
          <w:u w:val="single"/>
        </w:rPr>
        <w:t>support for the governing bodies of the Convention</w:t>
      </w:r>
      <w:r w:rsidR="00D10A66">
        <w:t xml:space="preserve"> by </w:t>
      </w:r>
      <w:r w:rsidR="00D10A66" w:rsidRPr="00887BA9">
        <w:t>organi</w:t>
      </w:r>
      <w:r w:rsidR="00304460">
        <w:t>z</w:t>
      </w:r>
      <w:r w:rsidR="00D10A66" w:rsidRPr="00887BA9">
        <w:t xml:space="preserve">ing </w:t>
      </w:r>
      <w:r w:rsidR="00301EB1" w:rsidRPr="00E32E72">
        <w:t>thirty-three</w:t>
      </w:r>
      <w:r w:rsidR="00D10A66" w:rsidRPr="00887BA9">
        <w:rPr>
          <w:rFonts w:asciiTheme="minorBidi" w:hAnsiTheme="minorBidi" w:cstheme="minorBidi"/>
        </w:rPr>
        <w:t xml:space="preserve"> statutory meetings. </w:t>
      </w:r>
      <w:r w:rsidR="00BC7D36" w:rsidRPr="00887BA9">
        <w:t>T</w:t>
      </w:r>
      <w:r w:rsidR="00D10A66" w:rsidRPr="00887BA9">
        <w:t>he annual Schedule of statutory meetings</w:t>
      </w:r>
      <w:r w:rsidR="00D10A66" w:rsidRPr="00887BA9">
        <w:rPr>
          <w:rStyle w:val="Lienhypertexte"/>
          <w:u w:val="none"/>
        </w:rPr>
        <w:t xml:space="preserve"> </w:t>
      </w:r>
      <w:r w:rsidR="00D10A66" w:rsidRPr="00887BA9">
        <w:t xml:space="preserve">was made available for </w:t>
      </w:r>
      <w:hyperlink r:id="rId13" w:history="1">
        <w:r w:rsidR="00D10A66" w:rsidRPr="00E32E72">
          <w:rPr>
            <w:rStyle w:val="Lienhypertexte"/>
          </w:rPr>
          <w:t>2022</w:t>
        </w:r>
      </w:hyperlink>
      <w:r w:rsidR="00D10A66" w:rsidRPr="00887BA9">
        <w:t xml:space="preserve"> and </w:t>
      </w:r>
      <w:hyperlink r:id="rId14" w:history="1">
        <w:r w:rsidR="00D10A66" w:rsidRPr="00E32E72">
          <w:rPr>
            <w:rStyle w:val="Lienhypertexte"/>
          </w:rPr>
          <w:t>2023</w:t>
        </w:r>
      </w:hyperlink>
      <w:r w:rsidR="00D10A66" w:rsidRPr="00887BA9">
        <w:t xml:space="preserve">, and updated regularly, through the website of the Convention. </w:t>
      </w:r>
      <w:r w:rsidR="00D10A66" w:rsidRPr="00887BA9">
        <w:rPr>
          <w:rFonts w:asciiTheme="minorBidi" w:hAnsiTheme="minorBidi" w:cstheme="minorBidi"/>
        </w:rPr>
        <w:t>Furthermore, the reporting period</w:t>
      </w:r>
      <w:r w:rsidR="00D10A66" w:rsidRPr="00757D68">
        <w:rPr>
          <w:rFonts w:asciiTheme="minorBidi" w:hAnsiTheme="minorBidi" w:cstheme="minorBidi"/>
        </w:rPr>
        <w:t xml:space="preserve"> saw the conclusion of the revision of the Rules of Procedure of the General Assembly of the 2003 Convention (Resolution </w:t>
      </w:r>
      <w:hyperlink r:id="rId15" w:history="1">
        <w:r w:rsidR="00D10A66" w:rsidRPr="00757D68">
          <w:rPr>
            <w:rStyle w:val="Lienhypertexte"/>
            <w:rFonts w:asciiTheme="minorBidi" w:hAnsiTheme="minorBidi" w:cstheme="minorBidi"/>
          </w:rPr>
          <w:t>9.GA 12</w:t>
        </w:r>
      </w:hyperlink>
      <w:r w:rsidR="00D10A66" w:rsidRPr="00757D68">
        <w:rPr>
          <w:rFonts w:asciiTheme="minorBidi" w:hAnsiTheme="minorBidi" w:cstheme="minorBidi"/>
        </w:rPr>
        <w:t>),</w:t>
      </w:r>
      <w:r w:rsidR="00436557">
        <w:rPr>
          <w:rFonts w:asciiTheme="minorBidi" w:hAnsiTheme="minorBidi" w:cstheme="minorBidi"/>
        </w:rPr>
        <w:t xml:space="preserve"> according to which the present session of the Assembly will be convened</w:t>
      </w:r>
      <w:r w:rsidR="00D10A66" w:rsidRPr="00757D68">
        <w:rPr>
          <w:rFonts w:asciiTheme="minorBidi" w:hAnsiTheme="minorBidi" w:cstheme="minorBidi"/>
        </w:rPr>
        <w:t>.</w:t>
      </w:r>
      <w:r w:rsidR="00D10A66">
        <w:rPr>
          <w:rFonts w:asciiTheme="minorBidi" w:hAnsiTheme="minorBidi" w:cstheme="minorBidi"/>
        </w:rPr>
        <w:t xml:space="preserve"> </w:t>
      </w:r>
      <w:r w:rsidR="00D10A66">
        <w:t>The</w:t>
      </w:r>
      <w:r w:rsidR="002873D0" w:rsidRPr="002873D0">
        <w:t xml:space="preserve"> report on the Committee’s activities from January </w:t>
      </w:r>
      <w:r w:rsidR="00B61234">
        <w:t>2022</w:t>
      </w:r>
      <w:r w:rsidR="002873D0" w:rsidRPr="002873D0">
        <w:t xml:space="preserve"> to December </w:t>
      </w:r>
      <w:r w:rsidR="00B61234">
        <w:t>2023</w:t>
      </w:r>
      <w:r w:rsidR="002873D0" w:rsidRPr="002873D0">
        <w:t xml:space="preserve"> is presented to the present session </w:t>
      </w:r>
      <w:r w:rsidR="00436557">
        <w:t xml:space="preserve">of the Assembly </w:t>
      </w:r>
      <w:r w:rsidR="002873D0" w:rsidRPr="002873D0">
        <w:t xml:space="preserve">(document </w:t>
      </w:r>
      <w:hyperlink r:id="rId16" w:history="1">
        <w:r w:rsidR="00622751" w:rsidRPr="00502368">
          <w:rPr>
            <w:rStyle w:val="Lienhypertexte"/>
          </w:rPr>
          <w:t>LHE/24/10.GA/5</w:t>
        </w:r>
      </w:hyperlink>
      <w:r w:rsidR="002873D0" w:rsidRPr="002873D0">
        <w:t>)</w:t>
      </w:r>
      <w:r w:rsidR="00B61234">
        <w:t>.</w:t>
      </w:r>
    </w:p>
    <w:p w14:paraId="167E5162" w14:textId="37C6B2FA" w:rsidR="003C6C8A" w:rsidRDefault="003C6C8A" w:rsidP="003C6C8A">
      <w:pPr>
        <w:pStyle w:val="COMPara"/>
        <w:ind w:left="567" w:hanging="567"/>
        <w:jc w:val="both"/>
      </w:pPr>
      <w:r w:rsidRPr="008511B3">
        <w:t xml:space="preserve">The Secretariat provided </w:t>
      </w:r>
      <w:r>
        <w:t xml:space="preserve">substantial </w:t>
      </w:r>
      <w:r>
        <w:rPr>
          <w:u w:val="single"/>
        </w:rPr>
        <w:t>support to the international cooperation mechanisms of the Convention</w:t>
      </w:r>
      <w:r w:rsidRPr="00E957F6">
        <w:t>.</w:t>
      </w:r>
      <w:r>
        <w:t xml:space="preserve"> </w:t>
      </w:r>
      <w:r w:rsidR="00BC7D36">
        <w:t xml:space="preserve">The primary </w:t>
      </w:r>
      <w:r>
        <w:t xml:space="preserve">workload concerned the processing of </w:t>
      </w:r>
      <w:r w:rsidRPr="008511B3">
        <w:t xml:space="preserve">the nomination files under the </w:t>
      </w:r>
      <w:r>
        <w:t>2022</w:t>
      </w:r>
      <w:r w:rsidRPr="008511B3">
        <w:t xml:space="preserve"> and </w:t>
      </w:r>
      <w:r>
        <w:t>2023</w:t>
      </w:r>
      <w:r w:rsidRPr="008511B3">
        <w:t xml:space="preserve"> cycles</w:t>
      </w:r>
      <w:r>
        <w:t xml:space="preserve"> for assessment by the Evaluation Body</w:t>
      </w:r>
      <w:r w:rsidRPr="008511B3">
        <w:t xml:space="preserve">, while checking the technical completeness of nominations under the </w:t>
      </w:r>
      <w:r>
        <w:t>2024</w:t>
      </w:r>
      <w:r w:rsidRPr="008511B3">
        <w:t xml:space="preserve"> cycle. Furthermore, the Secretariat processed periodic reports, and accreditation and renewal requests from non-governmental organizations (NGOs). These accreditation requests, following the recommendations by the </w:t>
      </w:r>
      <w:r>
        <w:t>eighteenth</w:t>
      </w:r>
      <w:r w:rsidRPr="008511B3">
        <w:t xml:space="preserve"> session of</w:t>
      </w:r>
      <w:r w:rsidR="00BC7D36">
        <w:t xml:space="preserve"> the</w:t>
      </w:r>
      <w:r w:rsidRPr="008511B3">
        <w:t xml:space="preserve"> Committee, are presented </w:t>
      </w:r>
      <w:r w:rsidR="00436557">
        <w:t>to the</w:t>
      </w:r>
      <w:r w:rsidRPr="008511B3">
        <w:t xml:space="preserve"> present session of the Assembly (document </w:t>
      </w:r>
      <w:hyperlink r:id="rId17" w:history="1">
        <w:r w:rsidRPr="00502368">
          <w:rPr>
            <w:rStyle w:val="Lienhypertexte"/>
          </w:rPr>
          <w:t>LHE/24/10.GA/9</w:t>
        </w:r>
      </w:hyperlink>
      <w:r w:rsidRPr="008511B3">
        <w:t>).</w:t>
      </w:r>
    </w:p>
    <w:p w14:paraId="2A4E60D6" w14:textId="630E9007" w:rsidR="00433FBC" w:rsidRPr="00A91C02" w:rsidRDefault="002873D0" w:rsidP="0007636C">
      <w:pPr>
        <w:pStyle w:val="COMPara"/>
        <w:ind w:left="567" w:hanging="567"/>
        <w:jc w:val="both"/>
      </w:pPr>
      <w:r>
        <w:rPr>
          <w:lang w:val="en-US"/>
        </w:rPr>
        <w:t xml:space="preserve">The reporting period saw the conclusion of the </w:t>
      </w:r>
      <w:r w:rsidRPr="00B61234">
        <w:rPr>
          <w:u w:val="single"/>
          <w:lang w:val="en-US"/>
        </w:rPr>
        <w:t>global reflection on the listing mechanisms</w:t>
      </w:r>
      <w:r w:rsidR="00B02DD1">
        <w:rPr>
          <w:u w:val="single"/>
          <w:lang w:val="en-US"/>
        </w:rPr>
        <w:t xml:space="preserve"> of the Convention</w:t>
      </w:r>
      <w:r w:rsidR="00B02DD1" w:rsidRPr="00A91C02">
        <w:rPr>
          <w:lang w:val="en-US"/>
        </w:rPr>
        <w:t xml:space="preserve"> (2018-2022)</w:t>
      </w:r>
      <w:r w:rsidR="00BC7D36">
        <w:rPr>
          <w:lang w:val="en-US"/>
        </w:rPr>
        <w:t>,</w:t>
      </w:r>
      <w:r w:rsidR="00B02DD1">
        <w:rPr>
          <w:lang w:val="en-US"/>
        </w:rPr>
        <w:t xml:space="preserve"> </w:t>
      </w:r>
      <w:r w:rsidR="0047590C">
        <w:rPr>
          <w:lang w:val="en-US"/>
        </w:rPr>
        <w:t>which</w:t>
      </w:r>
      <w:r w:rsidR="00B02DD1">
        <w:t xml:space="preserve"> </w:t>
      </w:r>
      <w:r w:rsidR="00C47197">
        <w:t>resulted in</w:t>
      </w:r>
      <w:r w:rsidR="00436557">
        <w:t xml:space="preserve"> amendments to </w:t>
      </w:r>
      <w:r>
        <w:t xml:space="preserve">the Operational Directives </w:t>
      </w:r>
      <w:r w:rsidR="00BC7D36">
        <w:t xml:space="preserve">that established </w:t>
      </w:r>
      <w:r w:rsidR="00134C0B">
        <w:t xml:space="preserve">a set of new procedures </w:t>
      </w:r>
      <w:r w:rsidRPr="002873D0">
        <w:rPr>
          <w:lang w:val="en-US"/>
        </w:rPr>
        <w:t>(Resolution</w:t>
      </w:r>
      <w:hyperlink r:id="rId18" w:history="1">
        <w:r w:rsidRPr="00E957F6">
          <w:rPr>
            <w:rStyle w:val="Lienhypertexte"/>
            <w:u w:val="none"/>
          </w:rPr>
          <w:t xml:space="preserve"> </w:t>
        </w:r>
        <w:r w:rsidRPr="00E957F6">
          <w:rPr>
            <w:rStyle w:val="Lienhypertexte"/>
          </w:rPr>
          <w:t>9.GA 9</w:t>
        </w:r>
      </w:hyperlink>
      <w:r w:rsidRPr="002873D0">
        <w:rPr>
          <w:lang w:val="en-US"/>
        </w:rPr>
        <w:t>)</w:t>
      </w:r>
      <w:r>
        <w:rPr>
          <w:lang w:val="en-US"/>
        </w:rPr>
        <w:t>.</w:t>
      </w:r>
      <w:r w:rsidR="00B02DD1">
        <w:t xml:space="preserve"> </w:t>
      </w:r>
      <w:r w:rsidR="00E22922" w:rsidRPr="00757D68">
        <w:t>T</w:t>
      </w:r>
      <w:r w:rsidR="00E22922" w:rsidRPr="00B02DD1">
        <w:rPr>
          <w:rFonts w:asciiTheme="minorBidi" w:hAnsiTheme="minorBidi" w:cstheme="minorBidi"/>
        </w:rPr>
        <w:t>he Secretariat revised existing forms and created new simplified forms in time for the 2024 cycle.</w:t>
      </w:r>
      <w:r w:rsidR="00ED79D8" w:rsidRPr="00ED79D8">
        <w:rPr>
          <w:lang w:val="en-US"/>
        </w:rPr>
        <w:t xml:space="preserve"> </w:t>
      </w:r>
      <w:r w:rsidR="00433FBC" w:rsidRPr="00421BBB">
        <w:rPr>
          <w:lang w:val="en-US"/>
        </w:rPr>
        <w:t xml:space="preserve">As another outcome of the global reflection, a new reflection was launched </w:t>
      </w:r>
      <w:r w:rsidR="00433FBC">
        <w:rPr>
          <w:lang w:val="en-US"/>
        </w:rPr>
        <w:t xml:space="preserve">in 2021 </w:t>
      </w:r>
      <w:r w:rsidR="00433FBC" w:rsidRPr="00421BBB">
        <w:rPr>
          <w:lang w:val="en-US"/>
        </w:rPr>
        <w:t xml:space="preserve">to explore the </w:t>
      </w:r>
      <w:r w:rsidR="00433FBC" w:rsidRPr="00A91C02">
        <w:rPr>
          <w:u w:val="single"/>
          <w:lang w:val="en-US"/>
        </w:rPr>
        <w:t>full potential of Article 18 of the Convention</w:t>
      </w:r>
      <w:r w:rsidR="00BC7D36" w:rsidRPr="00BC7D36">
        <w:rPr>
          <w:lang w:val="en-US"/>
        </w:rPr>
        <w:t>,</w:t>
      </w:r>
      <w:r w:rsidR="00047BA7" w:rsidRPr="00047BA7">
        <w:rPr>
          <w:lang w:val="en-US"/>
        </w:rPr>
        <w:t xml:space="preserve"> </w:t>
      </w:r>
      <w:r w:rsidR="00134C0B">
        <w:rPr>
          <w:lang w:val="en-US"/>
        </w:rPr>
        <w:t xml:space="preserve">in order to </w:t>
      </w:r>
      <w:r w:rsidR="00433FBC" w:rsidRPr="00B06F6E">
        <w:rPr>
          <w:rFonts w:asciiTheme="minorBidi" w:hAnsiTheme="minorBidi" w:cstheme="minorBidi"/>
          <w:lang w:val="en-US"/>
        </w:rPr>
        <w:t>seek ways to bring the voices and aspirations of communities</w:t>
      </w:r>
      <w:r w:rsidR="00433FBC">
        <w:rPr>
          <w:rFonts w:asciiTheme="minorBidi" w:hAnsiTheme="minorBidi" w:cstheme="minorBidi"/>
          <w:lang w:val="en-US"/>
        </w:rPr>
        <w:t xml:space="preserve"> to the fore</w:t>
      </w:r>
      <w:r w:rsidR="00134C0B">
        <w:rPr>
          <w:rFonts w:asciiTheme="minorBidi" w:hAnsiTheme="minorBidi" w:cstheme="minorBidi"/>
          <w:lang w:val="en-US"/>
        </w:rPr>
        <w:t xml:space="preserve"> </w:t>
      </w:r>
      <w:r w:rsidR="00047BA7" w:rsidRPr="00421BBB">
        <w:rPr>
          <w:lang w:val="en-US"/>
        </w:rPr>
        <w:t>(</w:t>
      </w:r>
      <w:r w:rsidR="00047BA7">
        <w:rPr>
          <w:lang w:val="en-US"/>
        </w:rPr>
        <w:t xml:space="preserve">Decision </w:t>
      </w:r>
      <w:hyperlink r:id="rId19" w:history="1">
        <w:r w:rsidR="00047BA7">
          <w:rPr>
            <w:rStyle w:val="Lienhypertexte"/>
            <w:lang w:val="en-US"/>
          </w:rPr>
          <w:t>17.COM 10</w:t>
        </w:r>
      </w:hyperlink>
      <w:r w:rsidR="00047BA7" w:rsidRPr="00421BBB">
        <w:rPr>
          <w:lang w:val="en-US"/>
        </w:rPr>
        <w:t>)</w:t>
      </w:r>
      <w:r w:rsidR="00047BA7">
        <w:rPr>
          <w:lang w:val="en-US"/>
        </w:rPr>
        <w:t>.</w:t>
      </w:r>
      <w:r w:rsidR="00433FBC">
        <w:rPr>
          <w:rFonts w:asciiTheme="minorBidi" w:hAnsiTheme="minorBidi" w:cstheme="minorBidi"/>
          <w:lang w:val="en-US"/>
        </w:rPr>
        <w:t xml:space="preserve"> Based on the results of a Category VI meeting of experts and an Open-ended intergovernmental working group, </w:t>
      </w:r>
      <w:r w:rsidR="00047BA7">
        <w:rPr>
          <w:rFonts w:asciiTheme="minorBidi" w:hAnsiTheme="minorBidi" w:cstheme="minorBidi"/>
          <w:lang w:val="en-US"/>
        </w:rPr>
        <w:t xml:space="preserve">the Committee took note of the steps </w:t>
      </w:r>
      <w:r w:rsidR="0047590C">
        <w:rPr>
          <w:rFonts w:asciiTheme="minorBidi" w:hAnsiTheme="minorBidi" w:cstheme="minorBidi"/>
          <w:lang w:val="en-US"/>
        </w:rPr>
        <w:t xml:space="preserve">for establishing </w:t>
      </w:r>
      <w:r w:rsidR="00047BA7">
        <w:rPr>
          <w:rFonts w:asciiTheme="minorBidi" w:hAnsiTheme="minorBidi" w:cstheme="minorBidi"/>
          <w:lang w:val="en-US"/>
        </w:rPr>
        <w:t>an online platform for sharing good safeguarding experiences, while reflect</w:t>
      </w:r>
      <w:r w:rsidR="0047590C">
        <w:rPr>
          <w:rFonts w:asciiTheme="minorBidi" w:hAnsiTheme="minorBidi" w:cstheme="minorBidi"/>
          <w:lang w:val="en-US"/>
        </w:rPr>
        <w:t xml:space="preserve">ing </w:t>
      </w:r>
      <w:r w:rsidR="00047BA7">
        <w:rPr>
          <w:rFonts w:asciiTheme="minorBidi" w:hAnsiTheme="minorBidi" w:cstheme="minorBidi"/>
          <w:lang w:val="en-US"/>
        </w:rPr>
        <w:t xml:space="preserve">on </w:t>
      </w:r>
      <w:r w:rsidR="00134C0B">
        <w:rPr>
          <w:rFonts w:asciiTheme="minorBidi" w:hAnsiTheme="minorBidi" w:cstheme="minorBidi"/>
          <w:lang w:val="en-US"/>
        </w:rPr>
        <w:t xml:space="preserve">how to increase access to and </w:t>
      </w:r>
      <w:r w:rsidR="00BC7D36">
        <w:rPr>
          <w:rFonts w:asciiTheme="minorBidi" w:hAnsiTheme="minorBidi" w:cstheme="minorBidi"/>
          <w:lang w:val="en-US"/>
        </w:rPr>
        <w:t xml:space="preserve">the </w:t>
      </w:r>
      <w:r w:rsidR="00134C0B">
        <w:rPr>
          <w:rFonts w:asciiTheme="minorBidi" w:hAnsiTheme="minorBidi" w:cstheme="minorBidi"/>
          <w:lang w:val="en-US"/>
        </w:rPr>
        <w:t>visibility of the Register of Good Safeguarding Practices</w:t>
      </w:r>
      <w:r w:rsidR="00047BA7">
        <w:rPr>
          <w:rFonts w:asciiTheme="minorBidi" w:hAnsiTheme="minorBidi" w:cstheme="minorBidi"/>
          <w:lang w:val="en-US"/>
        </w:rPr>
        <w:t xml:space="preserve"> (Decision </w:t>
      </w:r>
      <w:hyperlink r:id="rId20" w:history="1">
        <w:r w:rsidR="00047BA7" w:rsidRPr="00433FBC">
          <w:rPr>
            <w:rStyle w:val="Lienhypertexte"/>
            <w:rFonts w:asciiTheme="minorBidi" w:hAnsiTheme="minorBidi" w:cstheme="minorBidi"/>
            <w:lang w:val="en-US"/>
          </w:rPr>
          <w:t>18.COM 11</w:t>
        </w:r>
      </w:hyperlink>
      <w:r w:rsidR="00047BA7">
        <w:rPr>
          <w:rFonts w:asciiTheme="minorBidi" w:hAnsiTheme="minorBidi" w:cstheme="minorBidi"/>
          <w:lang w:val="en-US"/>
        </w:rPr>
        <w:t xml:space="preserve">). On the latter aspect, </w:t>
      </w:r>
      <w:r w:rsidR="00433FBC">
        <w:rPr>
          <w:rFonts w:asciiTheme="minorBidi" w:hAnsiTheme="minorBidi" w:cstheme="minorBidi"/>
          <w:lang w:val="en-US"/>
        </w:rPr>
        <w:t>the present session is requested to examine the proposed amendment</w:t>
      </w:r>
      <w:r w:rsidR="0047590C">
        <w:rPr>
          <w:rFonts w:asciiTheme="minorBidi" w:hAnsiTheme="minorBidi" w:cstheme="minorBidi"/>
          <w:lang w:val="en-US"/>
        </w:rPr>
        <w:t>s</w:t>
      </w:r>
      <w:r w:rsidR="00433FBC">
        <w:rPr>
          <w:rFonts w:asciiTheme="minorBidi" w:hAnsiTheme="minorBidi" w:cstheme="minorBidi"/>
          <w:lang w:val="en-US"/>
        </w:rPr>
        <w:t xml:space="preserve"> to the Operational Directives </w:t>
      </w:r>
      <w:r w:rsidR="00BC7D36">
        <w:rPr>
          <w:rFonts w:asciiTheme="minorBidi" w:hAnsiTheme="minorBidi" w:cstheme="minorBidi"/>
          <w:lang w:val="en-US"/>
        </w:rPr>
        <w:t>aimed at</w:t>
      </w:r>
      <w:r w:rsidR="00433FBC">
        <w:rPr>
          <w:rFonts w:asciiTheme="minorBidi" w:hAnsiTheme="minorBidi" w:cstheme="minorBidi"/>
          <w:lang w:val="en-US"/>
        </w:rPr>
        <w:t xml:space="preserve"> simplify</w:t>
      </w:r>
      <w:r w:rsidR="00BC7D36">
        <w:rPr>
          <w:rFonts w:asciiTheme="minorBidi" w:hAnsiTheme="minorBidi" w:cstheme="minorBidi"/>
          <w:lang w:val="en-US"/>
        </w:rPr>
        <w:t>ing</w:t>
      </w:r>
      <w:r w:rsidR="00433FBC">
        <w:rPr>
          <w:rFonts w:asciiTheme="minorBidi" w:hAnsiTheme="minorBidi" w:cstheme="minorBidi"/>
          <w:lang w:val="en-US"/>
        </w:rPr>
        <w:t xml:space="preserve"> the selection criteria for the Register </w:t>
      </w:r>
      <w:r w:rsidR="00047BA7">
        <w:rPr>
          <w:rFonts w:asciiTheme="minorBidi" w:hAnsiTheme="minorBidi" w:cstheme="minorBidi"/>
          <w:lang w:val="en-US"/>
        </w:rPr>
        <w:t xml:space="preserve">(document </w:t>
      </w:r>
      <w:hyperlink r:id="rId21" w:history="1">
        <w:r w:rsidR="00047BA7" w:rsidRPr="00502368">
          <w:rPr>
            <w:rStyle w:val="Lienhypertexte"/>
            <w:rFonts w:asciiTheme="minorBidi" w:hAnsiTheme="minorBidi" w:cstheme="minorBidi"/>
            <w:lang w:val="en-US"/>
          </w:rPr>
          <w:t>LHE/24/10.GA/7</w:t>
        </w:r>
      </w:hyperlink>
      <w:r w:rsidR="00047BA7">
        <w:rPr>
          <w:rFonts w:asciiTheme="minorBidi" w:hAnsiTheme="minorBidi" w:cstheme="minorBidi"/>
          <w:lang w:val="en-US"/>
        </w:rPr>
        <w:t>)</w:t>
      </w:r>
      <w:r w:rsidR="00433FBC">
        <w:rPr>
          <w:rFonts w:asciiTheme="minorBidi" w:hAnsiTheme="minorBidi" w:cstheme="minorBidi"/>
          <w:lang w:val="en-US"/>
        </w:rPr>
        <w:t>.</w:t>
      </w:r>
    </w:p>
    <w:p w14:paraId="6EA5BE97" w14:textId="0DB8D5D1" w:rsidR="00674083" w:rsidRDefault="00674083" w:rsidP="00470DED">
      <w:pPr>
        <w:pStyle w:val="COMPara"/>
        <w:ind w:left="567" w:hanging="567"/>
        <w:jc w:val="both"/>
        <w:rPr>
          <w:rStyle w:val="ui-provider"/>
        </w:rPr>
      </w:pPr>
      <w:r>
        <w:rPr>
          <w:rStyle w:val="ui-provider"/>
        </w:rPr>
        <w:t xml:space="preserve">While concluding the global reflection on the listing mechanisms of the Convention, the governing bodies of the Convention were mindful of the possible increase </w:t>
      </w:r>
      <w:r w:rsidR="00007806">
        <w:rPr>
          <w:rStyle w:val="ui-provider"/>
        </w:rPr>
        <w:t xml:space="preserve">in </w:t>
      </w:r>
      <w:r>
        <w:rPr>
          <w:rStyle w:val="ui-provider"/>
        </w:rPr>
        <w:t>the workload for stakeholders</w:t>
      </w:r>
      <w:r w:rsidR="00007806">
        <w:rPr>
          <w:rStyle w:val="ui-provider"/>
        </w:rPr>
        <w:t>,</w:t>
      </w:r>
      <w:r>
        <w:rPr>
          <w:rStyle w:val="ui-provider"/>
        </w:rPr>
        <w:t xml:space="preserve"> in view of certain categories of nominations that have been placed outside the </w:t>
      </w:r>
      <w:r>
        <w:rPr>
          <w:rStyle w:val="ui-provider"/>
        </w:rPr>
        <w:lastRenderedPageBreak/>
        <w:t xml:space="preserve">annual ceiling on an experimental basis. In line with Decision </w:t>
      </w:r>
      <w:hyperlink r:id="rId22" w:tgtFrame="_blank" w:tooltip="https://ich.unesco.org/en/decisions/17.com/15" w:history="1">
        <w:r>
          <w:rPr>
            <w:rStyle w:val="Lienhypertexte"/>
          </w:rPr>
          <w:t>17.COM 15</w:t>
        </w:r>
      </w:hyperlink>
      <w:r>
        <w:rPr>
          <w:rStyle w:val="ui-provider"/>
        </w:rPr>
        <w:t>, it is to be noted that the Secretariat received for the 2024 and 2025 cycles</w:t>
      </w:r>
      <w:r w:rsidR="001964C7">
        <w:rPr>
          <w:rStyle w:val="ui-provider"/>
        </w:rPr>
        <w:t>:</w:t>
      </w:r>
      <w:r>
        <w:rPr>
          <w:rStyle w:val="ui-provider"/>
        </w:rPr>
        <w:t xml:space="preserve"> (a) five requests for the transfer of an inscribed element from the Urgent Safeguarding List to the Representative List (three under the 2024 cycle and two under the 2025 cycle, from two States Parties) and (b) twelve requests to inscribe elements on the Representative List on an extended basis (five under the 2024 cycle and seven under the 2025 cycle, submitted by sixteen States Parties, including three national extension requests, eight international extension requests and one combining national and international extensions). These nominations are being processed for examination by the nineteenth and twentieth sessions of the Committee in 2024 and 2025, demonstrating that the outcomes of the abovementioned global reflection are already operational. It is foreseen that the nineteenth session of the Committee in December 2024 </w:t>
      </w:r>
      <w:r w:rsidR="000249CA">
        <w:rPr>
          <w:rStyle w:val="ui-provider"/>
        </w:rPr>
        <w:t xml:space="preserve">will </w:t>
      </w:r>
      <w:r>
        <w:rPr>
          <w:rStyle w:val="ui-provider"/>
        </w:rPr>
        <w:t>discuss the number of files submitted for the 2024 and 2025 cycles and the number of files that can be treated in the 2026 and 2027 cycles.</w:t>
      </w:r>
    </w:p>
    <w:p w14:paraId="54790331" w14:textId="7683D9D7" w:rsidR="00445B9D" w:rsidRPr="00FF08E2" w:rsidRDefault="00445B9D" w:rsidP="00A91C02">
      <w:pPr>
        <w:pStyle w:val="COMPara"/>
        <w:ind w:left="567" w:hanging="567"/>
        <w:jc w:val="both"/>
        <w:rPr>
          <w:rFonts w:asciiTheme="minorBidi" w:hAnsiTheme="minorBidi" w:cstheme="minorBidi"/>
        </w:rPr>
      </w:pPr>
      <w:r w:rsidRPr="00757D68">
        <w:rPr>
          <w:rFonts w:asciiTheme="minorBidi" w:hAnsiTheme="minorBidi" w:cstheme="minorBidi"/>
        </w:rPr>
        <w:t>T</w:t>
      </w:r>
      <w:r w:rsidRPr="00757D68">
        <w:t>he Secretariat continued to implement pilot projects</w:t>
      </w:r>
      <w:r w:rsidR="00F3514B">
        <w:t xml:space="preserve"> </w:t>
      </w:r>
      <w:r w:rsidRPr="00757D68">
        <w:t xml:space="preserve">in line with the Operational </w:t>
      </w:r>
      <w:r w:rsidRPr="00757D68">
        <w:rPr>
          <w:rFonts w:asciiTheme="minorBidi" w:hAnsiTheme="minorBidi" w:cstheme="minorBidi"/>
        </w:rPr>
        <w:t>principles</w:t>
      </w:r>
      <w:r w:rsidRPr="00757D68">
        <w:t xml:space="preserve"> and modalities for </w:t>
      </w:r>
      <w:r w:rsidRPr="00A91C02">
        <w:rPr>
          <w:u w:val="single"/>
        </w:rPr>
        <w:t>safeguarding intangible cultural heritage in emergencies</w:t>
      </w:r>
      <w:r w:rsidRPr="00757D68">
        <w:t xml:space="preserve"> (Resolution </w:t>
      </w:r>
      <w:hyperlink r:id="rId23" w:history="1">
        <w:r w:rsidRPr="00757D68">
          <w:rPr>
            <w:rStyle w:val="Lienhypertexte"/>
          </w:rPr>
          <w:t>8.GA 9</w:t>
        </w:r>
      </w:hyperlink>
      <w:r w:rsidRPr="00757D68">
        <w:t xml:space="preserve">). New capacity-building materials on safeguarding intangible cultural heritage in situations of conflict </w:t>
      </w:r>
      <w:r w:rsidRPr="0007601C">
        <w:t>and forced displacement were prepared for pilot implementation in a refugee camp in Cameroon, through the support of an earmarked contribution to the Intangible Cultural Heritage Fund from Azerbaijan</w:t>
      </w:r>
      <w:r w:rsidRPr="00757D68">
        <w:t>. Likewise, the multi-year project ‘Capacity</w:t>
      </w:r>
      <w:r w:rsidR="000E07E3">
        <w:t xml:space="preserve"> </w:t>
      </w:r>
      <w:r w:rsidRPr="00757D68">
        <w:t>building for sa</w:t>
      </w:r>
      <w:r w:rsidRPr="00757D68">
        <w:rPr>
          <w:rFonts w:asciiTheme="minorBidi" w:hAnsiTheme="minorBidi" w:cstheme="minorBidi"/>
        </w:rPr>
        <w:t>feguarding intangible cultural heritage in emergencies in Small Island Developing States (SIDS) in the Pacific and the Caribbean,’ funded by the Japan Funds-in-Trust, advanced its implementation in five States Parties (</w:t>
      </w:r>
      <w:r w:rsidR="001964C7" w:rsidRPr="00757D68">
        <w:rPr>
          <w:rFonts w:asciiTheme="minorBidi" w:hAnsiTheme="minorBidi" w:cstheme="minorBidi"/>
        </w:rPr>
        <w:t>The Bahamas</w:t>
      </w:r>
      <w:r w:rsidR="001964C7">
        <w:rPr>
          <w:rFonts w:asciiTheme="minorBidi" w:hAnsiTheme="minorBidi" w:cstheme="minorBidi"/>
        </w:rPr>
        <w:t>,</w:t>
      </w:r>
      <w:r w:rsidR="001964C7" w:rsidRPr="00757D68">
        <w:rPr>
          <w:rFonts w:asciiTheme="minorBidi" w:hAnsiTheme="minorBidi" w:cstheme="minorBidi"/>
        </w:rPr>
        <w:t xml:space="preserve"> </w:t>
      </w:r>
      <w:r w:rsidRPr="00757D68">
        <w:rPr>
          <w:rFonts w:asciiTheme="minorBidi" w:hAnsiTheme="minorBidi" w:cstheme="minorBidi"/>
        </w:rPr>
        <w:t xml:space="preserve">Belize, Fiji, Tonga and Vanuatu). In the context of the war in Ukraine, the Secretariat organized several </w:t>
      </w:r>
      <w:r w:rsidRPr="00757D68">
        <w:t>coordination</w:t>
      </w:r>
      <w:r w:rsidRPr="00757D68">
        <w:rPr>
          <w:rFonts w:asciiTheme="minorBidi" w:hAnsiTheme="minorBidi" w:cstheme="minorBidi"/>
        </w:rPr>
        <w:t xml:space="preserve"> meetings to monitor the evolving safeguarding needs for intangible cultural heritage. These meetings led to the development of (a) a project, supported </w:t>
      </w:r>
      <w:r w:rsidRPr="00FF08E2">
        <w:rPr>
          <w:rFonts w:asciiTheme="minorBidi" w:hAnsiTheme="minorBidi" w:cstheme="minorBidi"/>
        </w:rPr>
        <w:t xml:space="preserve">by UNESCO’s Heritage </w:t>
      </w:r>
      <w:r w:rsidRPr="00A91C02">
        <w:rPr>
          <w:rStyle w:val="ui-provider"/>
        </w:rPr>
        <w:t>Emergency</w:t>
      </w:r>
      <w:r w:rsidRPr="00FF08E2">
        <w:rPr>
          <w:rFonts w:asciiTheme="minorBidi" w:hAnsiTheme="minorBidi" w:cstheme="minorBidi"/>
        </w:rPr>
        <w:t xml:space="preserve"> Fund, aimed at integrating living heritage in education, (b) </w:t>
      </w:r>
      <w:r>
        <w:rPr>
          <w:rFonts w:asciiTheme="minorBidi" w:hAnsiTheme="minorBidi" w:cstheme="minorBidi"/>
        </w:rPr>
        <w:t>two</w:t>
      </w:r>
      <w:r w:rsidRPr="00FF08E2">
        <w:rPr>
          <w:rFonts w:asciiTheme="minorBidi" w:hAnsiTheme="minorBidi" w:cstheme="minorBidi"/>
        </w:rPr>
        <w:t xml:space="preserve"> International Assistance requests approved by the Bureau of the </w:t>
      </w:r>
      <w:r w:rsidR="00E97256">
        <w:rPr>
          <w:rFonts w:asciiTheme="minorBidi" w:hAnsiTheme="minorBidi" w:cstheme="minorBidi"/>
        </w:rPr>
        <w:t>Committee</w:t>
      </w:r>
      <w:r w:rsidR="00E97256" w:rsidRPr="00FF08E2">
        <w:rPr>
          <w:rFonts w:asciiTheme="minorBidi" w:hAnsiTheme="minorBidi" w:cstheme="minorBidi"/>
        </w:rPr>
        <w:t xml:space="preserve"> </w:t>
      </w:r>
      <w:r w:rsidRPr="00FF08E2">
        <w:rPr>
          <w:rFonts w:asciiTheme="minorBidi" w:hAnsiTheme="minorBidi" w:cstheme="minorBidi"/>
        </w:rPr>
        <w:t>in 2023 to address the safeguarding needs of Ukrainian populations temporarily displaced in Romania and Slovakia, and (c) a joint initiative by UNESCO and the Ministry of Culture and Information Policy of Ukraine for the development of the Action Plan for the Protection of Culture in Ukraine, which includes a thematic focus on ‘Strengthening resilience through culture,’ covering a broad range of initiatives related to living heritage.</w:t>
      </w:r>
    </w:p>
    <w:p w14:paraId="2E24E3B9" w14:textId="3B48F93A" w:rsidR="00B61234" w:rsidRPr="00D241E7" w:rsidRDefault="00B61234" w:rsidP="00B61234">
      <w:pPr>
        <w:pStyle w:val="COMPara"/>
        <w:ind w:left="567" w:hanging="567"/>
        <w:jc w:val="both"/>
      </w:pPr>
      <w:r w:rsidRPr="00FF08E2">
        <w:t xml:space="preserve">The </w:t>
      </w:r>
      <w:r>
        <w:t xml:space="preserve">Convention’s </w:t>
      </w:r>
      <w:r w:rsidR="00393A07">
        <w:t>ongoing cycle</w:t>
      </w:r>
      <w:r>
        <w:t xml:space="preserve"> of </w:t>
      </w:r>
      <w:r w:rsidRPr="00B61234">
        <w:rPr>
          <w:u w:val="single"/>
        </w:rPr>
        <w:t>periodic reporting</w:t>
      </w:r>
      <w:r>
        <w:t xml:space="preserve"> continues to demonstrate high submission rates of reports, </w:t>
      </w:r>
      <w:r w:rsidR="00AD3179">
        <w:t>at 100 per cent</w:t>
      </w:r>
      <w:r w:rsidR="00007806">
        <w:t xml:space="preserve"> for Europe in 2022</w:t>
      </w:r>
      <w:r w:rsidR="00AD3179">
        <w:t xml:space="preserve"> (all forty-four reports expected were submitted and examined by the seventeenth session of the Committee</w:t>
      </w:r>
      <w:r w:rsidR="001964C7">
        <w:rPr>
          <w:rStyle w:val="Appelnotedebasdep"/>
        </w:rPr>
        <w:footnoteReference w:id="2"/>
      </w:r>
      <w:r w:rsidR="00AD3179">
        <w:t xml:space="preserve">), </w:t>
      </w:r>
      <w:r>
        <w:rPr>
          <w:lang w:val="en-US"/>
        </w:rPr>
        <w:t xml:space="preserve">100 per cent </w:t>
      </w:r>
      <w:r w:rsidR="00007806">
        <w:rPr>
          <w:lang w:val="en-US"/>
        </w:rPr>
        <w:t xml:space="preserve">for the Arab States in 2023 </w:t>
      </w:r>
      <w:r>
        <w:rPr>
          <w:lang w:val="en-US"/>
        </w:rPr>
        <w:t>(</w:t>
      </w:r>
      <w:r w:rsidR="00AD3179">
        <w:rPr>
          <w:lang w:val="en-US"/>
        </w:rPr>
        <w:t xml:space="preserve">all </w:t>
      </w:r>
      <w:r>
        <w:rPr>
          <w:lang w:val="en-US"/>
        </w:rPr>
        <w:t xml:space="preserve">eighteen reports </w:t>
      </w:r>
      <w:r w:rsidR="00AD3179">
        <w:rPr>
          <w:lang w:val="en-US"/>
        </w:rPr>
        <w:t xml:space="preserve">expected were </w:t>
      </w:r>
      <w:r>
        <w:rPr>
          <w:lang w:val="en-US"/>
        </w:rPr>
        <w:t xml:space="preserve">submitted </w:t>
      </w:r>
      <w:r w:rsidR="00AD3179">
        <w:rPr>
          <w:lang w:val="en-US"/>
        </w:rPr>
        <w:t>and examined by the eighteenth session of the Committee</w:t>
      </w:r>
      <w:r w:rsidR="001964C7">
        <w:rPr>
          <w:rStyle w:val="Appelnotedebasdep"/>
          <w:lang w:val="en-US"/>
        </w:rPr>
        <w:footnoteReference w:id="3"/>
      </w:r>
      <w:r>
        <w:rPr>
          <w:lang w:val="en-US"/>
        </w:rPr>
        <w:t>), and 97 per cent for Africa</w:t>
      </w:r>
      <w:r w:rsidR="00007806">
        <w:rPr>
          <w:lang w:val="en-US"/>
        </w:rPr>
        <w:t xml:space="preserve"> in 2024</w:t>
      </w:r>
      <w:r>
        <w:rPr>
          <w:lang w:val="en-US"/>
        </w:rPr>
        <w:t xml:space="preserve"> </w:t>
      </w:r>
      <w:r w:rsidR="00393A07">
        <w:rPr>
          <w:lang w:val="en-US"/>
        </w:rPr>
        <w:t>(</w:t>
      </w:r>
      <w:r w:rsidR="0047590C">
        <w:rPr>
          <w:lang w:val="en-US"/>
        </w:rPr>
        <w:t xml:space="preserve">43 </w:t>
      </w:r>
      <w:r w:rsidR="00393A07">
        <w:rPr>
          <w:lang w:val="en-US"/>
        </w:rPr>
        <w:t xml:space="preserve">out of </w:t>
      </w:r>
      <w:r w:rsidR="0047590C">
        <w:rPr>
          <w:lang w:val="en-US"/>
        </w:rPr>
        <w:t xml:space="preserve">44 </w:t>
      </w:r>
      <w:r w:rsidR="00393A07">
        <w:rPr>
          <w:lang w:val="en-US"/>
        </w:rPr>
        <w:t>expe</w:t>
      </w:r>
      <w:r w:rsidR="0047590C">
        <w:rPr>
          <w:lang w:val="en-US"/>
        </w:rPr>
        <w:t>cted</w:t>
      </w:r>
      <w:r w:rsidR="00AD3179">
        <w:rPr>
          <w:lang w:val="en-US"/>
        </w:rPr>
        <w:t xml:space="preserve"> reports were submitted and they will be examined by the nineteenth session of the Committee</w:t>
      </w:r>
      <w:r w:rsidR="00393A07">
        <w:rPr>
          <w:lang w:val="en-US"/>
        </w:rPr>
        <w:t>)</w:t>
      </w:r>
      <w:r>
        <w:rPr>
          <w:lang w:val="en-US"/>
        </w:rPr>
        <w:t xml:space="preserve">. </w:t>
      </w:r>
      <w:r w:rsidR="008511B3">
        <w:rPr>
          <w:lang w:val="en-US"/>
        </w:rPr>
        <w:t>The</w:t>
      </w:r>
      <w:r w:rsidR="008511B3" w:rsidRPr="008511B3">
        <w:rPr>
          <w:lang w:val="en-US"/>
        </w:rPr>
        <w:t xml:space="preserve"> Secretariat </w:t>
      </w:r>
      <w:r w:rsidR="0047590C">
        <w:rPr>
          <w:lang w:val="en-US"/>
        </w:rPr>
        <w:t xml:space="preserve">supported these </w:t>
      </w:r>
      <w:r w:rsidR="00AD3179">
        <w:rPr>
          <w:lang w:val="en-US"/>
        </w:rPr>
        <w:t xml:space="preserve">three </w:t>
      </w:r>
      <w:r w:rsidR="0047590C">
        <w:rPr>
          <w:lang w:val="en-US"/>
        </w:rPr>
        <w:t xml:space="preserve">regions </w:t>
      </w:r>
      <w:r w:rsidR="00AD3179">
        <w:rPr>
          <w:lang w:val="en-US"/>
        </w:rPr>
        <w:t xml:space="preserve">closely </w:t>
      </w:r>
      <w:r w:rsidR="0047590C">
        <w:rPr>
          <w:lang w:val="en-US"/>
        </w:rPr>
        <w:t>with a tailored capacity-building approach</w:t>
      </w:r>
      <w:r w:rsidR="00945797">
        <w:rPr>
          <w:lang w:val="en-US"/>
        </w:rPr>
        <w:t>,</w:t>
      </w:r>
      <w:r w:rsidR="008511B3" w:rsidRPr="008511B3">
        <w:rPr>
          <w:lang w:val="en-US"/>
        </w:rPr>
        <w:t xml:space="preserve"> in cooperation with UNESCO Category 2 </w:t>
      </w:r>
      <w:proofErr w:type="spellStart"/>
      <w:r w:rsidR="008511B3" w:rsidRPr="008511B3">
        <w:rPr>
          <w:lang w:val="en-US"/>
        </w:rPr>
        <w:t>Centres</w:t>
      </w:r>
      <w:proofErr w:type="spellEnd"/>
      <w:r w:rsidR="008511B3" w:rsidRPr="008511B3">
        <w:rPr>
          <w:lang w:val="en-US"/>
        </w:rPr>
        <w:t xml:space="preserve"> in the field of living heritage.</w:t>
      </w:r>
    </w:p>
    <w:p w14:paraId="0CA4EBDE" w14:textId="1894EB5E" w:rsidR="000B6F44" w:rsidRDefault="00E22922" w:rsidP="00044F7A">
      <w:pPr>
        <w:pStyle w:val="COMPara"/>
        <w:ind w:left="567" w:hanging="567"/>
        <w:jc w:val="both"/>
      </w:pPr>
      <w:r>
        <w:t xml:space="preserve">The </w:t>
      </w:r>
      <w:r w:rsidR="00C369C9" w:rsidRPr="00C369C9">
        <w:rPr>
          <w:u w:val="single"/>
        </w:rPr>
        <w:t>International Assistance</w:t>
      </w:r>
      <w:r w:rsidR="00C369C9">
        <w:t xml:space="preserve"> mechanism was further systematized during the reporting period, following the strategy approved by the </w:t>
      </w:r>
      <w:r w:rsidR="00664F07">
        <w:t>Committee at its seventeenth session</w:t>
      </w:r>
      <w:r w:rsidR="00C369C9">
        <w:t xml:space="preserve"> (Decision </w:t>
      </w:r>
      <w:hyperlink r:id="rId24" w:history="1">
        <w:r w:rsidR="00C369C9" w:rsidRPr="00C369C9">
          <w:rPr>
            <w:rStyle w:val="Lienhypertexte"/>
          </w:rPr>
          <w:t>17.COM 11</w:t>
        </w:r>
      </w:hyperlink>
      <w:r w:rsidR="00C369C9">
        <w:t xml:space="preserve">). This </w:t>
      </w:r>
      <w:r w:rsidR="00945797">
        <w:t xml:space="preserve">has </w:t>
      </w:r>
      <w:r w:rsidR="00C369C9">
        <w:t xml:space="preserve">led to the creation of a roster for evaluators of International Assistance projects, a map of projects to be evaluated, </w:t>
      </w:r>
      <w:r w:rsidR="00044F7A">
        <w:t>as well as regular awareness</w:t>
      </w:r>
      <w:r w:rsidR="0094182F">
        <w:t>-</w:t>
      </w:r>
      <w:r w:rsidR="00044F7A">
        <w:t>raising initiatives</w:t>
      </w:r>
      <w:r w:rsidR="0007049A">
        <w:t>,</w:t>
      </w:r>
      <w:r w:rsidR="00044F7A">
        <w:t xml:space="preserve"> </w:t>
      </w:r>
      <w:r w:rsidR="0007049A">
        <w:t xml:space="preserve">including </w:t>
      </w:r>
      <w:r w:rsidR="00C50275">
        <w:t xml:space="preserve">the updating of the </w:t>
      </w:r>
      <w:hyperlink r:id="rId25" w:history="1">
        <w:r w:rsidR="00C50275" w:rsidRPr="00C50275">
          <w:rPr>
            <w:rStyle w:val="Lienhypertexte"/>
          </w:rPr>
          <w:t>Toolkit</w:t>
        </w:r>
      </w:hyperlink>
      <w:r w:rsidR="00C50275">
        <w:t xml:space="preserve"> and</w:t>
      </w:r>
      <w:r w:rsidR="00044F7A">
        <w:t xml:space="preserve"> online information sessions on the mechanism</w:t>
      </w:r>
      <w:r w:rsidR="00C369C9">
        <w:t xml:space="preserve">. In tandem, the </w:t>
      </w:r>
      <w:r>
        <w:t>Secretariat continued to support national safeguarding efforts, with particular attention to Africa and Small Island Developing States</w:t>
      </w:r>
      <w:r w:rsidR="00945797">
        <w:t xml:space="preserve"> (SIDS)</w:t>
      </w:r>
      <w:r w:rsidR="0002584F">
        <w:t>,</w:t>
      </w:r>
      <w:r>
        <w:t xml:space="preserve"> </w:t>
      </w:r>
      <w:r w:rsidR="00007806">
        <w:t>and</w:t>
      </w:r>
      <w:r w:rsidR="00007806" w:rsidRPr="00BC3361">
        <w:t xml:space="preserve"> </w:t>
      </w:r>
      <w:r w:rsidR="0002584F" w:rsidRPr="00A91C02">
        <w:rPr>
          <w:lang w:val="en-US"/>
        </w:rPr>
        <w:t>thirteen States Parties receiving financial assistance for the first time</w:t>
      </w:r>
      <w:r w:rsidR="0002584F" w:rsidRPr="00044F7A">
        <w:rPr>
          <w:lang w:val="en-US"/>
        </w:rPr>
        <w:t xml:space="preserve"> </w:t>
      </w:r>
      <w:r w:rsidRPr="00044F7A">
        <w:t xml:space="preserve">(documents </w:t>
      </w:r>
      <w:hyperlink r:id="rId26" w:history="1">
        <w:r w:rsidR="00622751" w:rsidRPr="00502368">
          <w:rPr>
            <w:rStyle w:val="Lienhypertexte"/>
            <w:rFonts w:asciiTheme="minorBidi" w:hAnsiTheme="minorBidi" w:cstheme="minorBidi"/>
          </w:rPr>
          <w:t>LHE/24/10.GA/8</w:t>
        </w:r>
      </w:hyperlink>
      <w:r w:rsidRPr="00044F7A">
        <w:t xml:space="preserve"> and </w:t>
      </w:r>
      <w:hyperlink r:id="rId27" w:history="1">
        <w:r w:rsidR="00622751" w:rsidRPr="00502368">
          <w:rPr>
            <w:rStyle w:val="Lienhypertexte"/>
            <w:rFonts w:asciiTheme="minorBidi" w:hAnsiTheme="minorBidi" w:cstheme="minorBidi"/>
          </w:rPr>
          <w:t>LHE/24/10.GA/INF.8</w:t>
        </w:r>
      </w:hyperlink>
      <w:r w:rsidRPr="00044F7A">
        <w:t>)</w:t>
      </w:r>
      <w:r w:rsidR="00044F7A">
        <w:t>.</w:t>
      </w:r>
    </w:p>
    <w:p w14:paraId="36B959BC" w14:textId="1B998D91" w:rsidR="00F4279B" w:rsidRPr="00F4279B" w:rsidRDefault="00A35556" w:rsidP="00A91C02">
      <w:pPr>
        <w:pStyle w:val="COMPara"/>
        <w:keepNext/>
        <w:numPr>
          <w:ilvl w:val="0"/>
          <w:numId w:val="21"/>
        </w:numPr>
        <w:spacing w:before="240"/>
        <w:ind w:left="567" w:hanging="567"/>
        <w:jc w:val="both"/>
        <w:rPr>
          <w:b/>
          <w:bCs/>
        </w:rPr>
      </w:pPr>
      <w:r>
        <w:rPr>
          <w:b/>
          <w:bCs/>
        </w:rPr>
        <w:lastRenderedPageBreak/>
        <w:t>Operational activities</w:t>
      </w:r>
    </w:p>
    <w:p w14:paraId="2C795C69" w14:textId="01ADF1D4" w:rsidR="00D648E5" w:rsidRPr="00D648E5" w:rsidRDefault="00D648E5" w:rsidP="00A91C02">
      <w:pPr>
        <w:pStyle w:val="COMPara"/>
        <w:keepNext/>
        <w:ind w:left="567" w:hanging="567"/>
        <w:jc w:val="both"/>
        <w:rPr>
          <w:rFonts w:asciiTheme="minorBidi" w:hAnsiTheme="minorBidi" w:cstheme="minorBidi"/>
        </w:rPr>
      </w:pPr>
      <w:r>
        <w:t xml:space="preserve">Operationally, the Secretariat’s </w:t>
      </w:r>
      <w:r w:rsidRPr="00A91C02">
        <w:rPr>
          <w:u w:val="single"/>
        </w:rPr>
        <w:t xml:space="preserve">capacity-building </w:t>
      </w:r>
      <w:r>
        <w:rPr>
          <w:u w:val="single"/>
        </w:rPr>
        <w:t>initiatives</w:t>
      </w:r>
      <w:r>
        <w:t xml:space="preserve"> have widened in both scope and reach under the first funding priority </w:t>
      </w:r>
      <w:r w:rsidR="007E583D">
        <w:t>under the Convention</w:t>
      </w:r>
      <w:r>
        <w:t>, with support provided to 114 Member States, including 32 in Africa and 25 SIDS, to develop new or revised policies, strategies and programmes to safeguard living heritage.</w:t>
      </w:r>
    </w:p>
    <w:p w14:paraId="50E84FE4" w14:textId="66496C06" w:rsidR="001C585F" w:rsidRPr="00AF6564" w:rsidRDefault="00D648E5" w:rsidP="00AF6564">
      <w:pPr>
        <w:pStyle w:val="COMPara"/>
        <w:ind w:left="567" w:hanging="567"/>
        <w:jc w:val="both"/>
        <w:rPr>
          <w:rFonts w:asciiTheme="minorBidi" w:hAnsiTheme="minorBidi" w:cstheme="minorBidi"/>
        </w:rPr>
      </w:pPr>
      <w:r>
        <w:rPr>
          <w:rFonts w:asciiTheme="minorBidi" w:hAnsiTheme="minorBidi" w:cstheme="minorBidi"/>
        </w:rPr>
        <w:t>The</w:t>
      </w:r>
      <w:r w:rsidR="001B0B14" w:rsidRPr="00AF6564">
        <w:rPr>
          <w:rFonts w:asciiTheme="minorBidi" w:hAnsiTheme="minorBidi" w:cstheme="minorBidi"/>
        </w:rPr>
        <w:t xml:space="preserve"> programme </w:t>
      </w:r>
      <w:r>
        <w:rPr>
          <w:rFonts w:asciiTheme="minorBidi" w:hAnsiTheme="minorBidi" w:cstheme="minorBidi"/>
        </w:rPr>
        <w:t xml:space="preserve">continues to undergo transformation </w:t>
      </w:r>
      <w:r w:rsidR="001B0B14" w:rsidRPr="00AF6564">
        <w:rPr>
          <w:rFonts w:asciiTheme="minorBidi" w:hAnsiTheme="minorBidi" w:cstheme="minorBidi"/>
        </w:rPr>
        <w:t>to a hybrid modality, combining online learning with in-person training</w:t>
      </w:r>
      <w:r w:rsidR="001C585F" w:rsidRPr="00AF6564">
        <w:rPr>
          <w:rFonts w:asciiTheme="minorBidi" w:hAnsiTheme="minorBidi" w:cstheme="minorBidi"/>
        </w:rPr>
        <w:t>,</w:t>
      </w:r>
      <w:r w:rsidR="001B0B14" w:rsidRPr="00AF6564">
        <w:rPr>
          <w:rFonts w:asciiTheme="minorBidi" w:hAnsiTheme="minorBidi" w:cstheme="minorBidi"/>
        </w:rPr>
        <w:t xml:space="preserve"> and</w:t>
      </w:r>
      <w:r w:rsidR="001C585F" w:rsidRPr="00AF6564">
        <w:rPr>
          <w:rFonts w:asciiTheme="minorBidi" w:hAnsiTheme="minorBidi" w:cstheme="minorBidi"/>
        </w:rPr>
        <w:t xml:space="preserve"> </w:t>
      </w:r>
      <w:r w:rsidR="00A35556" w:rsidRPr="00AF6564">
        <w:rPr>
          <w:rFonts w:asciiTheme="minorBidi" w:hAnsiTheme="minorBidi" w:cstheme="minorBidi"/>
        </w:rPr>
        <w:t xml:space="preserve">drawing on the lessons learnt during the COVID-19 pandemic. </w:t>
      </w:r>
      <w:r w:rsidR="001C585F" w:rsidRPr="00AF6564">
        <w:rPr>
          <w:rFonts w:asciiTheme="minorBidi" w:hAnsiTheme="minorBidi" w:cstheme="minorBidi"/>
        </w:rPr>
        <w:t xml:space="preserve">This includes the first </w:t>
      </w:r>
      <w:hyperlink r:id="rId28" w:history="1">
        <w:r w:rsidR="00D7220E" w:rsidRPr="00AF6564">
          <w:rPr>
            <w:rStyle w:val="Lienhypertexte"/>
            <w:rFonts w:asciiTheme="minorBidi" w:hAnsiTheme="minorBidi" w:cstheme="minorBidi"/>
            <w:bCs/>
            <w:lang w:val="en-US"/>
          </w:rPr>
          <w:t>massive online open course (MOOC) on intangible cultural heritage and sustainable development</w:t>
        </w:r>
      </w:hyperlink>
      <w:r w:rsidR="001C585F" w:rsidRPr="00AF6564">
        <w:rPr>
          <w:rFonts w:asciiTheme="minorBidi" w:hAnsiTheme="minorBidi" w:cstheme="minorBidi"/>
        </w:rPr>
        <w:t xml:space="preserve">, which confirmed the centrality of the </w:t>
      </w:r>
      <w:r w:rsidR="00497B1C">
        <w:rPr>
          <w:rFonts w:asciiTheme="minorBidi" w:hAnsiTheme="minorBidi" w:cstheme="minorBidi"/>
        </w:rPr>
        <w:t>p</w:t>
      </w:r>
      <w:r w:rsidR="001C585F" w:rsidRPr="00AF6564">
        <w:rPr>
          <w:rFonts w:asciiTheme="minorBidi" w:hAnsiTheme="minorBidi" w:cstheme="minorBidi"/>
        </w:rPr>
        <w:t>rogramme and highlighted the need to adapt to evolving demands.</w:t>
      </w:r>
      <w:r w:rsidR="00C27DFE" w:rsidRPr="00AF6564">
        <w:rPr>
          <w:rFonts w:asciiTheme="minorBidi" w:hAnsiTheme="minorBidi" w:cstheme="minorBidi"/>
        </w:rPr>
        <w:t xml:space="preserve"> </w:t>
      </w:r>
      <w:r w:rsidR="00D7220E" w:rsidRPr="00AF6564">
        <w:rPr>
          <w:rFonts w:asciiTheme="minorBidi" w:hAnsiTheme="minorBidi" w:cstheme="minorBidi"/>
          <w:lang w:val="en-US"/>
        </w:rPr>
        <w:t>The MOOC has been a</w:t>
      </w:r>
      <w:r w:rsidR="00D7220E" w:rsidRPr="00AF6564">
        <w:rPr>
          <w:rFonts w:asciiTheme="minorBidi" w:hAnsiTheme="minorBidi" w:cstheme="minorBidi"/>
          <w:bCs/>
          <w:lang w:val="en-US"/>
        </w:rPr>
        <w:t>ccessible since January 2022, with more than 3,500 learners from 160 countries enrolled to date.</w:t>
      </w:r>
      <w:r w:rsidR="00AF6564">
        <w:rPr>
          <w:rFonts w:asciiTheme="minorBidi" w:hAnsiTheme="minorBidi" w:cstheme="minorBidi"/>
          <w:bCs/>
          <w:lang w:val="en-US"/>
        </w:rPr>
        <w:t xml:space="preserve"> </w:t>
      </w:r>
      <w:r w:rsidR="00AF6564" w:rsidRPr="00AF6564">
        <w:rPr>
          <w:rFonts w:asciiTheme="minorBidi" w:hAnsiTheme="minorBidi" w:cstheme="minorBidi"/>
        </w:rPr>
        <w:t>T</w:t>
      </w:r>
      <w:r w:rsidR="00C27DFE" w:rsidRPr="00AF6564">
        <w:rPr>
          <w:rFonts w:asciiTheme="minorBidi" w:hAnsiTheme="minorBidi" w:cstheme="minorBidi"/>
        </w:rPr>
        <w:t xml:space="preserve">he Secretariat </w:t>
      </w:r>
      <w:r w:rsidR="00AF6564" w:rsidRPr="00AF6564">
        <w:rPr>
          <w:rFonts w:asciiTheme="minorBidi" w:hAnsiTheme="minorBidi" w:cstheme="minorBidi"/>
        </w:rPr>
        <w:t xml:space="preserve">has also </w:t>
      </w:r>
      <w:r w:rsidR="00C27DFE" w:rsidRPr="00AF6564">
        <w:rPr>
          <w:rFonts w:asciiTheme="minorBidi" w:hAnsiTheme="minorBidi" w:cstheme="minorBidi"/>
          <w:lang w:val="en-US"/>
        </w:rPr>
        <w:t xml:space="preserve">designed and established the </w:t>
      </w:r>
      <w:r w:rsidR="00C27DFE" w:rsidRPr="00AF6564">
        <w:rPr>
          <w:rFonts w:asciiTheme="minorBidi" w:hAnsiTheme="minorBidi" w:cstheme="minorBidi"/>
          <w:u w:val="single"/>
          <w:lang w:val="en-US"/>
        </w:rPr>
        <w:t>Learning Management System (LMS)</w:t>
      </w:r>
      <w:r w:rsidR="00C27DFE" w:rsidRPr="00AF6564">
        <w:rPr>
          <w:rFonts w:asciiTheme="minorBidi" w:hAnsiTheme="minorBidi" w:cstheme="minorBidi"/>
          <w:lang w:val="en-US"/>
        </w:rPr>
        <w:t xml:space="preserve"> for the capacity-building programme. The conversion of </w:t>
      </w:r>
      <w:r w:rsidR="00851730">
        <w:rPr>
          <w:rFonts w:asciiTheme="minorBidi" w:hAnsiTheme="minorBidi" w:cstheme="minorBidi"/>
          <w:lang w:val="en-US"/>
        </w:rPr>
        <w:t>three</w:t>
      </w:r>
      <w:r w:rsidR="00851730" w:rsidRPr="00AF6564">
        <w:rPr>
          <w:rFonts w:asciiTheme="minorBidi" w:hAnsiTheme="minorBidi" w:cstheme="minorBidi"/>
          <w:lang w:val="en-US"/>
        </w:rPr>
        <w:t xml:space="preserve"> </w:t>
      </w:r>
      <w:r w:rsidR="00C27DFE" w:rsidRPr="00AF6564">
        <w:rPr>
          <w:rFonts w:asciiTheme="minorBidi" w:hAnsiTheme="minorBidi" w:cstheme="minorBidi"/>
          <w:lang w:val="en-US"/>
        </w:rPr>
        <w:t xml:space="preserve">modules (equivalent to more than </w:t>
      </w:r>
      <w:r w:rsidR="004F519A">
        <w:rPr>
          <w:rFonts w:asciiTheme="minorBidi" w:hAnsiTheme="minorBidi" w:cstheme="minorBidi"/>
          <w:lang w:val="en-US"/>
        </w:rPr>
        <w:t>thirty-five</w:t>
      </w:r>
      <w:r w:rsidR="004F519A" w:rsidRPr="00AF6564">
        <w:rPr>
          <w:rFonts w:asciiTheme="minorBidi" w:hAnsiTheme="minorBidi" w:cstheme="minorBidi"/>
          <w:lang w:val="en-US"/>
        </w:rPr>
        <w:t xml:space="preserve"> </w:t>
      </w:r>
      <w:r w:rsidR="00C27DFE" w:rsidRPr="00AF6564">
        <w:rPr>
          <w:rFonts w:asciiTheme="minorBidi" w:hAnsiTheme="minorBidi" w:cstheme="minorBidi"/>
          <w:lang w:val="en-US"/>
        </w:rPr>
        <w:t xml:space="preserve">thematic units) of capacity-building materials for online learning courses and multimodal delivery formats on the LMS is ongoing, through a partnership agreement with the International </w:t>
      </w:r>
      <w:proofErr w:type="spellStart"/>
      <w:r w:rsidR="00C27DFE" w:rsidRPr="00AF6564">
        <w:rPr>
          <w:rFonts w:asciiTheme="minorBidi" w:hAnsiTheme="minorBidi" w:cstheme="minorBidi"/>
          <w:lang w:val="en-US"/>
        </w:rPr>
        <w:t>Labour</w:t>
      </w:r>
      <w:proofErr w:type="spellEnd"/>
      <w:r w:rsidR="00C27DFE" w:rsidRPr="00AF6564">
        <w:rPr>
          <w:rFonts w:asciiTheme="minorBidi" w:hAnsiTheme="minorBidi" w:cstheme="minorBidi"/>
          <w:lang w:val="en-US"/>
        </w:rPr>
        <w:t xml:space="preserve"> Organization’s International Training Centre</w:t>
      </w:r>
      <w:r w:rsidR="00D7220E" w:rsidRPr="00AF6564">
        <w:rPr>
          <w:rFonts w:asciiTheme="minorBidi" w:hAnsiTheme="minorBidi" w:cstheme="minorBidi"/>
          <w:lang w:val="en-US"/>
        </w:rPr>
        <w:t xml:space="preserve"> (ITC-ILO)</w:t>
      </w:r>
      <w:r w:rsidR="00C27DFE" w:rsidRPr="00AF6564">
        <w:rPr>
          <w:rFonts w:asciiTheme="minorBidi" w:hAnsiTheme="minorBidi" w:cstheme="minorBidi"/>
          <w:lang w:val="en-US"/>
        </w:rPr>
        <w:t>.</w:t>
      </w:r>
    </w:p>
    <w:p w14:paraId="5AAD0915" w14:textId="29C212F3" w:rsidR="00A35556" w:rsidRPr="0078455E" w:rsidRDefault="001B5575" w:rsidP="00D7220E">
      <w:pPr>
        <w:pStyle w:val="COMPara"/>
        <w:ind w:left="567" w:hanging="567"/>
        <w:jc w:val="both"/>
        <w:rPr>
          <w:rFonts w:asciiTheme="minorBidi" w:hAnsiTheme="minorBidi" w:cstheme="minorBidi"/>
          <w:lang w:val="en-US"/>
        </w:rPr>
      </w:pPr>
      <w:r>
        <w:rPr>
          <w:rFonts w:asciiTheme="minorBidi" w:hAnsiTheme="minorBidi" w:cstheme="minorBidi"/>
        </w:rPr>
        <w:t>T</w:t>
      </w:r>
      <w:r w:rsidR="00C27DFE">
        <w:rPr>
          <w:rFonts w:asciiTheme="minorBidi" w:hAnsiTheme="minorBidi" w:cstheme="minorBidi"/>
        </w:rPr>
        <w:t>he</w:t>
      </w:r>
      <w:r w:rsidR="00A35556" w:rsidRPr="001C585F">
        <w:rPr>
          <w:rFonts w:asciiTheme="minorBidi" w:hAnsiTheme="minorBidi" w:cstheme="minorBidi"/>
        </w:rPr>
        <w:t xml:space="preserve"> Secretariat </w:t>
      </w:r>
      <w:r w:rsidR="00C27DFE">
        <w:rPr>
          <w:rFonts w:asciiTheme="minorBidi" w:hAnsiTheme="minorBidi" w:cstheme="minorBidi"/>
        </w:rPr>
        <w:t>further</w:t>
      </w:r>
      <w:r w:rsidR="00A35556" w:rsidRPr="001C585F">
        <w:rPr>
          <w:rFonts w:asciiTheme="minorBidi" w:hAnsiTheme="minorBidi" w:cstheme="minorBidi"/>
        </w:rPr>
        <w:t xml:space="preserve"> </w:t>
      </w:r>
      <w:r w:rsidR="00A756DF">
        <w:rPr>
          <w:rFonts w:asciiTheme="minorBidi" w:hAnsiTheme="minorBidi" w:cstheme="minorBidi"/>
        </w:rPr>
        <w:t xml:space="preserve">enlarged and </w:t>
      </w:r>
      <w:r w:rsidR="00A35556" w:rsidRPr="001C585F">
        <w:rPr>
          <w:rFonts w:asciiTheme="minorBidi" w:hAnsiTheme="minorBidi" w:cstheme="minorBidi"/>
        </w:rPr>
        <w:t xml:space="preserve">strengthened its </w:t>
      </w:r>
      <w:r w:rsidR="00A35556" w:rsidRPr="00D7220E">
        <w:rPr>
          <w:rFonts w:asciiTheme="minorBidi" w:hAnsiTheme="minorBidi" w:cstheme="minorBidi"/>
          <w:u w:val="single"/>
        </w:rPr>
        <w:t>global network of facilitators</w:t>
      </w:r>
      <w:r w:rsidR="00A27E70">
        <w:rPr>
          <w:rFonts w:asciiTheme="minorBidi" w:hAnsiTheme="minorBidi" w:cstheme="minorBidi"/>
        </w:rPr>
        <w:t>,</w:t>
      </w:r>
      <w:r w:rsidR="00D7220E">
        <w:rPr>
          <w:rFonts w:asciiTheme="minorBidi" w:hAnsiTheme="minorBidi" w:cstheme="minorBidi"/>
        </w:rPr>
        <w:t xml:space="preserve"> </w:t>
      </w:r>
      <w:r>
        <w:rPr>
          <w:rFonts w:asciiTheme="minorBidi" w:hAnsiTheme="minorBidi" w:cstheme="minorBidi"/>
        </w:rPr>
        <w:t xml:space="preserve">which now counts </w:t>
      </w:r>
      <w:r w:rsidRPr="001C585F">
        <w:rPr>
          <w:rFonts w:asciiTheme="minorBidi" w:hAnsiTheme="minorBidi" w:cstheme="minorBidi"/>
          <w:lang w:val="en-US"/>
        </w:rPr>
        <w:t>ninety</w:t>
      </w:r>
      <w:r w:rsidR="001C585F" w:rsidRPr="001C585F">
        <w:rPr>
          <w:rFonts w:asciiTheme="minorBidi" w:hAnsiTheme="minorBidi" w:cstheme="minorBidi"/>
          <w:lang w:val="en-US"/>
        </w:rPr>
        <w:t xml:space="preserve">-five new members (60% </w:t>
      </w:r>
      <w:r w:rsidR="00D7220E">
        <w:rPr>
          <w:rFonts w:asciiTheme="minorBidi" w:hAnsiTheme="minorBidi" w:cstheme="minorBidi"/>
          <w:lang w:val="en-US"/>
        </w:rPr>
        <w:t xml:space="preserve">of which are </w:t>
      </w:r>
      <w:r w:rsidR="001C585F" w:rsidRPr="001C585F">
        <w:rPr>
          <w:rFonts w:asciiTheme="minorBidi" w:hAnsiTheme="minorBidi" w:cstheme="minorBidi"/>
          <w:lang w:val="en-US"/>
        </w:rPr>
        <w:t>women) from all regions</w:t>
      </w:r>
      <w:r w:rsidR="001C585F">
        <w:rPr>
          <w:rFonts w:asciiTheme="minorBidi" w:hAnsiTheme="minorBidi" w:cstheme="minorBidi"/>
          <w:lang w:val="en-US"/>
        </w:rPr>
        <w:t>,</w:t>
      </w:r>
      <w:r w:rsidR="001C585F" w:rsidRPr="001C585F">
        <w:rPr>
          <w:rFonts w:asciiTheme="minorBidi" w:hAnsiTheme="minorBidi" w:cstheme="minorBidi"/>
          <w:lang w:val="en-US"/>
        </w:rPr>
        <w:t xml:space="preserve"> </w:t>
      </w:r>
      <w:r w:rsidR="00A65489">
        <w:rPr>
          <w:rFonts w:asciiTheme="minorBidi" w:hAnsiTheme="minorBidi" w:cstheme="minorBidi"/>
          <w:lang w:val="en-US"/>
        </w:rPr>
        <w:t>and for whom</w:t>
      </w:r>
      <w:r w:rsidR="001C585F" w:rsidRPr="001C585F">
        <w:rPr>
          <w:sz w:val="18"/>
          <w:szCs w:val="18"/>
          <w:lang w:val="en-US"/>
        </w:rPr>
        <w:t xml:space="preserve"> </w:t>
      </w:r>
      <w:r w:rsidR="00A65489" w:rsidRPr="00E957F6">
        <w:rPr>
          <w:rFonts w:asciiTheme="minorBidi" w:hAnsiTheme="minorBidi" w:cstheme="minorBidi"/>
          <w:lang w:val="en-US"/>
        </w:rPr>
        <w:t>f</w:t>
      </w:r>
      <w:r w:rsidR="00D7220E" w:rsidRPr="00D7220E">
        <w:rPr>
          <w:rFonts w:asciiTheme="minorBidi" w:hAnsiTheme="minorBidi" w:cstheme="minorBidi"/>
          <w:lang w:val="en-US"/>
        </w:rPr>
        <w:t xml:space="preserve">our global orientation webinars </w:t>
      </w:r>
      <w:r w:rsidR="00A65489">
        <w:rPr>
          <w:rFonts w:asciiTheme="minorBidi" w:hAnsiTheme="minorBidi" w:cstheme="minorBidi"/>
          <w:lang w:val="en-US"/>
        </w:rPr>
        <w:t>were organized.</w:t>
      </w:r>
      <w:r w:rsidR="00D7220E" w:rsidRPr="00D7220E">
        <w:rPr>
          <w:rFonts w:asciiTheme="minorBidi" w:hAnsiTheme="minorBidi" w:cstheme="minorBidi"/>
          <w:lang w:val="en-US"/>
        </w:rPr>
        <w:t xml:space="preserve"> </w:t>
      </w:r>
      <w:r w:rsidR="00DF13A0">
        <w:rPr>
          <w:rFonts w:asciiTheme="minorBidi" w:hAnsiTheme="minorBidi" w:cstheme="minorBidi"/>
          <w:lang w:val="en-US"/>
        </w:rPr>
        <w:t>This</w:t>
      </w:r>
      <w:r w:rsidR="00D7220E" w:rsidRPr="00D7220E">
        <w:rPr>
          <w:rFonts w:asciiTheme="minorBidi" w:hAnsiTheme="minorBidi" w:cstheme="minorBidi"/>
          <w:lang w:val="en-US"/>
        </w:rPr>
        <w:t xml:space="preserve"> </w:t>
      </w:r>
      <w:r w:rsidR="00A65489">
        <w:rPr>
          <w:rFonts w:asciiTheme="minorBidi" w:hAnsiTheme="minorBidi" w:cstheme="minorBidi"/>
          <w:lang w:val="en-US"/>
        </w:rPr>
        <w:t>extension was</w:t>
      </w:r>
      <w:r w:rsidR="00D7220E" w:rsidRPr="00D7220E">
        <w:rPr>
          <w:rFonts w:asciiTheme="minorBidi" w:hAnsiTheme="minorBidi" w:cstheme="minorBidi"/>
          <w:lang w:val="en-US"/>
        </w:rPr>
        <w:t xml:space="preserve"> based on a new strategy for regional, contextuali</w:t>
      </w:r>
      <w:r w:rsidR="004F7150">
        <w:rPr>
          <w:rFonts w:asciiTheme="minorBidi" w:hAnsiTheme="minorBidi" w:cstheme="minorBidi"/>
          <w:lang w:val="en-US"/>
        </w:rPr>
        <w:t>z</w:t>
      </w:r>
      <w:r w:rsidR="00D7220E" w:rsidRPr="00D7220E">
        <w:rPr>
          <w:rFonts w:asciiTheme="minorBidi" w:hAnsiTheme="minorBidi" w:cstheme="minorBidi"/>
          <w:lang w:val="en-US"/>
        </w:rPr>
        <w:t xml:space="preserve">ed training on the implementation of the Convention for incoming </w:t>
      </w:r>
      <w:r w:rsidR="00945797">
        <w:rPr>
          <w:rFonts w:asciiTheme="minorBidi" w:hAnsiTheme="minorBidi" w:cstheme="minorBidi"/>
          <w:lang w:val="en-US"/>
        </w:rPr>
        <w:t>facilitators</w:t>
      </w:r>
      <w:r w:rsidR="00D7220E" w:rsidRPr="00D7220E">
        <w:rPr>
          <w:rFonts w:asciiTheme="minorBidi" w:hAnsiTheme="minorBidi" w:cstheme="minorBidi"/>
          <w:lang w:val="en-US"/>
        </w:rPr>
        <w:t xml:space="preserve"> and is being implemented in all regions in cooperation with </w:t>
      </w:r>
      <w:r w:rsidR="00945797">
        <w:rPr>
          <w:rFonts w:asciiTheme="minorBidi" w:hAnsiTheme="minorBidi" w:cstheme="minorBidi"/>
          <w:lang w:val="en-US"/>
        </w:rPr>
        <w:t>UNESCO</w:t>
      </w:r>
      <w:r w:rsidR="00D7220E" w:rsidRPr="00D7220E">
        <w:rPr>
          <w:rFonts w:asciiTheme="minorBidi" w:hAnsiTheme="minorBidi" w:cstheme="minorBidi"/>
          <w:lang w:val="en-US"/>
        </w:rPr>
        <w:t xml:space="preserve"> Field Offices and </w:t>
      </w:r>
      <w:r w:rsidR="00A65489">
        <w:rPr>
          <w:rFonts w:asciiTheme="minorBidi" w:hAnsiTheme="minorBidi" w:cstheme="minorBidi"/>
          <w:lang w:val="en-US"/>
        </w:rPr>
        <w:t>UNESCO C</w:t>
      </w:r>
      <w:r w:rsidR="00D7220E" w:rsidRPr="00D7220E">
        <w:rPr>
          <w:rFonts w:asciiTheme="minorBidi" w:hAnsiTheme="minorBidi" w:cstheme="minorBidi"/>
          <w:lang w:val="en-US"/>
        </w:rPr>
        <w:t xml:space="preserve">ategory 2 </w:t>
      </w:r>
      <w:proofErr w:type="spellStart"/>
      <w:r w:rsidR="00A65489">
        <w:rPr>
          <w:rFonts w:asciiTheme="minorBidi" w:hAnsiTheme="minorBidi" w:cstheme="minorBidi"/>
          <w:lang w:val="en-US"/>
        </w:rPr>
        <w:t>C</w:t>
      </w:r>
      <w:r w:rsidR="00D7220E" w:rsidRPr="00D7220E">
        <w:rPr>
          <w:rFonts w:asciiTheme="minorBidi" w:hAnsiTheme="minorBidi" w:cstheme="minorBidi"/>
          <w:lang w:val="en-US"/>
        </w:rPr>
        <w:t>entres</w:t>
      </w:r>
      <w:proofErr w:type="spellEnd"/>
      <w:r w:rsidR="00A65489">
        <w:rPr>
          <w:rFonts w:asciiTheme="minorBidi" w:hAnsiTheme="minorBidi" w:cstheme="minorBidi"/>
          <w:lang w:val="en-US"/>
        </w:rPr>
        <w:t xml:space="preserve"> in the field of living heritage</w:t>
      </w:r>
      <w:r w:rsidR="00D7220E">
        <w:rPr>
          <w:rFonts w:asciiTheme="minorBidi" w:hAnsiTheme="minorBidi" w:cstheme="minorBidi"/>
          <w:lang w:val="en-US"/>
        </w:rPr>
        <w:t>.</w:t>
      </w:r>
      <w:r w:rsidR="007E6D90">
        <w:rPr>
          <w:rFonts w:asciiTheme="minorBidi" w:hAnsiTheme="minorBidi" w:cstheme="minorBidi"/>
          <w:lang w:val="en-US"/>
        </w:rPr>
        <w:t xml:space="preserve"> </w:t>
      </w:r>
      <w:r w:rsidR="00A35556" w:rsidRPr="00D7220E">
        <w:rPr>
          <w:rFonts w:asciiTheme="minorBidi" w:hAnsiTheme="minorBidi" w:cstheme="minorBidi"/>
        </w:rPr>
        <w:t xml:space="preserve">The </w:t>
      </w:r>
      <w:r w:rsidR="00A65489">
        <w:rPr>
          <w:rFonts w:asciiTheme="minorBidi" w:hAnsiTheme="minorBidi" w:cstheme="minorBidi"/>
        </w:rPr>
        <w:t>capacity-building p</w:t>
      </w:r>
      <w:r w:rsidR="00A35556" w:rsidRPr="00D7220E">
        <w:rPr>
          <w:rFonts w:asciiTheme="minorBidi" w:hAnsiTheme="minorBidi" w:cstheme="minorBidi"/>
        </w:rPr>
        <w:t>rogramme also broadened its thematic expertise by developing training materials in new areas, such as intangible cultural heritage and disaster risk reduction, which were tested through online workshops and pilot activities.</w:t>
      </w:r>
    </w:p>
    <w:p w14:paraId="08593DAC" w14:textId="1931EDBF" w:rsidR="001C585F" w:rsidRDefault="00944B2B" w:rsidP="001B0B14">
      <w:pPr>
        <w:pStyle w:val="COMPara"/>
        <w:ind w:left="567" w:hanging="567"/>
        <w:jc w:val="both"/>
        <w:rPr>
          <w:rFonts w:asciiTheme="minorBidi" w:hAnsiTheme="minorBidi" w:cstheme="minorBidi"/>
          <w:lang w:val="en-US"/>
        </w:rPr>
      </w:pPr>
      <w:r>
        <w:rPr>
          <w:rFonts w:asciiTheme="minorBidi" w:hAnsiTheme="minorBidi" w:cstheme="minorBidi"/>
          <w:snapToGrid/>
          <w:lang w:eastAsia="fr-FR"/>
        </w:rPr>
        <w:t>The</w:t>
      </w:r>
      <w:r w:rsidR="0078455E" w:rsidRPr="00015310">
        <w:rPr>
          <w:rFonts w:asciiTheme="minorBidi" w:hAnsiTheme="minorBidi" w:cstheme="minorBidi"/>
          <w:snapToGrid/>
          <w:lang w:eastAsia="fr-FR"/>
        </w:rPr>
        <w:t xml:space="preserve"> </w:t>
      </w:r>
      <w:r w:rsidR="0078455E" w:rsidRPr="0078455E">
        <w:rPr>
          <w:rFonts w:asciiTheme="minorBidi" w:hAnsiTheme="minorBidi" w:cstheme="minorBidi"/>
          <w:lang w:val="en-US"/>
        </w:rPr>
        <w:t xml:space="preserve">programme on </w:t>
      </w:r>
      <w:r w:rsidR="0078455E" w:rsidRPr="0078455E">
        <w:rPr>
          <w:rFonts w:asciiTheme="minorBidi" w:hAnsiTheme="minorBidi" w:cstheme="minorBidi"/>
          <w:u w:val="single"/>
          <w:lang w:val="en-US"/>
        </w:rPr>
        <w:t>Safeguarding intangible cultural heritage in formal and non-formal education</w:t>
      </w:r>
      <w:r w:rsidR="0078455E" w:rsidRPr="0078455E">
        <w:rPr>
          <w:rFonts w:asciiTheme="minorBidi" w:hAnsiTheme="minorBidi" w:cstheme="minorBidi"/>
          <w:lang w:val="en-US"/>
        </w:rPr>
        <w:t xml:space="preserve"> remains </w:t>
      </w:r>
      <w:r w:rsidR="0078455E">
        <w:rPr>
          <w:rFonts w:asciiTheme="minorBidi" w:hAnsiTheme="minorBidi" w:cstheme="minorBidi"/>
          <w:lang w:val="en-US"/>
        </w:rPr>
        <w:t xml:space="preserve">a key </w:t>
      </w:r>
      <w:r w:rsidR="00A65489">
        <w:rPr>
          <w:rFonts w:asciiTheme="minorBidi" w:hAnsiTheme="minorBidi" w:cstheme="minorBidi"/>
          <w:lang w:val="en-US"/>
        </w:rPr>
        <w:t>attention area</w:t>
      </w:r>
      <w:r w:rsidR="0078455E">
        <w:rPr>
          <w:rFonts w:asciiTheme="minorBidi" w:hAnsiTheme="minorBidi" w:cstheme="minorBidi"/>
          <w:lang w:val="en-US"/>
        </w:rPr>
        <w:t xml:space="preserve"> of the Secretariat’s work</w:t>
      </w:r>
      <w:r>
        <w:rPr>
          <w:rFonts w:asciiTheme="minorBidi" w:hAnsiTheme="minorBidi" w:cstheme="minorBidi"/>
          <w:lang w:val="en-US"/>
        </w:rPr>
        <w:t>, as the second funding priority under the Convention</w:t>
      </w:r>
      <w:r w:rsidR="0078455E" w:rsidRPr="0078455E">
        <w:rPr>
          <w:rFonts w:asciiTheme="minorBidi" w:hAnsiTheme="minorBidi" w:cstheme="minorBidi"/>
          <w:lang w:val="en-US"/>
        </w:rPr>
        <w:t xml:space="preserve"> </w:t>
      </w:r>
      <w:r w:rsidR="0078455E">
        <w:rPr>
          <w:rFonts w:asciiTheme="minorBidi" w:hAnsiTheme="minorBidi" w:cstheme="minorBidi"/>
        </w:rPr>
        <w:t xml:space="preserve">(Decision </w:t>
      </w:r>
      <w:hyperlink r:id="rId29" w:history="1">
        <w:r w:rsidR="0078455E" w:rsidRPr="009F438C">
          <w:rPr>
            <w:rStyle w:val="Lienhypertexte"/>
            <w:rFonts w:asciiTheme="minorBidi" w:hAnsiTheme="minorBidi" w:cstheme="minorBidi"/>
          </w:rPr>
          <w:t>16.COM 12</w:t>
        </w:r>
      </w:hyperlink>
      <w:r w:rsidR="0078455E">
        <w:rPr>
          <w:rFonts w:asciiTheme="minorBidi" w:hAnsiTheme="minorBidi" w:cstheme="minorBidi"/>
        </w:rPr>
        <w:t xml:space="preserve">). Since 2022, the Secretariat has reinforced its collaboration with the Education Sector, leading to the integration of living heritage into key international standard-setting instruments and frameworks, such as the </w:t>
      </w:r>
      <w:hyperlink r:id="rId30" w:history="1">
        <w:r w:rsidR="0078455E" w:rsidRPr="009000CA">
          <w:rPr>
            <w:rStyle w:val="Lienhypertexte"/>
            <w:rFonts w:asciiTheme="minorBidi" w:hAnsiTheme="minorBidi" w:cstheme="minorBidi"/>
          </w:rPr>
          <w:t>Culture and Arts Education Framework</w:t>
        </w:r>
      </w:hyperlink>
      <w:r w:rsidR="0078455E">
        <w:rPr>
          <w:rFonts w:asciiTheme="minorBidi" w:hAnsiTheme="minorBidi" w:cstheme="minorBidi"/>
        </w:rPr>
        <w:t xml:space="preserve"> </w:t>
      </w:r>
      <w:r w:rsidR="00497B1C">
        <w:rPr>
          <w:rFonts w:asciiTheme="minorBidi" w:hAnsiTheme="minorBidi" w:cstheme="minorBidi"/>
        </w:rPr>
        <w:t xml:space="preserve">adopted </w:t>
      </w:r>
      <w:r w:rsidR="0078455E">
        <w:rPr>
          <w:rFonts w:asciiTheme="minorBidi" w:hAnsiTheme="minorBidi" w:cstheme="minorBidi"/>
        </w:rPr>
        <w:t xml:space="preserve">in February 2024 and the </w:t>
      </w:r>
      <w:r w:rsidR="00497B1C">
        <w:rPr>
          <w:rFonts w:asciiTheme="minorBidi" w:hAnsiTheme="minorBidi" w:cstheme="minorBidi"/>
        </w:rPr>
        <w:t xml:space="preserve">new </w:t>
      </w:r>
      <w:r w:rsidR="0078455E" w:rsidRPr="0078455E">
        <w:rPr>
          <w:rFonts w:asciiTheme="minorBidi" w:hAnsiTheme="minorBidi" w:cstheme="minorBidi"/>
          <w:lang w:val="en-US"/>
        </w:rPr>
        <w:t>Recommendation on Education for Peace, Human Rights and Sustainable Development</w:t>
      </w:r>
      <w:r w:rsidR="00497B1C">
        <w:rPr>
          <w:rFonts w:asciiTheme="minorBidi" w:hAnsiTheme="minorBidi" w:cstheme="minorBidi"/>
          <w:lang w:val="en-US"/>
        </w:rPr>
        <w:t xml:space="preserve"> adopted by the 42</w:t>
      </w:r>
      <w:r w:rsidR="00C37442">
        <w:rPr>
          <w:rFonts w:asciiTheme="minorBidi" w:hAnsiTheme="minorBidi" w:cstheme="minorBidi"/>
          <w:lang w:val="en-US"/>
        </w:rPr>
        <w:t>nd</w:t>
      </w:r>
      <w:r w:rsidR="00497B1C">
        <w:rPr>
          <w:rFonts w:asciiTheme="minorBidi" w:hAnsiTheme="minorBidi" w:cstheme="minorBidi"/>
          <w:lang w:val="en-US"/>
        </w:rPr>
        <w:t xml:space="preserve"> session of the General Conference</w:t>
      </w:r>
      <w:r w:rsidR="0078455E">
        <w:rPr>
          <w:rFonts w:asciiTheme="minorBidi" w:hAnsiTheme="minorBidi" w:cstheme="minorBidi"/>
          <w:lang w:val="en-US"/>
        </w:rPr>
        <w:t xml:space="preserve">. </w:t>
      </w:r>
      <w:r>
        <w:rPr>
          <w:rFonts w:asciiTheme="minorBidi" w:hAnsiTheme="minorBidi" w:cstheme="minorBidi"/>
          <w:lang w:val="en-US"/>
        </w:rPr>
        <w:t xml:space="preserve">The emphasis on integrating living heritage into education extended into several </w:t>
      </w:r>
      <w:r w:rsidR="00A65489">
        <w:rPr>
          <w:rFonts w:asciiTheme="minorBidi" w:hAnsiTheme="minorBidi" w:cstheme="minorBidi"/>
          <w:lang w:val="en-US"/>
        </w:rPr>
        <w:t xml:space="preserve">pilot </w:t>
      </w:r>
      <w:r>
        <w:rPr>
          <w:rFonts w:asciiTheme="minorBidi" w:hAnsiTheme="minorBidi" w:cstheme="minorBidi"/>
          <w:lang w:val="en-US"/>
        </w:rPr>
        <w:t>projects</w:t>
      </w:r>
      <w:r w:rsidR="00A65489">
        <w:rPr>
          <w:rFonts w:asciiTheme="minorBidi" w:hAnsiTheme="minorBidi" w:cstheme="minorBidi"/>
          <w:lang w:val="en-US"/>
        </w:rPr>
        <w:t xml:space="preserve"> </w:t>
      </w:r>
      <w:r w:rsidR="007E6D90">
        <w:rPr>
          <w:rFonts w:asciiTheme="minorBidi" w:hAnsiTheme="minorBidi" w:cstheme="minorBidi"/>
          <w:lang w:val="en-US"/>
        </w:rPr>
        <w:t xml:space="preserve">(see </w:t>
      </w:r>
      <w:hyperlink r:id="rId31" w:history="1">
        <w:r w:rsidR="007E6D90" w:rsidRPr="00502368">
          <w:rPr>
            <w:rStyle w:val="Lienhypertexte"/>
            <w:rFonts w:asciiTheme="minorBidi" w:hAnsiTheme="minorBidi" w:cstheme="minorBidi"/>
          </w:rPr>
          <w:t>LHE/24/10.GA/INF.8</w:t>
        </w:r>
      </w:hyperlink>
      <w:r w:rsidR="007E6D90" w:rsidRPr="00E957F6">
        <w:t>)</w:t>
      </w:r>
      <w:bookmarkStart w:id="1" w:name="_Hlk147762468"/>
      <w:r w:rsidR="0099379F">
        <w:rPr>
          <w:rFonts w:asciiTheme="minorBidi" w:hAnsiTheme="minorBidi" w:cstheme="minorBidi"/>
          <w:lang w:val="en-US"/>
        </w:rPr>
        <w:t>.</w:t>
      </w:r>
    </w:p>
    <w:p w14:paraId="506813F9" w14:textId="77777777" w:rsidR="006A1817" w:rsidRPr="00B56D17" w:rsidRDefault="006A1817" w:rsidP="006A1817">
      <w:pPr>
        <w:pStyle w:val="COMPara"/>
        <w:numPr>
          <w:ilvl w:val="0"/>
          <w:numId w:val="21"/>
        </w:numPr>
        <w:spacing w:before="240"/>
        <w:ind w:left="567" w:hanging="567"/>
        <w:jc w:val="both"/>
        <w:rPr>
          <w:b/>
          <w:bCs/>
        </w:rPr>
      </w:pPr>
      <w:r>
        <w:rPr>
          <w:b/>
          <w:bCs/>
        </w:rPr>
        <w:t>Thematic initiatives</w:t>
      </w:r>
    </w:p>
    <w:p w14:paraId="43D30768" w14:textId="77481333" w:rsidR="006A1817" w:rsidRDefault="006B0709" w:rsidP="006A1817">
      <w:pPr>
        <w:pStyle w:val="COMPara"/>
        <w:ind w:left="567" w:hanging="567"/>
        <w:jc w:val="both"/>
      </w:pPr>
      <w:r>
        <w:t>T</w:t>
      </w:r>
      <w:r w:rsidR="006A1817" w:rsidRPr="00442B7E">
        <w:t xml:space="preserve">he Secretariat </w:t>
      </w:r>
      <w:r w:rsidR="006A1817">
        <w:t>advanced its</w:t>
      </w:r>
      <w:r w:rsidR="006A1817" w:rsidRPr="00442B7E">
        <w:t xml:space="preserve"> efforts in </w:t>
      </w:r>
      <w:r w:rsidR="006A1817">
        <w:t>three</w:t>
      </w:r>
      <w:r w:rsidR="006A1817" w:rsidRPr="00442B7E">
        <w:t xml:space="preserve"> </w:t>
      </w:r>
      <w:r w:rsidR="0022292B">
        <w:t xml:space="preserve">thematic </w:t>
      </w:r>
      <w:r>
        <w:t xml:space="preserve">initiatives, aiming to develop guidance on how to practically and conceptually engage </w:t>
      </w:r>
      <w:r w:rsidR="0022292B">
        <w:t xml:space="preserve">stakeholders </w:t>
      </w:r>
      <w:r>
        <w:t xml:space="preserve">and leverage living heritage for sustainable human development </w:t>
      </w:r>
      <w:r w:rsidR="006A1817">
        <w:t xml:space="preserve">(Decisions </w:t>
      </w:r>
      <w:hyperlink r:id="rId32" w:history="1">
        <w:r w:rsidR="006A1817" w:rsidRPr="00AA6236">
          <w:rPr>
            <w:rStyle w:val="Lienhypertexte"/>
          </w:rPr>
          <w:t>16.COM 5.b</w:t>
        </w:r>
      </w:hyperlink>
      <w:r w:rsidR="006A1817">
        <w:t xml:space="preserve">, </w:t>
      </w:r>
      <w:hyperlink r:id="rId33" w:history="1">
        <w:r w:rsidR="006A1817" w:rsidRPr="00AA6236">
          <w:rPr>
            <w:rStyle w:val="Lienhypertexte"/>
          </w:rPr>
          <w:t>17.COM 13</w:t>
        </w:r>
      </w:hyperlink>
      <w:r w:rsidR="006A1817">
        <w:t xml:space="preserve"> and </w:t>
      </w:r>
      <w:hyperlink r:id="rId34" w:history="1">
        <w:r w:rsidR="006A1817" w:rsidRPr="000C00CA">
          <w:rPr>
            <w:rStyle w:val="Lienhypertexte"/>
          </w:rPr>
          <w:t>18.COM 12</w:t>
        </w:r>
      </w:hyperlink>
      <w:r w:rsidR="006A1817">
        <w:t>)</w:t>
      </w:r>
      <w:r w:rsidR="006A1817" w:rsidRPr="00442B7E">
        <w:t>.</w:t>
      </w:r>
      <w:r>
        <w:t xml:space="preserve"> The three initiatives ha</w:t>
      </w:r>
      <w:r w:rsidR="0022292B">
        <w:t>ve</w:t>
      </w:r>
      <w:r>
        <w:t xml:space="preserve"> been following a similar approach, including a desk study, global survey and expert meeting, accompanied by a peer review process.</w:t>
      </w:r>
    </w:p>
    <w:p w14:paraId="57ADE15B" w14:textId="55BDBB8D" w:rsidR="00FC0DAE" w:rsidRDefault="00FC0DAE" w:rsidP="00A91C02">
      <w:pPr>
        <w:pStyle w:val="COMPara"/>
        <w:numPr>
          <w:ilvl w:val="0"/>
          <w:numId w:val="36"/>
        </w:numPr>
        <w:jc w:val="both"/>
        <w:rPr>
          <w:lang w:val="en-US"/>
        </w:rPr>
      </w:pPr>
      <w:r>
        <w:rPr>
          <w:lang w:val="en-US"/>
        </w:rPr>
        <w:t xml:space="preserve">On the theme of </w:t>
      </w:r>
      <w:r w:rsidRPr="00A91C02">
        <w:rPr>
          <w:u w:val="single"/>
          <w:lang w:val="en-US"/>
        </w:rPr>
        <w:t>economic dimensions of safeguarding intangible cultural herit</w:t>
      </w:r>
      <w:r>
        <w:rPr>
          <w:u w:val="single"/>
          <w:lang w:val="en-US"/>
        </w:rPr>
        <w:t>a</w:t>
      </w:r>
      <w:r w:rsidRPr="00A91C02">
        <w:rPr>
          <w:u w:val="single"/>
          <w:lang w:val="en-US"/>
        </w:rPr>
        <w:t>ge</w:t>
      </w:r>
      <w:r w:rsidR="00380A31">
        <w:rPr>
          <w:rStyle w:val="Appelnotedebasdep"/>
          <w:u w:val="single"/>
          <w:lang w:val="en-US"/>
        </w:rPr>
        <w:footnoteReference w:id="4"/>
      </w:r>
      <w:r>
        <w:rPr>
          <w:lang w:val="en-US"/>
        </w:rPr>
        <w:t>, the eighteenth session of the Committee examined the guidance note developed through the Category VI expert meeting held in 2023. The guidance note addressed the importance of developing heritage-sensitive approaches that are flexible and rights-based, bearing in mind that safeguarding measures for economic contexts should always be tailored to the specific needs and contexts of the communities concerned, as well as to their living heritage.</w:t>
      </w:r>
    </w:p>
    <w:p w14:paraId="71B7A3FA" w14:textId="15A7EB02" w:rsidR="006A1817" w:rsidRPr="000C00CA" w:rsidRDefault="006A1817" w:rsidP="00A91C02">
      <w:pPr>
        <w:pStyle w:val="COMPara"/>
        <w:numPr>
          <w:ilvl w:val="0"/>
          <w:numId w:val="36"/>
        </w:numPr>
        <w:jc w:val="both"/>
      </w:pPr>
      <w:r>
        <w:rPr>
          <w:lang w:val="en-US"/>
        </w:rPr>
        <w:t xml:space="preserve">With regards to the thematic initiative on </w:t>
      </w:r>
      <w:r w:rsidRPr="000C00CA">
        <w:rPr>
          <w:u w:val="single"/>
          <w:lang w:val="en-US"/>
        </w:rPr>
        <w:t>intangible cultural heritage and climate change</w:t>
      </w:r>
      <w:r w:rsidRPr="000D693C">
        <w:rPr>
          <w:lang w:val="en-US"/>
        </w:rPr>
        <w:t xml:space="preserve">, a desk-based study was undertaken and peer-reviewed by a group of experts coming from diverse fields, including climate change adaptation, disaster risk reduction and cultural rights. </w:t>
      </w:r>
      <w:r w:rsidRPr="000D693C">
        <w:rPr>
          <w:lang w:val="en-US"/>
        </w:rPr>
        <w:lastRenderedPageBreak/>
        <w:t xml:space="preserve">The findings from the desk-based study will inform the development of a guidance note that will be discussed during </w:t>
      </w:r>
      <w:r w:rsidR="0022292B">
        <w:rPr>
          <w:lang w:val="en-US"/>
        </w:rPr>
        <w:t xml:space="preserve">a Category VI </w:t>
      </w:r>
      <w:r w:rsidRPr="000D693C">
        <w:rPr>
          <w:lang w:val="en-US"/>
        </w:rPr>
        <w:t xml:space="preserve">expert meeting in </w:t>
      </w:r>
      <w:r w:rsidR="009F0181">
        <w:rPr>
          <w:lang w:val="en-US"/>
        </w:rPr>
        <w:t xml:space="preserve">June </w:t>
      </w:r>
      <w:r w:rsidR="00283108">
        <w:rPr>
          <w:lang w:val="en-US"/>
        </w:rPr>
        <w:t xml:space="preserve">and September </w:t>
      </w:r>
      <w:r w:rsidRPr="000D693C">
        <w:rPr>
          <w:lang w:val="en-US"/>
        </w:rPr>
        <w:t>2024</w:t>
      </w:r>
      <w:r>
        <w:rPr>
          <w:rFonts w:asciiTheme="minorBidi" w:hAnsiTheme="minorBidi" w:cstheme="minorBidi"/>
        </w:rPr>
        <w:t>.</w:t>
      </w:r>
    </w:p>
    <w:p w14:paraId="7543D6A8" w14:textId="65EF63FF" w:rsidR="00CA7723" w:rsidRPr="00A91C02" w:rsidRDefault="00CA7723">
      <w:pPr>
        <w:pStyle w:val="COMPara"/>
        <w:numPr>
          <w:ilvl w:val="0"/>
          <w:numId w:val="36"/>
        </w:numPr>
        <w:jc w:val="both"/>
      </w:pPr>
      <w:r>
        <w:rPr>
          <w:lang w:val="en-US"/>
        </w:rPr>
        <w:t>Concerning</w:t>
      </w:r>
      <w:r w:rsidRPr="002877D0">
        <w:rPr>
          <w:lang w:val="en-US"/>
        </w:rPr>
        <w:t xml:space="preserve"> the initiative on </w:t>
      </w:r>
      <w:r w:rsidRPr="00A91C02">
        <w:rPr>
          <w:u w:val="single"/>
          <w:lang w:val="en-US"/>
        </w:rPr>
        <w:t>safeguarding intangible cultural heritage in urban contexts</w:t>
      </w:r>
      <w:r w:rsidRPr="002877D0">
        <w:rPr>
          <w:lang w:val="en-US"/>
        </w:rPr>
        <w:t xml:space="preserve">, a </w:t>
      </w:r>
      <w:r>
        <w:rPr>
          <w:lang w:val="en-US"/>
        </w:rPr>
        <w:t>background document</w:t>
      </w:r>
      <w:r w:rsidRPr="002877D0">
        <w:rPr>
          <w:lang w:val="en-US"/>
        </w:rPr>
        <w:t xml:space="preserve"> ha</w:t>
      </w:r>
      <w:r>
        <w:rPr>
          <w:lang w:val="en-US"/>
        </w:rPr>
        <w:t>s</w:t>
      </w:r>
      <w:r w:rsidRPr="002877D0">
        <w:rPr>
          <w:lang w:val="en-US"/>
        </w:rPr>
        <w:t xml:space="preserve"> been developed to explore </w:t>
      </w:r>
      <w:r>
        <w:rPr>
          <w:lang w:val="en-US"/>
        </w:rPr>
        <w:t xml:space="preserve">a </w:t>
      </w:r>
      <w:r w:rsidRPr="002877D0">
        <w:rPr>
          <w:lang w:val="en-US"/>
        </w:rPr>
        <w:t xml:space="preserve">methodology for incorporating living heritage in urban planning. The initiative aims to </w:t>
      </w:r>
      <w:r w:rsidRPr="006F2EE9">
        <w:rPr>
          <w:lang w:val="en-US"/>
        </w:rPr>
        <w:t xml:space="preserve">formulate recommendations for policy makers, urban </w:t>
      </w:r>
      <w:proofErr w:type="gramStart"/>
      <w:r w:rsidRPr="006F2EE9">
        <w:rPr>
          <w:lang w:val="en-US"/>
        </w:rPr>
        <w:t>planners</w:t>
      </w:r>
      <w:proofErr w:type="gramEnd"/>
      <w:r w:rsidRPr="006F2EE9">
        <w:rPr>
          <w:lang w:val="en-US"/>
        </w:rPr>
        <w:t xml:space="preserve"> and practitioners by highlighting the role of living heritage in sustainable urban development.</w:t>
      </w:r>
      <w:r>
        <w:rPr>
          <w:lang w:val="en-US"/>
        </w:rPr>
        <w:t xml:space="preserve"> </w:t>
      </w:r>
      <w:r w:rsidRPr="000D693C">
        <w:rPr>
          <w:lang w:val="en-US"/>
        </w:rPr>
        <w:t xml:space="preserve">A draft guidance note is </w:t>
      </w:r>
      <w:r>
        <w:rPr>
          <w:lang w:val="en-US"/>
        </w:rPr>
        <w:t xml:space="preserve">currently </w:t>
      </w:r>
      <w:r w:rsidRPr="000D693C">
        <w:rPr>
          <w:lang w:val="en-US"/>
        </w:rPr>
        <w:t xml:space="preserve">being </w:t>
      </w:r>
      <w:r>
        <w:rPr>
          <w:lang w:val="en-US"/>
        </w:rPr>
        <w:t>developed</w:t>
      </w:r>
      <w:r w:rsidRPr="000D693C">
        <w:rPr>
          <w:lang w:val="en-US"/>
        </w:rPr>
        <w:t xml:space="preserve"> and will be discussed at an expert meeting</w:t>
      </w:r>
      <w:r>
        <w:rPr>
          <w:lang w:val="en-US"/>
        </w:rPr>
        <w:t>.</w:t>
      </w:r>
    </w:p>
    <w:p w14:paraId="0629A1D0" w14:textId="2BDC174A" w:rsidR="00B61A47" w:rsidRPr="00A91C02" w:rsidRDefault="00B61A47" w:rsidP="00A91C02">
      <w:pPr>
        <w:pStyle w:val="COMPara"/>
        <w:ind w:left="567" w:hanging="567"/>
        <w:jc w:val="both"/>
      </w:pPr>
      <w:r>
        <w:t xml:space="preserve">Linkages were sought and strengthened with </w:t>
      </w:r>
      <w:r w:rsidR="007C4AFA">
        <w:t>other</w:t>
      </w:r>
      <w:r>
        <w:t xml:space="preserve"> Culture Conventions, most notably with the </w:t>
      </w:r>
      <w:r w:rsidRPr="00067151">
        <w:rPr>
          <w:u w:val="single"/>
        </w:rPr>
        <w:t>World Heritage</w:t>
      </w:r>
      <w:r w:rsidRPr="00B61A47">
        <w:rPr>
          <w:u w:val="single"/>
        </w:rPr>
        <w:t xml:space="preserve"> Convention</w:t>
      </w:r>
      <w:r>
        <w:t>. In November 2023, the UNESCO Conference on Cultural Heritage in the 21st</w:t>
      </w:r>
      <w:r w:rsidRPr="00B61A47">
        <w:rPr>
          <w:vertAlign w:val="superscript"/>
        </w:rPr>
        <w:t xml:space="preserve"> </w:t>
      </w:r>
      <w:r>
        <w:t>Century was held in Naples, Italy,</w:t>
      </w:r>
      <w:r w:rsidR="00067151">
        <w:t xml:space="preserve"> in light of the</w:t>
      </w:r>
      <w:r w:rsidR="007211BA">
        <w:t xml:space="preserve"> </w:t>
      </w:r>
      <w:r w:rsidR="00067151">
        <w:t>fiftieth (1972 Convention) and twentieth (2003 Convention) anniversaries</w:t>
      </w:r>
      <w:r w:rsidR="007211BA">
        <w:t xml:space="preserve"> of both Conventions</w:t>
      </w:r>
      <w:r w:rsidR="00067151">
        <w:t>,</w:t>
      </w:r>
      <w:r>
        <w:t xml:space="preserve"> to discuss holistic approaches to safeguard both tangible and intangible cultural heritage. The Conference led to the </w:t>
      </w:r>
      <w:hyperlink r:id="rId35" w:history="1">
        <w:r w:rsidRPr="006A1817">
          <w:rPr>
            <w:rStyle w:val="Lienhypertexte"/>
          </w:rPr>
          <w:t>‘Spirit of Naples’ Call for Action</w:t>
        </w:r>
      </w:hyperlink>
      <w:r>
        <w:t>, which is</w:t>
      </w:r>
      <w:r w:rsidRPr="00B61A47">
        <w:rPr>
          <w:lang w:val="en-US"/>
        </w:rPr>
        <w:t xml:space="preserve"> an appeal to all UNESCO Member States and stakeholders to enact public policies and strategies anchored in the Call for Action’s principles.</w:t>
      </w:r>
      <w:r>
        <w:t xml:space="preserve"> The thematic initiative on the economic dimensions of safeguarding intangible cultural heritage also provided an opportunity for collaboration, with the joint implementation of operational projects</w:t>
      </w:r>
      <w:r>
        <w:rPr>
          <w:rStyle w:val="Appelnotedebasdep"/>
        </w:rPr>
        <w:footnoteReference w:id="5"/>
      </w:r>
      <w:r w:rsidR="005C54EA">
        <w:t>, aiming to support communities through sustainable tourism and heritage safeguarding in World Heritage cities</w:t>
      </w:r>
      <w:r w:rsidRPr="00B61A47">
        <w:rPr>
          <w:lang w:val="en-US"/>
        </w:rPr>
        <w:t>.</w:t>
      </w:r>
    </w:p>
    <w:p w14:paraId="4C494C11" w14:textId="6D82FDD5" w:rsidR="006A1817" w:rsidRPr="00B56D17" w:rsidRDefault="00187199" w:rsidP="00A91C02">
      <w:pPr>
        <w:pStyle w:val="COMPara"/>
        <w:keepNext/>
        <w:numPr>
          <w:ilvl w:val="0"/>
          <w:numId w:val="21"/>
        </w:numPr>
        <w:spacing w:before="240"/>
        <w:ind w:left="567" w:hanging="567"/>
        <w:jc w:val="both"/>
        <w:rPr>
          <w:b/>
          <w:bCs/>
        </w:rPr>
      </w:pPr>
      <w:r>
        <w:rPr>
          <w:b/>
          <w:bCs/>
        </w:rPr>
        <w:t>P</w:t>
      </w:r>
      <w:r w:rsidR="00F3514B">
        <w:rPr>
          <w:b/>
          <w:bCs/>
        </w:rPr>
        <w:t>artnership</w:t>
      </w:r>
      <w:r w:rsidR="004A0020">
        <w:rPr>
          <w:b/>
          <w:bCs/>
        </w:rPr>
        <w:t>s</w:t>
      </w:r>
      <w:r>
        <w:rPr>
          <w:b/>
          <w:bCs/>
        </w:rPr>
        <w:t>, communications</w:t>
      </w:r>
      <w:r w:rsidR="006A1817">
        <w:rPr>
          <w:b/>
          <w:bCs/>
        </w:rPr>
        <w:t xml:space="preserve"> and outreach</w:t>
      </w:r>
    </w:p>
    <w:p w14:paraId="006FD7D3" w14:textId="7555A11F" w:rsidR="00187199" w:rsidRDefault="00187199" w:rsidP="00187199">
      <w:pPr>
        <w:pStyle w:val="COMPara"/>
        <w:ind w:left="567" w:hanging="567"/>
        <w:jc w:val="both"/>
      </w:pPr>
      <w:r>
        <w:t xml:space="preserve">The Secretariat continued to strengthen its </w:t>
      </w:r>
      <w:r w:rsidRPr="00A91C02">
        <w:t>collaboration with the</w:t>
      </w:r>
      <w:r w:rsidRPr="00DE59B0">
        <w:t xml:space="preserve"> </w:t>
      </w:r>
      <w:r w:rsidRPr="00421BBB">
        <w:rPr>
          <w:u w:val="single"/>
        </w:rPr>
        <w:t>ICH NGO Forum</w:t>
      </w:r>
      <w:r>
        <w:t>, particularly in the mapping of the domains of competencies of accredited NGOs</w:t>
      </w:r>
      <w:r w:rsidR="00380BFA">
        <w:t>,</w:t>
      </w:r>
      <w:r>
        <w:t xml:space="preserve"> with the results of the exercise </w:t>
      </w:r>
      <w:r w:rsidRPr="007E2411">
        <w:rPr>
          <w:lang w:val="en-US"/>
        </w:rPr>
        <w:t>visuali</w:t>
      </w:r>
      <w:r>
        <w:rPr>
          <w:lang w:val="en-US"/>
        </w:rPr>
        <w:t>zed</w:t>
      </w:r>
      <w:r w:rsidRPr="007E2411">
        <w:rPr>
          <w:lang w:val="en-US"/>
        </w:rPr>
        <w:t xml:space="preserve"> on the </w:t>
      </w:r>
      <w:r w:rsidR="00923F7F">
        <w:rPr>
          <w:lang w:val="en-US"/>
        </w:rPr>
        <w:t xml:space="preserve">dedicated </w:t>
      </w:r>
      <w:r w:rsidRPr="007E2411">
        <w:rPr>
          <w:lang w:val="en-US"/>
        </w:rPr>
        <w:t xml:space="preserve">webpage (Decision </w:t>
      </w:r>
      <w:hyperlink r:id="rId36" w:history="1">
        <w:r w:rsidRPr="007E2411">
          <w:rPr>
            <w:rStyle w:val="Lienhypertexte"/>
            <w:lang w:val="en-US"/>
          </w:rPr>
          <w:t>14.COM 15</w:t>
        </w:r>
      </w:hyperlink>
      <w:r w:rsidRPr="007E2411">
        <w:rPr>
          <w:lang w:val="en-US"/>
        </w:rPr>
        <w:t>).</w:t>
      </w:r>
      <w:r>
        <w:t xml:space="preserve"> Furthermore, in line with Resolution </w:t>
      </w:r>
      <w:hyperlink r:id="rId37" w:history="1">
        <w:r w:rsidRPr="007E2411">
          <w:rPr>
            <w:rStyle w:val="Lienhypertexte"/>
          </w:rPr>
          <w:t>9.GA 7</w:t>
        </w:r>
      </w:hyperlink>
      <w:r>
        <w:t>, the Secretariat launched a survey</w:t>
      </w:r>
      <w:r w:rsidR="00F17A16">
        <w:rPr>
          <w:rStyle w:val="Appelnotedebasdep"/>
        </w:rPr>
        <w:footnoteReference w:id="6"/>
      </w:r>
      <w:r>
        <w:t xml:space="preserve"> to collect the views of States Parties on the </w:t>
      </w:r>
      <w:r w:rsidRPr="007E2411">
        <w:rPr>
          <w:lang w:val="en-US"/>
        </w:rPr>
        <w:t>development of a ‘plan, strategy and clear mechanisms aimed at ensuring geographical balance among accredited NGOs under the Convention’</w:t>
      </w:r>
      <w:r>
        <w:rPr>
          <w:lang w:val="en-US"/>
        </w:rPr>
        <w:t>.</w:t>
      </w:r>
    </w:p>
    <w:p w14:paraId="0CD2B7A3" w14:textId="357629B5" w:rsidR="00187199" w:rsidRPr="00757D68" w:rsidRDefault="00187199" w:rsidP="00A91C02">
      <w:pPr>
        <w:pStyle w:val="COMPara"/>
        <w:ind w:left="567" w:hanging="567"/>
        <w:jc w:val="both"/>
        <w:rPr>
          <w:rFonts w:asciiTheme="minorBidi" w:hAnsiTheme="minorBidi" w:cstheme="minorBidi"/>
        </w:rPr>
      </w:pPr>
      <w:r>
        <w:rPr>
          <w:rFonts w:asciiTheme="minorBidi" w:hAnsiTheme="minorBidi"/>
          <w:bCs/>
        </w:rPr>
        <w:t xml:space="preserve">As regards </w:t>
      </w:r>
      <w:r w:rsidRPr="00A91C02">
        <w:rPr>
          <w:rFonts w:asciiTheme="minorBidi" w:hAnsiTheme="minorBidi"/>
          <w:bCs/>
          <w:u w:val="single"/>
        </w:rPr>
        <w:t>Category</w:t>
      </w:r>
      <w:r w:rsidRPr="00A91C02">
        <w:rPr>
          <w:rFonts w:asciiTheme="minorBidi" w:hAnsiTheme="minorBidi" w:cstheme="minorBidi"/>
          <w:bCs/>
          <w:u w:val="single"/>
        </w:rPr>
        <w:t xml:space="preserve"> 2 centres</w:t>
      </w:r>
      <w:r w:rsidRPr="00187199">
        <w:rPr>
          <w:rFonts w:asciiTheme="minorBidi" w:hAnsiTheme="minorBidi" w:cstheme="minorBidi"/>
          <w:bCs/>
        </w:rPr>
        <w:t>, the</w:t>
      </w:r>
      <w:r w:rsidRPr="00757D68">
        <w:rPr>
          <w:rFonts w:asciiTheme="minorBidi" w:hAnsiTheme="minorBidi" w:cstheme="minorBidi"/>
        </w:rPr>
        <w:t xml:space="preserve"> </w:t>
      </w:r>
      <w:r w:rsidRPr="00757D68">
        <w:t xml:space="preserve">tenth annual coordination meeting was held at UNESCO Headquarters in July 2022, while the eleventh annual meeting was hosted by the Regional Centre for Intangible Cultural Heritage in South-Eastern Europe in September 2023 in Plovdiv, Bulgaria. In addition, the Secretariat coordinated renewal evaluation processes with five </w:t>
      </w:r>
      <w:r w:rsidR="00900DAA">
        <w:t>C</w:t>
      </w:r>
      <w:r w:rsidRPr="00757D68">
        <w:t xml:space="preserve">ategory 2 centres: </w:t>
      </w:r>
      <w:r w:rsidRPr="00757D68">
        <w:rPr>
          <w:rFonts w:asciiTheme="minorBidi" w:hAnsiTheme="minorBidi" w:cstheme="minorBidi"/>
        </w:rPr>
        <w:t xml:space="preserve">the Regional Centre for the Safeguarding of the Intangible Cultural Heritage of Latin America (CRESPIAL), the Regional Centre for the Safeguarding of the Intangible Cultural Heritage in Africa (CRESPIAF), </w:t>
      </w:r>
      <w:r w:rsidRPr="00757D68">
        <w:t xml:space="preserve">the Regional Centre for </w:t>
      </w:r>
      <w:r w:rsidR="00E97256">
        <w:t xml:space="preserve">the Safeguarding of </w:t>
      </w:r>
      <w:r w:rsidRPr="00757D68">
        <w:t>Intangible Cultural Heritage in South-Eastern Europe</w:t>
      </w:r>
      <w:r w:rsidRPr="00757D68">
        <w:rPr>
          <w:rFonts w:asciiTheme="minorBidi" w:hAnsiTheme="minorBidi" w:cstheme="minorBidi"/>
        </w:rPr>
        <w:t xml:space="preserve"> (RCSICH), </w:t>
      </w:r>
      <w:r w:rsidRPr="00757D68">
        <w:t xml:space="preserve">the International Training Centre for Intangible Cultural Heritage in the Asia-Pacific Region (CRIHAP) </w:t>
      </w:r>
      <w:r w:rsidRPr="00757D68">
        <w:rPr>
          <w:rFonts w:asciiTheme="minorBidi" w:hAnsiTheme="minorBidi" w:cstheme="minorBidi"/>
        </w:rPr>
        <w:t>and the International Research Centre for Intangible Cultural Heritage in the Asia-Pacific Region (IRCI).</w:t>
      </w:r>
    </w:p>
    <w:p w14:paraId="0ADB9267" w14:textId="08CA0229" w:rsidR="00187199" w:rsidRPr="00FF08E2" w:rsidRDefault="00187199" w:rsidP="00A91C02">
      <w:pPr>
        <w:pStyle w:val="COMPara"/>
        <w:ind w:left="567" w:hanging="567"/>
        <w:jc w:val="both"/>
      </w:pPr>
      <w:r w:rsidRPr="00FF08E2">
        <w:t xml:space="preserve">The reporting period also included the evaluation of twelve proposals for the establishment or renewal </w:t>
      </w:r>
      <w:r w:rsidR="008A52EF" w:rsidRPr="00FF08E2">
        <w:t xml:space="preserve">of </w:t>
      </w:r>
      <w:r w:rsidRPr="00A91C02">
        <w:rPr>
          <w:u w:val="single"/>
        </w:rPr>
        <w:t xml:space="preserve">UNESCO </w:t>
      </w:r>
      <w:r w:rsidR="00B342B0">
        <w:rPr>
          <w:u w:val="single"/>
        </w:rPr>
        <w:t>C</w:t>
      </w:r>
      <w:r w:rsidRPr="00A91C02">
        <w:rPr>
          <w:u w:val="single"/>
        </w:rPr>
        <w:t>hairs</w:t>
      </w:r>
      <w:r w:rsidRPr="00FF08E2">
        <w:t xml:space="preserve"> in the field of intangible cultural heritage, including the establishment of the UNITWIN network on living heritage safeguarding in Argentina, Uruguay and Paraguay. An exchange session with UNITWIN/UNESCO Chairs and regional university networks was organized by the Secretariat at the margins of the seventeenth session of the Committee.</w:t>
      </w:r>
    </w:p>
    <w:p w14:paraId="7747166E" w14:textId="08C289C3" w:rsidR="00D0118F" w:rsidRPr="00D0118F" w:rsidRDefault="006A1817" w:rsidP="00A91C02">
      <w:pPr>
        <w:pStyle w:val="COMPara"/>
        <w:keepNext/>
        <w:ind w:left="567" w:hanging="567"/>
        <w:jc w:val="both"/>
      </w:pPr>
      <w:r>
        <w:t xml:space="preserve">Strategic </w:t>
      </w:r>
      <w:r w:rsidRPr="00A91C02">
        <w:rPr>
          <w:u w:val="single"/>
        </w:rPr>
        <w:t>communications</w:t>
      </w:r>
      <w:r>
        <w:t xml:space="preserve"> </w:t>
      </w:r>
      <w:r w:rsidR="00731764">
        <w:t>remain</w:t>
      </w:r>
      <w:r>
        <w:t xml:space="preserve"> a </w:t>
      </w:r>
      <w:r w:rsidR="008521D1">
        <w:t>key</w:t>
      </w:r>
      <w:r>
        <w:t xml:space="preserve"> element of the Convention’s </w:t>
      </w:r>
      <w:r w:rsidR="00223FE5">
        <w:t xml:space="preserve">efforts to increase its visibility and reach diverse stakeholders. Since 2021, the Secretariat has enhanced its </w:t>
      </w:r>
      <w:r w:rsidR="00223FE5">
        <w:lastRenderedPageBreak/>
        <w:t>collaboration with UNESCO’s Division for Communications and Public Engagement</w:t>
      </w:r>
      <w:r w:rsidR="00007806">
        <w:t xml:space="preserve"> (CPE)</w:t>
      </w:r>
      <w:r w:rsidR="00223FE5">
        <w:t>, particularly in the use of social media. As a result, t</w:t>
      </w:r>
      <w:r w:rsidR="00223FE5" w:rsidRPr="00757D68">
        <w:t>he visibility of the Convention has been enhanced on UNESCO’s general social media (Twitter, Facebook and Instagram) through increased social media posts featuring living heritage</w:t>
      </w:r>
      <w:r w:rsidR="00223FE5">
        <w:t>.</w:t>
      </w:r>
      <w:r w:rsidR="00223FE5" w:rsidRPr="00757D68">
        <w:rPr>
          <w:rStyle w:val="Appelnotedebasdep"/>
        </w:rPr>
        <w:footnoteReference w:id="7"/>
      </w:r>
      <w:r w:rsidR="00B229EA">
        <w:t xml:space="preserve"> These messages helped to promote </w:t>
      </w:r>
      <w:r w:rsidR="00B229EA" w:rsidRPr="00502368">
        <w:t>international days related to living heritage</w:t>
      </w:r>
      <w:r w:rsidR="00B229EA">
        <w:t xml:space="preserve">, such as </w:t>
      </w:r>
      <w:r w:rsidR="00B229EA" w:rsidRPr="0001092A">
        <w:rPr>
          <w:lang w:val="en-US"/>
        </w:rPr>
        <w:t>Nowruz, International Day of Yoga, and International Day of the World’s Indigenous Peoples, among others.</w:t>
      </w:r>
      <w:r w:rsidR="0001092A">
        <w:rPr>
          <w:rFonts w:asciiTheme="minorBidi" w:hAnsiTheme="minorBidi"/>
        </w:rPr>
        <w:t xml:space="preserve"> </w:t>
      </w:r>
      <w:r w:rsidR="00D0118F" w:rsidRPr="0001092A">
        <w:rPr>
          <w:rFonts w:asciiTheme="minorBidi" w:hAnsiTheme="minorBidi"/>
        </w:rPr>
        <w:t>During the reporting period, extensive work was undertaken to adapt all communication materials of the Convention to UNESCO’s new logo and design, including the new revamped website in November 2022.</w:t>
      </w:r>
    </w:p>
    <w:p w14:paraId="7D46D712" w14:textId="48C19E35" w:rsidR="00CA7723" w:rsidRPr="00F27CF9" w:rsidRDefault="00411B29" w:rsidP="00A91C02">
      <w:pPr>
        <w:pStyle w:val="COMPara"/>
        <w:ind w:left="567" w:hanging="567"/>
        <w:jc w:val="both"/>
      </w:pPr>
      <w:r>
        <w:t xml:space="preserve">In terms of </w:t>
      </w:r>
      <w:r w:rsidRPr="00510A7F">
        <w:rPr>
          <w:u w:val="single"/>
        </w:rPr>
        <w:t>knowledge management services</w:t>
      </w:r>
      <w:r>
        <w:t xml:space="preserve">, </w:t>
      </w:r>
      <w:r w:rsidRPr="00510A7F">
        <w:rPr>
          <w:lang w:val="en-US"/>
        </w:rPr>
        <w:t xml:space="preserve">the Secretariat continued to work closely with UNESCO’s </w:t>
      </w:r>
      <w:r w:rsidRPr="00510A7F">
        <w:rPr>
          <w:bCs/>
          <w:lang w:val="en-US"/>
        </w:rPr>
        <w:t>Bureau of Digital Business Solutions (DBS) to</w:t>
      </w:r>
      <w:r w:rsidRPr="00510A7F">
        <w:rPr>
          <w:lang w:val="en-US"/>
        </w:rPr>
        <w:t xml:space="preserve"> improve the performance and functionality of existing digital tools</w:t>
      </w:r>
      <w:r w:rsidRPr="00510A7F">
        <w:rPr>
          <w:bCs/>
          <w:lang w:val="en-US"/>
        </w:rPr>
        <w:t xml:space="preserve">. </w:t>
      </w:r>
      <w:r w:rsidR="00510A7F" w:rsidRPr="00510A7F">
        <w:rPr>
          <w:bCs/>
          <w:lang w:val="en-US"/>
        </w:rPr>
        <w:t xml:space="preserve">A case in point is </w:t>
      </w:r>
      <w:r w:rsidR="00510A7F">
        <w:t xml:space="preserve">the </w:t>
      </w:r>
      <w:r w:rsidR="00007806">
        <w:t xml:space="preserve">improved </w:t>
      </w:r>
      <w:r w:rsidRPr="00510A7F">
        <w:rPr>
          <w:lang w:val="en-US"/>
        </w:rPr>
        <w:t xml:space="preserve">workflows to reflect the statutory possibilities introduced following the global reflection on the listing mechanisms, on both the webpage and the online monitoring interface of the Evaluation Body. In terms of periodic reporting, access to online platforms was provided to the designated country focal points. Efforts are </w:t>
      </w:r>
      <w:r w:rsidR="00510A7F" w:rsidRPr="00510A7F">
        <w:rPr>
          <w:lang w:val="en-US"/>
        </w:rPr>
        <w:t xml:space="preserve">also </w:t>
      </w:r>
      <w:r w:rsidRPr="00510A7F">
        <w:rPr>
          <w:lang w:val="en-US"/>
        </w:rPr>
        <w:t>underway to enhance the visualization of accredited NGOs on the webpage</w:t>
      </w:r>
      <w:r w:rsidR="00510A7F" w:rsidRPr="00510A7F">
        <w:rPr>
          <w:lang w:val="en-US"/>
        </w:rPr>
        <w:t xml:space="preserve"> </w:t>
      </w:r>
      <w:r w:rsidRPr="00510A7F">
        <w:rPr>
          <w:lang w:val="en-US"/>
        </w:rPr>
        <w:t xml:space="preserve">and develop a new online tool for sharing safeguarding measures following the reflection on Article 18. A dedicated directory for UNESCO Chairs and UNITWIN Networks focusing on living heritage </w:t>
      </w:r>
      <w:r w:rsidR="00510A7F" w:rsidRPr="00510A7F">
        <w:rPr>
          <w:lang w:val="en-US"/>
        </w:rPr>
        <w:t>has also been made available on the Convention’s website</w:t>
      </w:r>
      <w:r w:rsidRPr="00510A7F">
        <w:rPr>
          <w:lang w:val="en-US"/>
        </w:rPr>
        <w:t>.</w:t>
      </w:r>
      <w:r w:rsidR="00510A7F">
        <w:rPr>
          <w:lang w:val="en-US"/>
        </w:rPr>
        <w:t xml:space="preserve"> </w:t>
      </w:r>
      <w:r w:rsidR="00CA7723">
        <w:t xml:space="preserve">Additionally, the Secretariat is developing digital tools to support the </w:t>
      </w:r>
      <w:r w:rsidR="00CA7723" w:rsidRPr="00A91C02">
        <w:t>safeguarding and</w:t>
      </w:r>
      <w:r w:rsidR="00CA7723" w:rsidRPr="00510A7F">
        <w:rPr>
          <w:u w:val="single"/>
        </w:rPr>
        <w:t xml:space="preserve"> </w:t>
      </w:r>
      <w:r w:rsidR="00CA7723" w:rsidRPr="00A91C02">
        <w:rPr>
          <w:rFonts w:asciiTheme="minorBidi" w:hAnsiTheme="minorBidi" w:cstheme="minorBidi"/>
          <w:lang w:val="en-US"/>
        </w:rPr>
        <w:t>transmission</w:t>
      </w:r>
      <w:r w:rsidR="00CA7723" w:rsidRPr="00A91C02">
        <w:t xml:space="preserve"> of foodways as living heritage</w:t>
      </w:r>
      <w:r w:rsidR="001345B0">
        <w:t>.</w:t>
      </w:r>
      <w:r w:rsidR="00CD22AC">
        <w:rPr>
          <w:rStyle w:val="Appelnotedebasdep"/>
        </w:rPr>
        <w:footnoteReference w:id="8"/>
      </w:r>
    </w:p>
    <w:p w14:paraId="34FC369D" w14:textId="73E0416A" w:rsidR="00C04B01" w:rsidRPr="00F27CF9" w:rsidRDefault="00B023DF" w:rsidP="00C04B01">
      <w:pPr>
        <w:pStyle w:val="COMPara"/>
        <w:numPr>
          <w:ilvl w:val="0"/>
          <w:numId w:val="21"/>
        </w:numPr>
        <w:spacing w:before="240"/>
        <w:ind w:left="567" w:hanging="567"/>
        <w:jc w:val="both"/>
        <w:rPr>
          <w:b/>
          <w:bCs/>
        </w:rPr>
      </w:pPr>
      <w:r w:rsidRPr="00A91C02">
        <w:rPr>
          <w:b/>
          <w:bCs/>
        </w:rPr>
        <w:t xml:space="preserve">Twentieth anniversary of the Convention and </w:t>
      </w:r>
      <w:r w:rsidR="00D77E25" w:rsidRPr="00F27CF9">
        <w:rPr>
          <w:b/>
          <w:bCs/>
        </w:rPr>
        <w:t>visions for the future of the Convention</w:t>
      </w:r>
      <w:bookmarkEnd w:id="1"/>
    </w:p>
    <w:p w14:paraId="5A1A1ED0" w14:textId="5A0233B5" w:rsidR="007053C3" w:rsidRPr="00A91C02" w:rsidRDefault="00461597" w:rsidP="00A91C02">
      <w:pPr>
        <w:pStyle w:val="COMPara"/>
        <w:ind w:left="567" w:hanging="567"/>
        <w:jc w:val="both"/>
      </w:pPr>
      <w:r w:rsidRPr="00F27CF9">
        <w:rPr>
          <w:rFonts w:asciiTheme="minorBidi" w:hAnsiTheme="minorBidi" w:cstheme="minorBidi"/>
        </w:rPr>
        <w:t>The present report reflects how intense the Secretariat’s operations have been, covering numerous areas to support the decision-making process of the governing bodies of the Convention, while at the same time administering different international cooperation mechanisms, carrying out operational projects</w:t>
      </w:r>
      <w:r w:rsidR="00360B8C">
        <w:rPr>
          <w:rFonts w:asciiTheme="minorBidi" w:hAnsiTheme="minorBidi" w:cstheme="minorBidi"/>
        </w:rPr>
        <w:t>, as well as</w:t>
      </w:r>
      <w:r w:rsidRPr="00F27CF9">
        <w:rPr>
          <w:rFonts w:asciiTheme="minorBidi" w:hAnsiTheme="minorBidi" w:cstheme="minorBidi"/>
        </w:rPr>
        <w:t xml:space="preserve"> expanding the capacity-building approach, responding to emergency situations, and developing new thematic areas. </w:t>
      </w:r>
      <w:r w:rsidR="00D0118F" w:rsidRPr="00F27CF9">
        <w:t xml:space="preserve">The </w:t>
      </w:r>
      <w:r w:rsidR="00B023DF" w:rsidRPr="00F27CF9">
        <w:t xml:space="preserve">reporting period was </w:t>
      </w:r>
      <w:r w:rsidRPr="00F27CF9">
        <w:t xml:space="preserve">particularly </w:t>
      </w:r>
      <w:r w:rsidR="00B023DF" w:rsidRPr="00F27CF9">
        <w:t xml:space="preserve">marked by the </w:t>
      </w:r>
      <w:r w:rsidR="00D0118F" w:rsidRPr="00F27CF9">
        <w:t>twentieth anniversary of the Convention in 2023</w:t>
      </w:r>
      <w:r w:rsidR="00007806">
        <w:t>,</w:t>
      </w:r>
      <w:r w:rsidR="00B023DF" w:rsidRPr="00F27CF9">
        <w:t xml:space="preserve"> </w:t>
      </w:r>
      <w:r w:rsidR="004948A5" w:rsidRPr="00F27CF9">
        <w:rPr>
          <w:rFonts w:asciiTheme="minorBidi" w:hAnsiTheme="minorBidi" w:cstheme="minorBidi"/>
        </w:rPr>
        <w:t xml:space="preserve">which </w:t>
      </w:r>
      <w:r w:rsidR="00544899" w:rsidRPr="00A91C02">
        <w:t>was</w:t>
      </w:r>
      <w:r w:rsidR="00544899" w:rsidRPr="00F27CF9">
        <w:rPr>
          <w:rFonts w:asciiTheme="minorBidi" w:hAnsiTheme="minorBidi" w:cstheme="minorBidi"/>
        </w:rPr>
        <w:t xml:space="preserve"> celebrated through over 120 activities organized at local, national</w:t>
      </w:r>
      <w:r w:rsidR="00304460">
        <w:rPr>
          <w:rFonts w:asciiTheme="minorBidi" w:hAnsiTheme="minorBidi" w:cstheme="minorBidi"/>
        </w:rPr>
        <w:t>,</w:t>
      </w:r>
      <w:r w:rsidR="00544899" w:rsidRPr="00F27CF9">
        <w:rPr>
          <w:rFonts w:asciiTheme="minorBidi" w:hAnsiTheme="minorBidi" w:cstheme="minorBidi"/>
        </w:rPr>
        <w:t xml:space="preserve"> regional</w:t>
      </w:r>
      <w:r w:rsidR="004948A5" w:rsidRPr="00F27CF9">
        <w:rPr>
          <w:rFonts w:asciiTheme="minorBidi" w:hAnsiTheme="minorBidi" w:cstheme="minorBidi"/>
        </w:rPr>
        <w:t xml:space="preserve"> and international</w:t>
      </w:r>
      <w:r w:rsidR="00544899" w:rsidRPr="00F27CF9">
        <w:rPr>
          <w:rFonts w:asciiTheme="minorBidi" w:hAnsiTheme="minorBidi" w:cstheme="minorBidi"/>
        </w:rPr>
        <w:t xml:space="preserve"> levels</w:t>
      </w:r>
      <w:r w:rsidR="004948A5" w:rsidRPr="00F27CF9">
        <w:rPr>
          <w:rFonts w:asciiTheme="minorBidi" w:hAnsiTheme="minorBidi" w:cstheme="minorBidi"/>
        </w:rPr>
        <w:t xml:space="preserve"> </w:t>
      </w:r>
      <w:r w:rsidR="00AD17A3" w:rsidRPr="00F27CF9">
        <w:rPr>
          <w:rFonts w:asciiTheme="minorBidi" w:hAnsiTheme="minorBidi" w:cstheme="minorBidi"/>
        </w:rPr>
        <w:t>– the report of the anniversary year</w:t>
      </w:r>
      <w:r w:rsidR="006074A2">
        <w:rPr>
          <w:rFonts w:asciiTheme="minorBidi" w:hAnsiTheme="minorBidi" w:cstheme="minorBidi"/>
        </w:rPr>
        <w:t xml:space="preserve"> is presented to the present session</w:t>
      </w:r>
      <w:r w:rsidR="00AD17A3" w:rsidRPr="00F27CF9">
        <w:rPr>
          <w:rFonts w:asciiTheme="minorBidi" w:hAnsiTheme="minorBidi" w:cstheme="minorBidi"/>
        </w:rPr>
        <w:t xml:space="preserve"> </w:t>
      </w:r>
      <w:r w:rsidR="00AD17A3" w:rsidRPr="00F27CF9">
        <w:t xml:space="preserve">(document </w:t>
      </w:r>
      <w:hyperlink r:id="rId38" w:history="1">
        <w:r w:rsidR="00E630A3" w:rsidRPr="00502368">
          <w:rPr>
            <w:rStyle w:val="Lienhypertexte"/>
          </w:rPr>
          <w:t>LHE/24/10.GA/10</w:t>
        </w:r>
      </w:hyperlink>
      <w:r w:rsidR="00AD17A3" w:rsidRPr="00F27CF9">
        <w:t>).</w:t>
      </w:r>
      <w:r w:rsidR="00A056CC" w:rsidRPr="00F27CF9">
        <w:t xml:space="preserve"> </w:t>
      </w:r>
      <w:r w:rsidR="006074A2">
        <w:t>Building on the progress made over the two decades as affirmed through the anniversary celebrations</w:t>
      </w:r>
      <w:r w:rsidR="00434242" w:rsidRPr="00F27CF9">
        <w:t>, the General Assembly is invited to take note of</w:t>
      </w:r>
      <w:r w:rsidR="006074A2">
        <w:t xml:space="preserve"> and provide inputs on</w:t>
      </w:r>
      <w:r w:rsidR="00434242" w:rsidRPr="00F27CF9">
        <w:t xml:space="preserve"> the following </w:t>
      </w:r>
      <w:r w:rsidR="006074A2">
        <w:t xml:space="preserve">points relevant for </w:t>
      </w:r>
      <w:r w:rsidR="00EE06F5">
        <w:t xml:space="preserve">the </w:t>
      </w:r>
      <w:r w:rsidR="006074A2">
        <w:t>further development of the Convention</w:t>
      </w:r>
      <w:r w:rsidR="00434242" w:rsidRPr="00F27CF9">
        <w:t>.</w:t>
      </w:r>
    </w:p>
    <w:p w14:paraId="2580BD7C" w14:textId="2BA18588" w:rsidR="00D0118F" w:rsidRDefault="00461597" w:rsidP="00A91C02">
      <w:pPr>
        <w:pStyle w:val="COMPara"/>
        <w:numPr>
          <w:ilvl w:val="0"/>
          <w:numId w:val="59"/>
        </w:numPr>
        <w:ind w:left="1134" w:hanging="567"/>
        <w:jc w:val="both"/>
      </w:pPr>
      <w:r w:rsidRPr="00A91C02">
        <w:rPr>
          <w:b/>
          <w:bCs/>
        </w:rPr>
        <w:t xml:space="preserve">The Seoul </w:t>
      </w:r>
      <w:r w:rsidR="00007806">
        <w:rPr>
          <w:b/>
          <w:bCs/>
        </w:rPr>
        <w:t>V</w:t>
      </w:r>
      <w:r w:rsidRPr="00A91C02">
        <w:rPr>
          <w:b/>
          <w:bCs/>
        </w:rPr>
        <w:t>ision</w:t>
      </w:r>
      <w:r w:rsidRPr="00F27CF9">
        <w:t xml:space="preserve">: </w:t>
      </w:r>
      <w:r w:rsidR="00AD17A3" w:rsidRPr="00F27CF9">
        <w:t>O</w:t>
      </w:r>
      <w:r w:rsidR="00F44893" w:rsidRPr="00F27CF9">
        <w:t xml:space="preserve">ne of the main outcomes of the twentieth anniversary is </w:t>
      </w:r>
      <w:r w:rsidR="00371805" w:rsidRPr="00F27CF9">
        <w:t>the</w:t>
      </w:r>
      <w:r w:rsidR="00CE6241" w:rsidRPr="00F27CF9">
        <w:t xml:space="preserve"> </w:t>
      </w:r>
      <w:hyperlink r:id="rId39" w:anchor=":~:text=Outlined%20during%20the%20celebration%20of,living%20heritage%20to%20ensure%20sustainable" w:history="1">
        <w:r w:rsidR="00371805" w:rsidRPr="00F27CF9">
          <w:rPr>
            <w:rStyle w:val="Lienhypertexte"/>
          </w:rPr>
          <w:t>Seoul Vision</w:t>
        </w:r>
      </w:hyperlink>
      <w:r w:rsidR="00371805" w:rsidRPr="00F27CF9">
        <w:t xml:space="preserve"> statement </w:t>
      </w:r>
      <w:r w:rsidR="00F44893" w:rsidRPr="00F27CF9">
        <w:t xml:space="preserve">which </w:t>
      </w:r>
      <w:r w:rsidR="006C35B3" w:rsidRPr="00F27CF9">
        <w:t>outline</w:t>
      </w:r>
      <w:r w:rsidR="008D30DE" w:rsidRPr="00F27CF9">
        <w:t>s</w:t>
      </w:r>
      <w:r w:rsidR="006C35B3" w:rsidRPr="00F27CF9">
        <w:t xml:space="preserve"> </w:t>
      </w:r>
      <w:r w:rsidR="00A7272E">
        <w:t xml:space="preserve">the </w:t>
      </w:r>
      <w:r w:rsidR="008D30DE" w:rsidRPr="00F27CF9">
        <w:t xml:space="preserve">main </w:t>
      </w:r>
      <w:r w:rsidR="00371805" w:rsidRPr="00F27CF9">
        <w:t>areas of action</w:t>
      </w:r>
      <w:r w:rsidR="000B6F44" w:rsidRPr="00F27CF9">
        <w:rPr>
          <w:rStyle w:val="Appelnotedebasdep"/>
        </w:rPr>
        <w:footnoteReference w:id="9"/>
      </w:r>
      <w:r w:rsidR="00371805" w:rsidRPr="00F27CF9">
        <w:t xml:space="preserve"> where living heritage can make positive contributions</w:t>
      </w:r>
      <w:r w:rsidR="00371805">
        <w:t xml:space="preserve"> to </w:t>
      </w:r>
      <w:r w:rsidR="00CE6241">
        <w:t xml:space="preserve">both the 2030 Agenda for Sustainable Development and the post-2030 agenda. These include </w:t>
      </w:r>
      <w:r w:rsidR="008D30DE">
        <w:t>domains</w:t>
      </w:r>
      <w:r w:rsidR="00A7272E">
        <w:t xml:space="preserve"> such</w:t>
      </w:r>
      <w:r w:rsidR="008D30DE">
        <w:t xml:space="preserve"> </w:t>
      </w:r>
      <w:r w:rsidR="00E9782A">
        <w:t xml:space="preserve">as living heritage </w:t>
      </w:r>
      <w:r w:rsidR="008D30DE">
        <w:t xml:space="preserve">safeguarding </w:t>
      </w:r>
      <w:r w:rsidR="00E9782A">
        <w:t xml:space="preserve">and livelihoods, climate </w:t>
      </w:r>
      <w:r w:rsidR="00B93D64">
        <w:t>action</w:t>
      </w:r>
      <w:r w:rsidR="008D30DE">
        <w:t xml:space="preserve"> and</w:t>
      </w:r>
      <w:r w:rsidR="00B93D64">
        <w:t xml:space="preserve"> </w:t>
      </w:r>
      <w:r w:rsidR="008D30DE">
        <w:t xml:space="preserve">urban contexts, </w:t>
      </w:r>
      <w:r w:rsidR="00B93D64">
        <w:t xml:space="preserve">as well as living heritage in emergencies, integration of culture in </w:t>
      </w:r>
      <w:r w:rsidR="00E9782A">
        <w:t xml:space="preserve">education, and </w:t>
      </w:r>
      <w:r w:rsidR="00B93D64">
        <w:t xml:space="preserve">living heritage in </w:t>
      </w:r>
      <w:r w:rsidR="00E9782A">
        <w:t>the digital environment.</w:t>
      </w:r>
    </w:p>
    <w:p w14:paraId="03D1259C" w14:textId="086FDFDB" w:rsidR="006E43AD" w:rsidRDefault="004948A5" w:rsidP="00A91C02">
      <w:pPr>
        <w:pStyle w:val="COMPara"/>
        <w:numPr>
          <w:ilvl w:val="0"/>
          <w:numId w:val="59"/>
        </w:numPr>
        <w:ind w:left="1134" w:hanging="567"/>
        <w:jc w:val="both"/>
      </w:pPr>
      <w:r w:rsidRPr="00A91C02">
        <w:rPr>
          <w:b/>
          <w:bCs/>
        </w:rPr>
        <w:t>Contribution to the post-2030 agenda</w:t>
      </w:r>
      <w:r>
        <w:t xml:space="preserve">: </w:t>
      </w:r>
      <w:r w:rsidR="00334400">
        <w:t>The ways forward indicated through the twentieth anniversary</w:t>
      </w:r>
      <w:r w:rsidR="00B93D64">
        <w:t xml:space="preserve"> </w:t>
      </w:r>
      <w:r w:rsidR="00F44893">
        <w:t xml:space="preserve">closely </w:t>
      </w:r>
      <w:r w:rsidR="00334400">
        <w:t xml:space="preserve">echo </w:t>
      </w:r>
      <w:r w:rsidR="00F44893">
        <w:t xml:space="preserve">the </w:t>
      </w:r>
      <w:r w:rsidR="00334400">
        <w:t xml:space="preserve">directions </w:t>
      </w:r>
      <w:r w:rsidR="00780B1B">
        <w:t xml:space="preserve">to be taken in the field of culture </w:t>
      </w:r>
      <w:r w:rsidR="00F44893">
        <w:t xml:space="preserve">highlighted </w:t>
      </w:r>
      <w:r w:rsidR="00B93D64">
        <w:t>in</w:t>
      </w:r>
      <w:r w:rsidR="00E9782A">
        <w:t xml:space="preserve"> </w:t>
      </w:r>
      <w:r w:rsidR="008D30DE">
        <w:t xml:space="preserve">the landmark </w:t>
      </w:r>
      <w:hyperlink r:id="rId40" w:history="1">
        <w:r w:rsidR="008D30DE" w:rsidRPr="00DF19EA">
          <w:rPr>
            <w:rStyle w:val="Lienhypertexte"/>
          </w:rPr>
          <w:t>Final Declaration</w:t>
        </w:r>
      </w:hyperlink>
      <w:r w:rsidR="008D30DE">
        <w:t xml:space="preserve"> at the </w:t>
      </w:r>
      <w:r w:rsidR="008D30DE" w:rsidRPr="00A91C02">
        <w:rPr>
          <w:lang w:val="en-US"/>
        </w:rPr>
        <w:t>UNESCO World Conference on Cultural Policies and Sustainable Development – MONDIACULT 2022,</w:t>
      </w:r>
      <w:r w:rsidR="00E9782A" w:rsidRPr="00AD17A3">
        <w:t xml:space="preserve"> </w:t>
      </w:r>
      <w:r w:rsidR="008D30DE">
        <w:t xml:space="preserve">which </w:t>
      </w:r>
      <w:r w:rsidR="008D30DE" w:rsidRPr="00A42BC3">
        <w:t>called for culture to be firmly anchored as a global public good and integrated as a stand-alone goal in the post-2030 international development agenda</w:t>
      </w:r>
      <w:r w:rsidR="008D30DE">
        <w:t xml:space="preserve">. </w:t>
      </w:r>
      <w:r w:rsidR="006C35B3">
        <w:t>T</w:t>
      </w:r>
      <w:r w:rsidR="00E9782A">
        <w:t xml:space="preserve">he contribution of living </w:t>
      </w:r>
      <w:r w:rsidR="00E9782A">
        <w:lastRenderedPageBreak/>
        <w:t xml:space="preserve">heritage to intersectoral themes and initiatives </w:t>
      </w:r>
      <w:r w:rsidR="00F44893">
        <w:t xml:space="preserve">shall be sought in </w:t>
      </w:r>
      <w:r w:rsidR="002C0CC4">
        <w:t xml:space="preserve">the </w:t>
      </w:r>
      <w:r w:rsidR="00F44893">
        <w:t>coming years</w:t>
      </w:r>
      <w:r w:rsidR="008D30DE">
        <w:t xml:space="preserve"> </w:t>
      </w:r>
      <w:r w:rsidR="00F44893">
        <w:t xml:space="preserve">by </w:t>
      </w:r>
      <w:r w:rsidR="00E9782A">
        <w:t>enhancing cooperation and partnerships with other Conventions and development frameworks, within UNESCO and in the wider UN system.</w:t>
      </w:r>
    </w:p>
    <w:p w14:paraId="62128091" w14:textId="2EC10E00" w:rsidR="00FC70A3" w:rsidRPr="003B7349" w:rsidRDefault="004948A5" w:rsidP="00A91C02">
      <w:pPr>
        <w:pStyle w:val="COMPara"/>
        <w:numPr>
          <w:ilvl w:val="0"/>
          <w:numId w:val="59"/>
        </w:numPr>
        <w:ind w:left="1134" w:hanging="567"/>
        <w:jc w:val="both"/>
      </w:pPr>
      <w:r w:rsidRPr="003B7349">
        <w:rPr>
          <w:b/>
          <w:bCs/>
        </w:rPr>
        <w:t>Contribution to the Global Report on Cultural Policies</w:t>
      </w:r>
      <w:r w:rsidRPr="003B7349">
        <w:t xml:space="preserve">: </w:t>
      </w:r>
      <w:r w:rsidR="00F44893" w:rsidRPr="003B7349">
        <w:t xml:space="preserve">The MONDIACULT </w:t>
      </w:r>
      <w:r w:rsidR="00335167">
        <w:t xml:space="preserve">2022 </w:t>
      </w:r>
      <w:r w:rsidR="00A7272E" w:rsidRPr="003B7349">
        <w:t>D</w:t>
      </w:r>
      <w:r w:rsidR="00F44893" w:rsidRPr="003B7349">
        <w:t>eclaration</w:t>
      </w:r>
      <w:r w:rsidR="008D30DE" w:rsidRPr="003B7349">
        <w:t xml:space="preserve"> also called on </w:t>
      </w:r>
      <w:r w:rsidR="008D30DE" w:rsidRPr="003B7349">
        <w:rPr>
          <w:lang w:val="en-US"/>
        </w:rPr>
        <w:t xml:space="preserve">UNESCO to produce a Global Report on Cultural Policies on a quadrennial basis, building on information, data and existing indicators provided by its Member States, starting with the first edition in 2025. </w:t>
      </w:r>
      <w:r w:rsidR="00FC70A3" w:rsidRPr="003B7349">
        <w:t>While the ongoing periodic reporting system of the 2003 Convention, with its results-based focus</w:t>
      </w:r>
      <w:r w:rsidR="007C70D0" w:rsidRPr="003B7349">
        <w:t xml:space="preserve"> and accompanying capacity-building approach</w:t>
      </w:r>
      <w:r w:rsidR="00FC70A3" w:rsidRPr="003B7349">
        <w:t xml:space="preserve">, has </w:t>
      </w:r>
      <w:r w:rsidR="007C70D0" w:rsidRPr="003B7349">
        <w:t xml:space="preserve">proved effective </w:t>
      </w:r>
      <w:r w:rsidR="00FC70A3" w:rsidRPr="003B7349">
        <w:t>in increasing submission rates, a single global reporting system will allow stakeholders to monitor the impact of the Culture Conventions in totality, and enable the Global Report on Cultural Policies to serve as both a functional tool and a resource for the international development agenda.</w:t>
      </w:r>
    </w:p>
    <w:p w14:paraId="5540BD0E" w14:textId="48FAFACE" w:rsidR="008D30DE" w:rsidRPr="003B7349" w:rsidRDefault="00003E73" w:rsidP="00A91C02">
      <w:pPr>
        <w:pStyle w:val="COMPara"/>
        <w:numPr>
          <w:ilvl w:val="0"/>
          <w:numId w:val="59"/>
        </w:numPr>
        <w:ind w:left="1134" w:hanging="567"/>
        <w:jc w:val="both"/>
      </w:pPr>
      <w:r w:rsidRPr="003B7349">
        <w:rPr>
          <w:b/>
          <w:bCs/>
        </w:rPr>
        <w:t>Rationalization of</w:t>
      </w:r>
      <w:r w:rsidR="00FA09A3">
        <w:rPr>
          <w:b/>
          <w:bCs/>
        </w:rPr>
        <w:t xml:space="preserve"> the</w:t>
      </w:r>
      <w:r w:rsidRPr="003B7349">
        <w:rPr>
          <w:b/>
          <w:bCs/>
        </w:rPr>
        <w:t xml:space="preserve"> periodic reporting system</w:t>
      </w:r>
      <w:r w:rsidRPr="003B7349">
        <w:t xml:space="preserve">: </w:t>
      </w:r>
      <w:r w:rsidR="00335167">
        <w:t>T</w:t>
      </w:r>
      <w:r w:rsidR="008D30DE" w:rsidRPr="003B7349">
        <w:t xml:space="preserve">he Executive Board’s decision </w:t>
      </w:r>
      <w:hyperlink r:id="rId41" w:history="1">
        <w:r w:rsidR="008D30DE" w:rsidRPr="003B7349">
          <w:rPr>
            <w:rStyle w:val="Lienhypertexte"/>
          </w:rPr>
          <w:t>219 EX/</w:t>
        </w:r>
        <w:r w:rsidR="0082697C" w:rsidRPr="00E957F6">
          <w:rPr>
            <w:rStyle w:val="Lienhypertexte"/>
          </w:rPr>
          <w:t xml:space="preserve">Decision </w:t>
        </w:r>
        <w:r w:rsidR="008D30DE" w:rsidRPr="003B7349">
          <w:rPr>
            <w:rStyle w:val="Lienhypertexte"/>
          </w:rPr>
          <w:t>13</w:t>
        </w:r>
      </w:hyperlink>
      <w:r w:rsidR="008D30DE" w:rsidRPr="003B7349">
        <w:t xml:space="preserve"> </w:t>
      </w:r>
      <w:r w:rsidR="00F44893" w:rsidRPr="003B7349">
        <w:t xml:space="preserve">invited </w:t>
      </w:r>
      <w:r w:rsidR="008D30DE" w:rsidRPr="003B7349">
        <w:t xml:space="preserve">the Director-General to submit the </w:t>
      </w:r>
      <w:hyperlink r:id="rId42" w:history="1">
        <w:r w:rsidR="008D30DE" w:rsidRPr="003B7349">
          <w:rPr>
            <w:rStyle w:val="Lienhypertexte"/>
          </w:rPr>
          <w:t>evaluation of UNESCO’s periodic reporting on the Culture Sector’s Conventions and Recommendations</w:t>
        </w:r>
      </w:hyperlink>
      <w:r w:rsidR="008D30DE" w:rsidRPr="003B7349">
        <w:t xml:space="preserve"> to the relevant governing bodies of the Culture Conventions for their consideration. This evaluation, which was conducted by UNESCO’s Internal Oversight Services and completed in March 2024, recommends the </w:t>
      </w:r>
      <w:r w:rsidR="00335167">
        <w:t>alignment</w:t>
      </w:r>
      <w:r w:rsidR="00335167" w:rsidRPr="003B7349">
        <w:t xml:space="preserve"> </w:t>
      </w:r>
      <w:r w:rsidR="008D30DE" w:rsidRPr="003B7349">
        <w:t xml:space="preserve">of the periodic reporting mechanisms of the UNESCO Culture Conventions and Recommendations. Accordingly, the present session of the General Assembly is invited to conduct a preliminary discussion on the roadmap that was </w:t>
      </w:r>
      <w:r w:rsidR="00334400" w:rsidRPr="003B7349">
        <w:t>endorsed by</w:t>
      </w:r>
      <w:r w:rsidR="008D30DE" w:rsidRPr="003B7349">
        <w:t xml:space="preserve"> the eighteenth session of the Committee (Decision </w:t>
      </w:r>
      <w:hyperlink r:id="rId43" w:history="1">
        <w:r w:rsidR="008D30DE" w:rsidRPr="003B7349">
          <w:rPr>
            <w:rStyle w:val="Lienhypertexte"/>
          </w:rPr>
          <w:t>18.COM 7.c</w:t>
        </w:r>
      </w:hyperlink>
      <w:r w:rsidR="008D30DE" w:rsidRPr="003B7349">
        <w:t xml:space="preserve"> and Document </w:t>
      </w:r>
      <w:hyperlink r:id="rId44" w:history="1">
        <w:r w:rsidR="008D30DE" w:rsidRPr="003B7349">
          <w:rPr>
            <w:rStyle w:val="Lienhypertexte"/>
          </w:rPr>
          <w:t>LHE/23/18.COM 7.c</w:t>
        </w:r>
      </w:hyperlink>
      <w:r w:rsidR="008D30DE" w:rsidRPr="003B7349">
        <w:t xml:space="preserve">). This roadmap outlines a timeline by which the submission cycles of the 2003 Convention’s periodic reporting mechanism will be rationalized, working towards a single </w:t>
      </w:r>
      <w:r w:rsidR="00F44893" w:rsidRPr="003B7349">
        <w:t xml:space="preserve">global </w:t>
      </w:r>
      <w:r w:rsidR="008D30DE" w:rsidRPr="003B7349">
        <w:t xml:space="preserve">submission system of periodic reports </w:t>
      </w:r>
      <w:r w:rsidR="00334400" w:rsidRPr="003B7349">
        <w:t xml:space="preserve">common to </w:t>
      </w:r>
      <w:r w:rsidR="00335167">
        <w:t xml:space="preserve">the </w:t>
      </w:r>
      <w:r w:rsidR="008D30DE" w:rsidRPr="003B7349">
        <w:t>UNESCO Culture Conventions and Recommendations.</w:t>
      </w:r>
    </w:p>
    <w:p w14:paraId="5B42AF62" w14:textId="390AC266" w:rsidR="00271942" w:rsidRDefault="00271942" w:rsidP="002D349D">
      <w:pPr>
        <w:pStyle w:val="COMPara"/>
        <w:numPr>
          <w:ilvl w:val="0"/>
          <w:numId w:val="59"/>
        </w:numPr>
        <w:ind w:left="1134" w:hanging="567"/>
        <w:jc w:val="both"/>
      </w:pPr>
      <w:r w:rsidRPr="00271942">
        <w:rPr>
          <w:b/>
          <w:bCs/>
        </w:rPr>
        <w:t xml:space="preserve">Contribution to the preparation of </w:t>
      </w:r>
      <w:r w:rsidR="00595947">
        <w:rPr>
          <w:b/>
          <w:bCs/>
        </w:rPr>
        <w:t xml:space="preserve">the </w:t>
      </w:r>
      <w:r w:rsidRPr="00271942">
        <w:rPr>
          <w:b/>
          <w:bCs/>
        </w:rPr>
        <w:t>43</w:t>
      </w:r>
      <w:r w:rsidR="00F425D6">
        <w:rPr>
          <w:b/>
          <w:bCs/>
        </w:rPr>
        <w:t xml:space="preserve"> </w:t>
      </w:r>
      <w:r w:rsidRPr="00271942">
        <w:rPr>
          <w:b/>
          <w:bCs/>
        </w:rPr>
        <w:t>C/5</w:t>
      </w:r>
      <w:r>
        <w:t>: With reference to Recommendation 74 of the Open-Ended Working Group on Governance (</w:t>
      </w:r>
      <w:r w:rsidR="00B51C18">
        <w:t>D</w:t>
      </w:r>
      <w:r w:rsidR="002D349D" w:rsidRPr="00E957F6">
        <w:t xml:space="preserve">ocument </w:t>
      </w:r>
      <w:hyperlink r:id="rId45" w:history="1">
        <w:r w:rsidR="002D349D" w:rsidRPr="002D349D">
          <w:rPr>
            <w:rStyle w:val="Lienhypertexte"/>
          </w:rPr>
          <w:t>39 C/70</w:t>
        </w:r>
      </w:hyperlink>
      <w:r>
        <w:t xml:space="preserve">) and in light </w:t>
      </w:r>
      <w:r w:rsidRPr="0026751B">
        <w:t>of</w:t>
      </w:r>
      <w:r w:rsidR="00094F1C" w:rsidRPr="0026751B">
        <w:t xml:space="preserve"> </w:t>
      </w:r>
      <w:hyperlink r:id="rId46" w:history="1">
        <w:r w:rsidR="00094F1C" w:rsidRPr="00502368">
          <w:rPr>
            <w:rStyle w:val="Lienhypertexte"/>
          </w:rPr>
          <w:t>42 C/Resolution 81</w:t>
        </w:r>
      </w:hyperlink>
      <w:r w:rsidRPr="005C1837">
        <w:t>, th</w:t>
      </w:r>
      <w:r>
        <w:t xml:space="preserve">e present session of the Assembly is </w:t>
      </w:r>
      <w:r w:rsidR="00461597">
        <w:t xml:space="preserve">also </w:t>
      </w:r>
      <w:r>
        <w:t xml:space="preserve">invited to contribute in the process of the strategic reflection on future programmatic directions and priorities for the </w:t>
      </w:r>
      <w:r w:rsidR="00E93AE4">
        <w:t xml:space="preserve">next </w:t>
      </w:r>
      <w:r>
        <w:t>quadrennium</w:t>
      </w:r>
      <w:r w:rsidR="00E93AE4">
        <w:t>, namely the Draft Programme and Budget for 2026-2029 (43</w:t>
      </w:r>
      <w:r w:rsidR="00A7272E">
        <w:t xml:space="preserve"> </w:t>
      </w:r>
      <w:r w:rsidR="00E93AE4">
        <w:t>C/5)</w:t>
      </w:r>
      <w:r>
        <w:t>.</w:t>
      </w:r>
      <w:r w:rsidR="00E93AE4">
        <w:t xml:space="preserve"> The discussion may be guided by the proposed areas of reflection as contained in document </w:t>
      </w:r>
      <w:hyperlink r:id="rId47" w:history="1">
        <w:r w:rsidR="00E93AE4" w:rsidRPr="00E93AE4">
          <w:rPr>
            <w:rStyle w:val="Lienhypertexte"/>
          </w:rPr>
          <w:t>42 C/7</w:t>
        </w:r>
      </w:hyperlink>
      <w:r w:rsidR="00E93AE4">
        <w:t xml:space="preserve"> (Section II) of the General</w:t>
      </w:r>
      <w:r w:rsidR="00E97256">
        <w:t xml:space="preserve"> </w:t>
      </w:r>
      <w:r w:rsidR="00E93AE4">
        <w:t>Conference of UNESCO. A synthesis report of the discussion</w:t>
      </w:r>
      <w:r w:rsidR="007C70D0">
        <w:t>, to be prepared by the Secretariat after the present session,</w:t>
      </w:r>
      <w:r w:rsidR="00E93AE4">
        <w:t xml:space="preserve"> will be reflected in the Sector’s contribution to the Director-General’s </w:t>
      </w:r>
      <w:r w:rsidR="00E12935">
        <w:t>p</w:t>
      </w:r>
      <w:r w:rsidR="00E93AE4">
        <w:t xml:space="preserve">reliminary </w:t>
      </w:r>
      <w:r w:rsidR="00E12935">
        <w:t>p</w:t>
      </w:r>
      <w:r w:rsidR="00E93AE4">
        <w:t xml:space="preserve">roposals on the </w:t>
      </w:r>
      <w:r w:rsidR="00E12935">
        <w:t>d</w:t>
      </w:r>
      <w:r w:rsidR="00E93AE4">
        <w:t>raft 43 C/5, scheduled to be presented to the 220</w:t>
      </w:r>
      <w:r w:rsidR="00E93AE4" w:rsidRPr="003D6961">
        <w:t>th</w:t>
      </w:r>
      <w:r w:rsidR="00E93AE4">
        <w:t xml:space="preserve"> session of the Executive Board in October 2024.</w:t>
      </w:r>
    </w:p>
    <w:p w14:paraId="50D3EAFF" w14:textId="3A349EC1" w:rsidR="00D95C4C" w:rsidRPr="00BB6EEC" w:rsidRDefault="005C792B" w:rsidP="00A91C02">
      <w:pPr>
        <w:pStyle w:val="COMPara"/>
        <w:ind w:left="567" w:hanging="567"/>
        <w:jc w:val="both"/>
      </w:pPr>
      <w:r w:rsidRPr="005C792B">
        <w:t>The General Assembly may wish to adopt the following resolution:</w:t>
      </w:r>
    </w:p>
    <w:p w14:paraId="6CEB1E9D" w14:textId="3943EA87" w:rsidR="00D95C4C" w:rsidRPr="00BB6EEC" w:rsidRDefault="004A34A0" w:rsidP="001D14FE">
      <w:pPr>
        <w:pStyle w:val="COMTitleDecision"/>
        <w:rPr>
          <w:rFonts w:eastAsia="SimSun"/>
        </w:rPr>
      </w:pPr>
      <w:r w:rsidRPr="00BB6EEC">
        <w:t xml:space="preserve">DRAFT </w:t>
      </w:r>
      <w:r w:rsidR="005C792B">
        <w:t>RESOLUTION</w:t>
      </w:r>
      <w:r w:rsidR="00CB0542" w:rsidRPr="00BB6EEC">
        <w:t xml:space="preserve"> 1</w:t>
      </w:r>
      <w:r w:rsidR="005C792B">
        <w:t>0</w:t>
      </w:r>
      <w:r w:rsidR="00EC6F8D" w:rsidRPr="00BB6EEC">
        <w:t>.</w:t>
      </w:r>
      <w:r w:rsidR="005C792B">
        <w:t>GA</w:t>
      </w:r>
      <w:r w:rsidR="00517FD8" w:rsidRPr="00BB6EEC">
        <w:t xml:space="preserve"> </w:t>
      </w:r>
      <w:r w:rsidR="00932852">
        <w:t>6</w:t>
      </w:r>
    </w:p>
    <w:p w14:paraId="13024F0B" w14:textId="5181E164" w:rsidR="00D95C4C" w:rsidRPr="00BB6EEC" w:rsidRDefault="005C792B" w:rsidP="00285BB4">
      <w:pPr>
        <w:pStyle w:val="COMPreambulaDecisions"/>
        <w:rPr>
          <w:rFonts w:eastAsia="SimSun"/>
        </w:rPr>
      </w:pPr>
      <w:r w:rsidRPr="005C792B">
        <w:t>The General Assembly,</w:t>
      </w:r>
    </w:p>
    <w:p w14:paraId="5A9F22F3" w14:textId="7C276563" w:rsidR="0057439C" w:rsidRPr="00A91C02" w:rsidRDefault="00D95C4C" w:rsidP="004A2875">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5C792B">
        <w:rPr>
          <w:u w:val="none"/>
        </w:rPr>
        <w:t>4</w:t>
      </w:r>
      <w:r w:rsidR="00337CEB" w:rsidRPr="00BB6EEC">
        <w:rPr>
          <w:u w:val="none"/>
        </w:rPr>
        <w:t>/1</w:t>
      </w:r>
      <w:r w:rsidR="005C792B">
        <w:rPr>
          <w:u w:val="none"/>
        </w:rPr>
        <w:t>0</w:t>
      </w:r>
      <w:r w:rsidR="00EC6F8D" w:rsidRPr="00BB6EEC">
        <w:rPr>
          <w:u w:val="none"/>
        </w:rPr>
        <w:t>.</w:t>
      </w:r>
      <w:r w:rsidR="005C792B">
        <w:rPr>
          <w:u w:val="none"/>
        </w:rPr>
        <w:t>GA</w:t>
      </w:r>
      <w:r w:rsidR="004A34A0" w:rsidRPr="00BB6EEC">
        <w:rPr>
          <w:u w:val="none"/>
        </w:rPr>
        <w:t>/</w:t>
      </w:r>
      <w:r w:rsidR="00932852">
        <w:rPr>
          <w:u w:val="none"/>
        </w:rPr>
        <w:t xml:space="preserve">6 and its </w:t>
      </w:r>
      <w:r w:rsidR="005F3309">
        <w:rPr>
          <w:u w:val="none"/>
        </w:rPr>
        <w:t>annexes</w:t>
      </w:r>
      <w:r w:rsidR="00932852">
        <w:rPr>
          <w:u w:val="none"/>
        </w:rPr>
        <w:t>,</w:t>
      </w:r>
    </w:p>
    <w:p w14:paraId="2972F3EE" w14:textId="3A1CBDA7" w:rsidR="00887BA9" w:rsidRPr="00E32E72" w:rsidRDefault="007C70D0" w:rsidP="004A2875">
      <w:pPr>
        <w:pStyle w:val="COMParaDecision"/>
      </w:pPr>
      <w:r>
        <w:t>Recalling</w:t>
      </w:r>
      <w:r w:rsidRPr="00E32E72">
        <w:rPr>
          <w:u w:val="none"/>
        </w:rPr>
        <w:t xml:space="preserve"> </w:t>
      </w:r>
      <w:r w:rsidR="00804D8B">
        <w:rPr>
          <w:u w:val="none"/>
        </w:rPr>
        <w:t xml:space="preserve">Resolution </w:t>
      </w:r>
      <w:hyperlink r:id="rId48" w:history="1">
        <w:r w:rsidR="00804D8B" w:rsidRPr="00804D8B">
          <w:rPr>
            <w:rStyle w:val="Lienhypertexte"/>
          </w:rPr>
          <w:t>9.GA 6</w:t>
        </w:r>
      </w:hyperlink>
      <w:r w:rsidR="00804D8B">
        <w:rPr>
          <w:u w:val="none"/>
        </w:rPr>
        <w:t xml:space="preserve">, as well as </w:t>
      </w:r>
      <w:r w:rsidR="00887BA9">
        <w:rPr>
          <w:u w:val="none"/>
        </w:rPr>
        <w:t>Decision</w:t>
      </w:r>
      <w:r w:rsidR="00804D8B">
        <w:rPr>
          <w:u w:val="none"/>
        </w:rPr>
        <w:t>s</w:t>
      </w:r>
      <w:r w:rsidR="00887BA9">
        <w:rPr>
          <w:u w:val="none"/>
        </w:rPr>
        <w:t xml:space="preserve"> </w:t>
      </w:r>
      <w:hyperlink r:id="rId49" w:history="1">
        <w:r w:rsidR="00887BA9" w:rsidRPr="00804D8B">
          <w:rPr>
            <w:rStyle w:val="Lienhypertexte"/>
          </w:rPr>
          <w:t>17.COM 15</w:t>
        </w:r>
      </w:hyperlink>
      <w:r w:rsidR="00804D8B">
        <w:rPr>
          <w:u w:val="none"/>
        </w:rPr>
        <w:t xml:space="preserve"> and </w:t>
      </w:r>
      <w:hyperlink r:id="rId50" w:history="1">
        <w:r w:rsidR="00804D8B" w:rsidRPr="00AC42DA">
          <w:rPr>
            <w:rStyle w:val="Lienhypertexte"/>
          </w:rPr>
          <w:t>18.COM 7.c</w:t>
        </w:r>
      </w:hyperlink>
      <w:r w:rsidR="00804D8B" w:rsidRPr="00E32E72">
        <w:rPr>
          <w:rStyle w:val="Lienhypertexte"/>
          <w:color w:val="auto"/>
          <w:u w:val="none"/>
        </w:rPr>
        <w:t>,</w:t>
      </w:r>
    </w:p>
    <w:p w14:paraId="1841ADB0" w14:textId="63479E12" w:rsidR="007C70D0" w:rsidRDefault="00887BA9" w:rsidP="004A2875">
      <w:pPr>
        <w:pStyle w:val="COMParaDecision"/>
      </w:pPr>
      <w:r w:rsidRPr="002944EF">
        <w:t xml:space="preserve">Further </w:t>
      </w:r>
      <w:r w:rsidR="002944EF" w:rsidRPr="00E32E72">
        <w:t>r</w:t>
      </w:r>
      <w:r w:rsidRPr="002944EF">
        <w:t>ecalling</w:t>
      </w:r>
      <w:r>
        <w:rPr>
          <w:u w:val="none"/>
        </w:rPr>
        <w:t xml:space="preserve"> </w:t>
      </w:r>
      <w:hyperlink r:id="rId51" w:history="1">
        <w:r w:rsidR="0070228F" w:rsidRPr="007444E7">
          <w:rPr>
            <w:rStyle w:val="Lienhypertexte"/>
          </w:rPr>
          <w:t xml:space="preserve">42 C/Resolution </w:t>
        </w:r>
        <w:r w:rsidR="002B7F22" w:rsidRPr="007444E7">
          <w:rPr>
            <w:rStyle w:val="Lienhypertexte"/>
          </w:rPr>
          <w:t>81</w:t>
        </w:r>
      </w:hyperlink>
      <w:r w:rsidR="002B7F22">
        <w:rPr>
          <w:u w:val="none"/>
        </w:rPr>
        <w:t xml:space="preserve"> </w:t>
      </w:r>
      <w:r>
        <w:rPr>
          <w:u w:val="none"/>
        </w:rPr>
        <w:t xml:space="preserve">of the General Conference </w:t>
      </w:r>
      <w:r w:rsidR="001D6092" w:rsidRPr="00E32E72">
        <w:rPr>
          <w:u w:val="none"/>
        </w:rPr>
        <w:t xml:space="preserve">and </w:t>
      </w:r>
      <w:hyperlink r:id="rId52" w:history="1">
        <w:r w:rsidR="001D6092" w:rsidRPr="00E97256">
          <w:rPr>
            <w:rStyle w:val="Lienhypertexte"/>
          </w:rPr>
          <w:t>219 EX/</w:t>
        </w:r>
        <w:r w:rsidR="002B7F22" w:rsidRPr="00E97256">
          <w:rPr>
            <w:rStyle w:val="Lienhypertexte"/>
          </w:rPr>
          <w:t xml:space="preserve">Decision </w:t>
        </w:r>
        <w:r w:rsidR="001D6092" w:rsidRPr="00E97256">
          <w:rPr>
            <w:rStyle w:val="Lienhypertexte"/>
          </w:rPr>
          <w:t>13</w:t>
        </w:r>
      </w:hyperlink>
      <w:r>
        <w:rPr>
          <w:u w:val="none"/>
        </w:rPr>
        <w:t xml:space="preserve"> of the Executive Board of UNESCO</w:t>
      </w:r>
      <w:r w:rsidR="002944EF">
        <w:rPr>
          <w:u w:val="none"/>
        </w:rPr>
        <w:t>,</w:t>
      </w:r>
      <w:r>
        <w:rPr>
          <w:u w:val="none"/>
        </w:rPr>
        <w:t xml:space="preserve"> as well as </w:t>
      </w:r>
      <w:r w:rsidR="002944EF">
        <w:rPr>
          <w:u w:val="none"/>
        </w:rPr>
        <w:t xml:space="preserve">the </w:t>
      </w:r>
      <w:r>
        <w:rPr>
          <w:u w:val="none"/>
        </w:rPr>
        <w:t xml:space="preserve">2021 IOS </w:t>
      </w:r>
      <w:r w:rsidR="002944EF">
        <w:rPr>
          <w:u w:val="none"/>
        </w:rPr>
        <w:t>E</w:t>
      </w:r>
      <w:r>
        <w:rPr>
          <w:u w:val="none"/>
        </w:rPr>
        <w:t xml:space="preserve">valuation </w:t>
      </w:r>
      <w:r w:rsidR="00FD5FEE">
        <w:rPr>
          <w:u w:val="none"/>
        </w:rPr>
        <w:t xml:space="preserve">of UNESCO’s action in the framework of the 2003 Convention </w:t>
      </w:r>
      <w:r>
        <w:rPr>
          <w:u w:val="none"/>
        </w:rPr>
        <w:t xml:space="preserve">and </w:t>
      </w:r>
      <w:r w:rsidR="002944EF">
        <w:rPr>
          <w:u w:val="none"/>
        </w:rPr>
        <w:t xml:space="preserve">the </w:t>
      </w:r>
      <w:r>
        <w:rPr>
          <w:u w:val="none"/>
        </w:rPr>
        <w:t xml:space="preserve">2024 IOS </w:t>
      </w:r>
      <w:r w:rsidR="002944EF">
        <w:rPr>
          <w:u w:val="none"/>
        </w:rPr>
        <w:t>E</w:t>
      </w:r>
      <w:r>
        <w:rPr>
          <w:u w:val="none"/>
        </w:rPr>
        <w:t>valuation</w:t>
      </w:r>
      <w:r w:rsidR="00FD5FEE">
        <w:rPr>
          <w:u w:val="none"/>
        </w:rPr>
        <w:t xml:space="preserve"> of UNESCO’s periodic reporting on the Culture Sector’s Conventions and Recommendations</w:t>
      </w:r>
      <w:r>
        <w:rPr>
          <w:u w:val="none"/>
        </w:rPr>
        <w:t>,</w:t>
      </w:r>
    </w:p>
    <w:p w14:paraId="4EB5C413" w14:textId="5EC84900" w:rsidR="00D95C4C" w:rsidRPr="007655C4" w:rsidRDefault="006C377B" w:rsidP="004A2875">
      <w:pPr>
        <w:pStyle w:val="COMParaDecision"/>
      </w:pPr>
      <w:r>
        <w:t>Commends</w:t>
      </w:r>
      <w:r w:rsidR="007655C4">
        <w:rPr>
          <w:u w:val="none"/>
        </w:rPr>
        <w:t xml:space="preserve"> the Secretariat for the continued support provided for the</w:t>
      </w:r>
      <w:r>
        <w:rPr>
          <w:u w:val="none"/>
        </w:rPr>
        <w:t xml:space="preserve"> sound</w:t>
      </w:r>
      <w:r w:rsidR="007655C4">
        <w:rPr>
          <w:u w:val="none"/>
        </w:rPr>
        <w:t xml:space="preserve"> governance of the Convention, through the efficient organization of statutory meetings</w:t>
      </w:r>
      <w:r w:rsidR="003350C7">
        <w:rPr>
          <w:u w:val="none"/>
        </w:rPr>
        <w:t xml:space="preserve"> and management of international cooperation mechanisms</w:t>
      </w:r>
      <w:r>
        <w:rPr>
          <w:u w:val="none"/>
        </w:rPr>
        <w:t>;</w:t>
      </w:r>
    </w:p>
    <w:p w14:paraId="736400F7" w14:textId="44A56018" w:rsidR="007655C4" w:rsidRPr="006D3CD4" w:rsidRDefault="007655C4" w:rsidP="004A2875">
      <w:pPr>
        <w:pStyle w:val="COMParaDecision"/>
      </w:pPr>
      <w:r>
        <w:lastRenderedPageBreak/>
        <w:t>Further commends</w:t>
      </w:r>
      <w:r>
        <w:rPr>
          <w:u w:val="none"/>
        </w:rPr>
        <w:t xml:space="preserve"> the Secretariat for the implementation of the revised Operational Directives following the </w:t>
      </w:r>
      <w:r w:rsidR="003350C7">
        <w:rPr>
          <w:u w:val="none"/>
        </w:rPr>
        <w:t xml:space="preserve">completion </w:t>
      </w:r>
      <w:r>
        <w:rPr>
          <w:u w:val="none"/>
        </w:rPr>
        <w:t xml:space="preserve">of the global reflection on the listing mechanisms of the Convention, </w:t>
      </w:r>
      <w:r w:rsidR="006D3CD4">
        <w:rPr>
          <w:u w:val="none"/>
        </w:rPr>
        <w:t xml:space="preserve">including its support to the Evaluation Body, </w:t>
      </w:r>
      <w:r>
        <w:rPr>
          <w:u w:val="none"/>
        </w:rPr>
        <w:t xml:space="preserve">and </w:t>
      </w:r>
      <w:r w:rsidR="006D3CD4" w:rsidRPr="006D3CD4">
        <w:t>takes note</w:t>
      </w:r>
      <w:r w:rsidR="00D16FAC">
        <w:rPr>
          <w:u w:val="none"/>
        </w:rPr>
        <w:t xml:space="preserve"> of</w:t>
      </w:r>
      <w:r w:rsidR="006D3CD4">
        <w:rPr>
          <w:u w:val="none"/>
        </w:rPr>
        <w:t xml:space="preserve"> the progress made in the reflection on a broader implementation on Article 18;</w:t>
      </w:r>
    </w:p>
    <w:p w14:paraId="395F6878" w14:textId="3506FA71" w:rsidR="006D3CD4" w:rsidRPr="006D3CD4" w:rsidRDefault="006D3CD4" w:rsidP="006D3CD4">
      <w:pPr>
        <w:pStyle w:val="COMParaDecision"/>
      </w:pPr>
      <w:r>
        <w:t>Acknowledges</w:t>
      </w:r>
      <w:r>
        <w:rPr>
          <w:u w:val="none"/>
        </w:rPr>
        <w:t xml:space="preserve"> the further systemization of the International Assistance mechanism, and </w:t>
      </w:r>
      <w:r>
        <w:t>welcomes</w:t>
      </w:r>
      <w:r>
        <w:rPr>
          <w:u w:val="none"/>
        </w:rPr>
        <w:t xml:space="preserve"> its expansion to a wider group of countries which have received assistance</w:t>
      </w:r>
      <w:r w:rsidR="00ED3D1A">
        <w:rPr>
          <w:u w:val="none"/>
        </w:rPr>
        <w:t>;</w:t>
      </w:r>
    </w:p>
    <w:p w14:paraId="1697CFDE" w14:textId="5FEF4CB7" w:rsidR="006D3CD4" w:rsidRPr="00BB6EEC" w:rsidRDefault="006D3CD4" w:rsidP="006D3CD4">
      <w:pPr>
        <w:pStyle w:val="COMParaDecision"/>
      </w:pPr>
      <w:r>
        <w:t>Notes with satisfaction</w:t>
      </w:r>
      <w:r>
        <w:rPr>
          <w:u w:val="none"/>
        </w:rPr>
        <w:t xml:space="preserve"> the </w:t>
      </w:r>
      <w:r w:rsidR="00C4297D">
        <w:rPr>
          <w:u w:val="none"/>
        </w:rPr>
        <w:t xml:space="preserve">substantially </w:t>
      </w:r>
      <w:r>
        <w:rPr>
          <w:u w:val="none"/>
        </w:rPr>
        <w:t xml:space="preserve">improved submission rates of periodic reports from </w:t>
      </w:r>
      <w:r w:rsidR="002D05ED">
        <w:rPr>
          <w:u w:val="none"/>
        </w:rPr>
        <w:t xml:space="preserve">Europe, </w:t>
      </w:r>
      <w:r>
        <w:rPr>
          <w:u w:val="none"/>
        </w:rPr>
        <w:t>the Arab States and Africa</w:t>
      </w:r>
      <w:r w:rsidR="00ED3D1A">
        <w:rPr>
          <w:u w:val="none"/>
        </w:rPr>
        <w:t>;</w:t>
      </w:r>
    </w:p>
    <w:p w14:paraId="7E21C62E" w14:textId="4CC84C49" w:rsidR="006C377B" w:rsidRPr="006C377B" w:rsidRDefault="006C377B" w:rsidP="004A2875">
      <w:pPr>
        <w:pStyle w:val="COMParaDecision"/>
      </w:pPr>
      <w:r>
        <w:t>Appreciates</w:t>
      </w:r>
      <w:r>
        <w:rPr>
          <w:u w:val="none"/>
        </w:rPr>
        <w:t xml:space="preserve"> the </w:t>
      </w:r>
      <w:r w:rsidR="003350C7">
        <w:rPr>
          <w:u w:val="none"/>
        </w:rPr>
        <w:t xml:space="preserve">continued implementation of the global capacity-building programme and its </w:t>
      </w:r>
      <w:r>
        <w:rPr>
          <w:u w:val="none"/>
        </w:rPr>
        <w:t xml:space="preserve">reorientation to a multi-modal and intersectoral approach, and </w:t>
      </w:r>
      <w:r w:rsidR="006D3CD4" w:rsidRPr="006D3CD4">
        <w:t>encourages</w:t>
      </w:r>
      <w:r w:rsidR="006D3CD4">
        <w:rPr>
          <w:u w:val="none"/>
        </w:rPr>
        <w:t xml:space="preserve"> the Secretariat to continue enhancing its </w:t>
      </w:r>
      <w:r w:rsidR="00ED3D1A">
        <w:rPr>
          <w:u w:val="none"/>
        </w:rPr>
        <w:t>synergies</w:t>
      </w:r>
      <w:r w:rsidR="006D3CD4">
        <w:rPr>
          <w:u w:val="none"/>
        </w:rPr>
        <w:t xml:space="preserve"> </w:t>
      </w:r>
      <w:r w:rsidR="00ED3D1A">
        <w:rPr>
          <w:u w:val="none"/>
        </w:rPr>
        <w:t>within UNESCO</w:t>
      </w:r>
      <w:r w:rsidR="006D3CD4">
        <w:rPr>
          <w:u w:val="none"/>
        </w:rPr>
        <w:t xml:space="preserve"> and the wider UN system, with the aim of integrating living heritage in the post-2030 </w:t>
      </w:r>
      <w:r w:rsidR="00ED3D1A">
        <w:rPr>
          <w:u w:val="none"/>
        </w:rPr>
        <w:t>international</w:t>
      </w:r>
      <w:r w:rsidR="006D3CD4">
        <w:rPr>
          <w:u w:val="none"/>
        </w:rPr>
        <w:t xml:space="preserve"> development agenda;</w:t>
      </w:r>
    </w:p>
    <w:p w14:paraId="2D2BA61A" w14:textId="26587D2C" w:rsidR="006C377B" w:rsidRPr="00A91C02" w:rsidRDefault="006C377B" w:rsidP="004A2875">
      <w:pPr>
        <w:pStyle w:val="COMParaDecision"/>
      </w:pPr>
      <w:r>
        <w:t>Further appreciates</w:t>
      </w:r>
      <w:r>
        <w:rPr>
          <w:u w:val="none"/>
        </w:rPr>
        <w:t xml:space="preserve"> the progress made </w:t>
      </w:r>
      <w:r w:rsidR="006D3CD4">
        <w:rPr>
          <w:u w:val="none"/>
        </w:rPr>
        <w:t>under</w:t>
      </w:r>
      <w:r>
        <w:rPr>
          <w:u w:val="none"/>
        </w:rPr>
        <w:t xml:space="preserve"> the thematic initiatives </w:t>
      </w:r>
      <w:r w:rsidR="00E957F6">
        <w:rPr>
          <w:u w:val="none"/>
        </w:rPr>
        <w:t>of the Convention</w:t>
      </w:r>
      <w:r>
        <w:rPr>
          <w:u w:val="none"/>
        </w:rPr>
        <w:t xml:space="preserve">, particularly in relation to its economic dimensions, climate change and urban contexts, and </w:t>
      </w:r>
      <w:r w:rsidRPr="006C377B">
        <w:t>invites</w:t>
      </w:r>
      <w:r>
        <w:rPr>
          <w:u w:val="none"/>
        </w:rPr>
        <w:t xml:space="preserve"> the Secretariat to continue pursuing these efforts, and in other domains the Committee may request in line with the areas of action </w:t>
      </w:r>
      <w:r w:rsidR="00ED3D1A">
        <w:rPr>
          <w:u w:val="none"/>
        </w:rPr>
        <w:t>highlighted</w:t>
      </w:r>
      <w:r>
        <w:rPr>
          <w:u w:val="none"/>
        </w:rPr>
        <w:t xml:space="preserve"> in the </w:t>
      </w:r>
      <w:r w:rsidR="00ED3D1A" w:rsidRPr="00ED3D1A">
        <w:rPr>
          <w:u w:val="none"/>
        </w:rPr>
        <w:t>Seoul Vision for the Future of Safeguarding Living Heritage for Sustainable Development and Peace</w:t>
      </w:r>
      <w:r w:rsidR="00ED3D1A">
        <w:rPr>
          <w:u w:val="none"/>
        </w:rPr>
        <w:t>;</w:t>
      </w:r>
    </w:p>
    <w:p w14:paraId="5AA5BE5D" w14:textId="6E7FAD78" w:rsidR="00F61F85" w:rsidRDefault="00F61F85" w:rsidP="004A2875">
      <w:pPr>
        <w:pStyle w:val="COMParaDecision"/>
      </w:pPr>
      <w:r>
        <w:t>Acknowledges</w:t>
      </w:r>
      <w:r>
        <w:rPr>
          <w:u w:val="none"/>
        </w:rPr>
        <w:t xml:space="preserve"> the progress </w:t>
      </w:r>
      <w:r w:rsidR="00420E74">
        <w:rPr>
          <w:u w:val="none"/>
        </w:rPr>
        <w:t>accomplished</w:t>
      </w:r>
      <w:r>
        <w:rPr>
          <w:u w:val="none"/>
        </w:rPr>
        <w:t xml:space="preserve"> as regards the twelve recommendations made by the 2021 IOS evaluation on UNESCO’s action in the framework of the 2003 Convention</w:t>
      </w:r>
      <w:r w:rsidR="00420E74">
        <w:rPr>
          <w:u w:val="none"/>
        </w:rPr>
        <w:t>;</w:t>
      </w:r>
    </w:p>
    <w:p w14:paraId="65CE7540" w14:textId="5B580431" w:rsidR="005D5F5F" w:rsidRPr="00A91C02" w:rsidRDefault="005D5F5F" w:rsidP="004A2875">
      <w:pPr>
        <w:pStyle w:val="COMParaDecision"/>
      </w:pPr>
      <w:r>
        <w:t>Takes note</w:t>
      </w:r>
      <w:r>
        <w:rPr>
          <w:u w:val="none"/>
        </w:rPr>
        <w:t xml:space="preserve"> of the following as regards </w:t>
      </w:r>
      <w:r w:rsidR="00A7272E">
        <w:rPr>
          <w:u w:val="none"/>
        </w:rPr>
        <w:t xml:space="preserve">the </w:t>
      </w:r>
      <w:r>
        <w:rPr>
          <w:u w:val="none"/>
        </w:rPr>
        <w:t>further development of the Convention:</w:t>
      </w:r>
    </w:p>
    <w:p w14:paraId="7CBFA59F" w14:textId="23452EDC" w:rsidR="005D5F5F" w:rsidRPr="00A91C02" w:rsidRDefault="005D5F5F" w:rsidP="005D5F5F">
      <w:pPr>
        <w:pStyle w:val="COMParaDecision"/>
        <w:numPr>
          <w:ilvl w:val="0"/>
          <w:numId w:val="60"/>
        </w:numPr>
      </w:pPr>
      <w:r>
        <w:rPr>
          <w:u w:val="none"/>
        </w:rPr>
        <w:t xml:space="preserve">The Seoul </w:t>
      </w:r>
      <w:r w:rsidR="001D59D8">
        <w:rPr>
          <w:u w:val="none"/>
        </w:rPr>
        <w:t>V</w:t>
      </w:r>
      <w:r>
        <w:rPr>
          <w:u w:val="none"/>
        </w:rPr>
        <w:t>ision</w:t>
      </w:r>
      <w:r w:rsidR="001D59D8">
        <w:rPr>
          <w:u w:val="none"/>
        </w:rPr>
        <w:t xml:space="preserve"> for the Future of Safeguarding Living Heritage for Sustainable Development and Peace</w:t>
      </w:r>
      <w:r w:rsidR="00D21CE6">
        <w:rPr>
          <w:u w:val="none"/>
        </w:rPr>
        <w:t xml:space="preserve"> as well as the inputs provided by States Parties through the survey</w:t>
      </w:r>
      <w:r w:rsidR="003A34A5">
        <w:rPr>
          <w:u w:val="none"/>
        </w:rPr>
        <w:t>,</w:t>
      </w:r>
      <w:r>
        <w:rPr>
          <w:u w:val="none"/>
        </w:rPr>
        <w:t xml:space="preserve"> </w:t>
      </w:r>
      <w:r w:rsidR="008449F7">
        <w:rPr>
          <w:u w:val="none"/>
        </w:rPr>
        <w:t xml:space="preserve">and </w:t>
      </w:r>
      <w:r w:rsidRPr="00A91C02">
        <w:t>calls upon</w:t>
      </w:r>
      <w:r>
        <w:rPr>
          <w:u w:val="none"/>
        </w:rPr>
        <w:t xml:space="preserve"> the stakeholders of the Convention to </w:t>
      </w:r>
      <w:proofErr w:type="gramStart"/>
      <w:r>
        <w:rPr>
          <w:u w:val="none"/>
        </w:rPr>
        <w:t>take into account</w:t>
      </w:r>
      <w:proofErr w:type="gramEnd"/>
      <w:r>
        <w:rPr>
          <w:u w:val="none"/>
        </w:rPr>
        <w:t xml:space="preserve"> the proposed main areas of action in their safeguarding efforts for the further development of the Convention;</w:t>
      </w:r>
    </w:p>
    <w:p w14:paraId="307E1B8C" w14:textId="672F5DC1" w:rsidR="008449F7" w:rsidRPr="00A91C02" w:rsidRDefault="00355C89" w:rsidP="005D5F5F">
      <w:pPr>
        <w:pStyle w:val="COMParaDecision"/>
        <w:numPr>
          <w:ilvl w:val="0"/>
          <w:numId w:val="60"/>
        </w:numPr>
      </w:pPr>
      <w:r>
        <w:rPr>
          <w:u w:val="none"/>
        </w:rPr>
        <w:t>The f</w:t>
      </w:r>
      <w:r w:rsidR="008449F7">
        <w:rPr>
          <w:u w:val="none"/>
        </w:rPr>
        <w:t xml:space="preserve">inal </w:t>
      </w:r>
      <w:r>
        <w:rPr>
          <w:u w:val="none"/>
        </w:rPr>
        <w:t>d</w:t>
      </w:r>
      <w:r w:rsidR="008449F7">
        <w:rPr>
          <w:u w:val="none"/>
        </w:rPr>
        <w:t>eclaration of the UNESCO World Conference on Cultural Policies and Sustainable Development – MONDIACULT 2022</w:t>
      </w:r>
      <w:r w:rsidR="0054013D">
        <w:rPr>
          <w:u w:val="none"/>
        </w:rPr>
        <w:t>,</w:t>
      </w:r>
      <w:r w:rsidR="008449F7">
        <w:rPr>
          <w:u w:val="none"/>
        </w:rPr>
        <w:t xml:space="preserve"> a</w:t>
      </w:r>
      <w:r w:rsidR="003A34A5">
        <w:rPr>
          <w:u w:val="none"/>
        </w:rPr>
        <w:t>s well as</w:t>
      </w:r>
      <w:r w:rsidR="008449F7">
        <w:rPr>
          <w:u w:val="none"/>
        </w:rPr>
        <w:t xml:space="preserve"> </w:t>
      </w:r>
      <w:r w:rsidR="003A34A5">
        <w:rPr>
          <w:u w:val="none"/>
        </w:rPr>
        <w:t xml:space="preserve">the 2024 IOS </w:t>
      </w:r>
      <w:r w:rsidR="0011391C">
        <w:rPr>
          <w:u w:val="none"/>
        </w:rPr>
        <w:t>E</w:t>
      </w:r>
      <w:r w:rsidR="003A34A5">
        <w:rPr>
          <w:u w:val="none"/>
        </w:rPr>
        <w:t xml:space="preserve">valuation of UNESCO’s periodic reporting on the Culture Sector’s Conventions and Recommendations, and </w:t>
      </w:r>
      <w:r w:rsidR="003A34A5">
        <w:t>endorses</w:t>
      </w:r>
      <w:r w:rsidR="003A34A5">
        <w:rPr>
          <w:u w:val="none"/>
        </w:rPr>
        <w:t xml:space="preserve"> the transitional measures to rationalize the periodic reporting towards the single global submission system,</w:t>
      </w:r>
      <w:r w:rsidR="00335167">
        <w:rPr>
          <w:u w:val="none"/>
        </w:rPr>
        <w:t xml:space="preserve"> including</w:t>
      </w:r>
      <w:r w:rsidR="003A34A5">
        <w:rPr>
          <w:u w:val="none"/>
        </w:rPr>
        <w:t xml:space="preserve"> in preparation for the UNESCO Global Report on Cultural Policies</w:t>
      </w:r>
      <w:r w:rsidR="00335167">
        <w:rPr>
          <w:u w:val="none"/>
        </w:rPr>
        <w:t>, as endorsed by the eighteenth session of the Committee</w:t>
      </w:r>
      <w:r w:rsidR="003A34A5">
        <w:rPr>
          <w:u w:val="none"/>
        </w:rPr>
        <w:t>;</w:t>
      </w:r>
    </w:p>
    <w:p w14:paraId="167765F6" w14:textId="1F2C9F5D" w:rsidR="003A34A5" w:rsidRPr="006C377B" w:rsidRDefault="003A34A5" w:rsidP="00A91C02">
      <w:pPr>
        <w:pStyle w:val="COMParaDecision"/>
        <w:numPr>
          <w:ilvl w:val="0"/>
          <w:numId w:val="60"/>
        </w:numPr>
      </w:pPr>
      <w:r>
        <w:rPr>
          <w:u w:val="none"/>
        </w:rPr>
        <w:t xml:space="preserve">An invitation extended by the General Conference of UNESCO to contribute </w:t>
      </w:r>
      <w:r w:rsidR="00A7272E">
        <w:rPr>
          <w:u w:val="none"/>
        </w:rPr>
        <w:t xml:space="preserve">to </w:t>
      </w:r>
      <w:r>
        <w:rPr>
          <w:u w:val="none"/>
        </w:rPr>
        <w:t xml:space="preserve">the process of the strategic reflection on future programmatic directions and priorities for the quadrennium 2026-2029, </w:t>
      </w:r>
      <w:r w:rsidRPr="00E32E72">
        <w:t>affirms</w:t>
      </w:r>
      <w:r>
        <w:rPr>
          <w:u w:val="none"/>
        </w:rPr>
        <w:t xml:space="preserve"> the strategic importance of living heritage for sustainable human development in the </w:t>
      </w:r>
      <w:r w:rsidR="00335167">
        <w:rPr>
          <w:u w:val="none"/>
        </w:rPr>
        <w:t xml:space="preserve">fields of competence </w:t>
      </w:r>
      <w:r>
        <w:rPr>
          <w:u w:val="none"/>
        </w:rPr>
        <w:t>of the Organization</w:t>
      </w:r>
      <w:r w:rsidR="00E12935">
        <w:rPr>
          <w:u w:val="none"/>
        </w:rPr>
        <w:t>,</w:t>
      </w:r>
      <w:r w:rsidR="00BB18E2">
        <w:rPr>
          <w:u w:val="none"/>
        </w:rPr>
        <w:t xml:space="preserve"> and </w:t>
      </w:r>
      <w:r w:rsidR="00BB18E2" w:rsidRPr="00E32E72">
        <w:t>requests</w:t>
      </w:r>
      <w:r w:rsidR="00BB18E2">
        <w:rPr>
          <w:u w:val="none"/>
        </w:rPr>
        <w:t xml:space="preserve"> </w:t>
      </w:r>
      <w:r w:rsidR="00E12935">
        <w:rPr>
          <w:u w:val="none"/>
        </w:rPr>
        <w:t xml:space="preserve">that </w:t>
      </w:r>
      <w:r w:rsidR="00BB18E2">
        <w:rPr>
          <w:u w:val="none"/>
        </w:rPr>
        <w:t xml:space="preserve">the Secretariat reflect the discussions undertaken during the present session </w:t>
      </w:r>
      <w:r w:rsidR="00355C89">
        <w:rPr>
          <w:u w:val="none"/>
        </w:rPr>
        <w:t>in</w:t>
      </w:r>
      <w:r w:rsidR="00BB18E2">
        <w:rPr>
          <w:u w:val="none"/>
        </w:rPr>
        <w:t xml:space="preserve"> the Culture Sector’s contribution to the Director-General’s </w:t>
      </w:r>
      <w:r w:rsidR="00E12935">
        <w:rPr>
          <w:u w:val="none"/>
        </w:rPr>
        <w:t>p</w:t>
      </w:r>
      <w:r w:rsidR="00BB18E2">
        <w:rPr>
          <w:u w:val="none"/>
        </w:rPr>
        <w:t xml:space="preserve">reliminary </w:t>
      </w:r>
      <w:r w:rsidR="00E12935">
        <w:rPr>
          <w:u w:val="none"/>
        </w:rPr>
        <w:t>p</w:t>
      </w:r>
      <w:r w:rsidR="00BB18E2">
        <w:rPr>
          <w:u w:val="none"/>
        </w:rPr>
        <w:t xml:space="preserve">roposals on the </w:t>
      </w:r>
      <w:r w:rsidR="00E12935">
        <w:rPr>
          <w:u w:val="none"/>
        </w:rPr>
        <w:t>d</w:t>
      </w:r>
      <w:r w:rsidR="00BB18E2">
        <w:rPr>
          <w:u w:val="none"/>
        </w:rPr>
        <w:t>raft 43 C/5</w:t>
      </w:r>
      <w:r>
        <w:rPr>
          <w:u w:val="none"/>
        </w:rPr>
        <w:t>;</w:t>
      </w:r>
    </w:p>
    <w:p w14:paraId="1EAB2934" w14:textId="3D4EE6F4" w:rsidR="00014915" w:rsidRPr="00BB6EEC" w:rsidRDefault="00E52F93" w:rsidP="00B917D2">
      <w:pPr>
        <w:pStyle w:val="COMParaDecision"/>
      </w:pPr>
      <w:r>
        <w:t>Further r</w:t>
      </w:r>
      <w:r w:rsidR="00D0118F">
        <w:t>equests</w:t>
      </w:r>
      <w:r w:rsidR="0057439C" w:rsidRPr="00BB6EEC">
        <w:rPr>
          <w:u w:val="none"/>
        </w:rPr>
        <w:t xml:space="preserve"> </w:t>
      </w:r>
      <w:r w:rsidR="00355C89">
        <w:rPr>
          <w:u w:val="none"/>
        </w:rPr>
        <w:t xml:space="preserve">that </w:t>
      </w:r>
      <w:r w:rsidR="00D0118F">
        <w:rPr>
          <w:u w:val="none"/>
        </w:rPr>
        <w:t>the Secretariat report on its activities for the period between January 2024 and December 2025 for examination by the General Assembly a</w:t>
      </w:r>
      <w:r w:rsidR="006E43AD">
        <w:rPr>
          <w:u w:val="none"/>
        </w:rPr>
        <w:t>t</w:t>
      </w:r>
      <w:r w:rsidR="00D0118F">
        <w:rPr>
          <w:u w:val="none"/>
        </w:rPr>
        <w:t xml:space="preserve"> its </w:t>
      </w:r>
      <w:r w:rsidR="00AA6486">
        <w:rPr>
          <w:u w:val="none"/>
        </w:rPr>
        <w:t xml:space="preserve">eleventh </w:t>
      </w:r>
      <w:r w:rsidR="00D0118F">
        <w:rPr>
          <w:u w:val="none"/>
        </w:rPr>
        <w:t>session.</w:t>
      </w:r>
    </w:p>
    <w:p w14:paraId="19AC5F4A" w14:textId="23EB7589" w:rsidR="00937D53" w:rsidRPr="00BB6EEC" w:rsidRDefault="00937D53">
      <w:pPr>
        <w:rPr>
          <w:rFonts w:ascii="Arial" w:eastAsia="SimSun" w:hAnsi="Arial" w:cs="Arial"/>
          <w:sz w:val="22"/>
          <w:szCs w:val="22"/>
          <w:u w:val="single"/>
          <w:lang w:val="en-GB"/>
        </w:rPr>
      </w:pPr>
      <w:r w:rsidRPr="00BB6EEC">
        <w:rPr>
          <w:rFonts w:ascii="Arial" w:eastAsia="SimSun" w:hAnsi="Arial" w:cs="Arial"/>
          <w:sz w:val="22"/>
          <w:szCs w:val="22"/>
          <w:u w:val="single"/>
          <w:lang w:val="en-GB"/>
        </w:rPr>
        <w:br w:type="page"/>
      </w:r>
    </w:p>
    <w:p w14:paraId="47BF5811" w14:textId="77777777" w:rsidR="00C04B01" w:rsidRDefault="00C04B01" w:rsidP="00C04B01">
      <w:pPr>
        <w:pStyle w:val="COMParaDecision"/>
        <w:ind w:left="0" w:firstLine="0"/>
        <w:jc w:val="center"/>
        <w:rPr>
          <w:rFonts w:asciiTheme="minorBidi" w:hAnsiTheme="minorBidi" w:cstheme="minorBidi"/>
          <w:b/>
        </w:rPr>
        <w:sectPr w:rsidR="00C04B01" w:rsidSect="00603581">
          <w:headerReference w:type="even" r:id="rId53"/>
          <w:headerReference w:type="default" r:id="rId54"/>
          <w:headerReference w:type="first" r:id="rId55"/>
          <w:pgSz w:w="11906" w:h="16838" w:code="9"/>
          <w:pgMar w:top="1418" w:right="1134" w:bottom="1134" w:left="1134" w:header="397" w:footer="284" w:gutter="0"/>
          <w:cols w:space="708"/>
          <w:titlePg/>
          <w:docGrid w:linePitch="360"/>
        </w:sectPr>
      </w:pPr>
    </w:p>
    <w:p w14:paraId="1234D0C5" w14:textId="46B418F9" w:rsidR="00C04B01" w:rsidRPr="006B6390" w:rsidRDefault="00C04B01" w:rsidP="00C04B01">
      <w:pPr>
        <w:pStyle w:val="COMParaDecision"/>
        <w:numPr>
          <w:ilvl w:val="0"/>
          <w:numId w:val="0"/>
        </w:numPr>
        <w:jc w:val="center"/>
        <w:rPr>
          <w:rFonts w:asciiTheme="minorBidi" w:hAnsiTheme="minorBidi" w:cstheme="minorBidi"/>
          <w:b/>
        </w:rPr>
      </w:pPr>
      <w:bookmarkStart w:id="2" w:name="AnnexI"/>
      <w:bookmarkEnd w:id="2"/>
      <w:r w:rsidRPr="006B6390">
        <w:rPr>
          <w:rFonts w:asciiTheme="minorBidi" w:hAnsiTheme="minorBidi" w:cstheme="minorBidi"/>
          <w:b/>
        </w:rPr>
        <w:lastRenderedPageBreak/>
        <w:t>Annex</w:t>
      </w:r>
      <w:r w:rsidR="00CE0B41">
        <w:rPr>
          <w:rFonts w:asciiTheme="minorBidi" w:hAnsiTheme="minorBidi" w:cstheme="minorBidi"/>
          <w:b/>
        </w:rPr>
        <w:t xml:space="preserve"> I</w:t>
      </w:r>
    </w:p>
    <w:p w14:paraId="0F39D46F" w14:textId="77777777" w:rsidR="00C04B01" w:rsidRDefault="00C04B01" w:rsidP="00C04B01">
      <w:pPr>
        <w:pStyle w:val="COMParaDecision"/>
        <w:numPr>
          <w:ilvl w:val="0"/>
          <w:numId w:val="0"/>
        </w:numPr>
        <w:spacing w:after="240"/>
        <w:jc w:val="center"/>
        <w:rPr>
          <w:rFonts w:asciiTheme="minorBidi" w:hAnsiTheme="minorBidi" w:cstheme="minorBidi"/>
          <w:b/>
          <w:u w:val="none"/>
        </w:rPr>
      </w:pPr>
      <w:r w:rsidRPr="006B6390">
        <w:rPr>
          <w:rFonts w:asciiTheme="minorBidi" w:hAnsiTheme="minorBidi" w:cstheme="minorBidi"/>
          <w:b/>
          <w:u w:val="none"/>
        </w:rPr>
        <w:t>Assessment by performance indicator</w:t>
      </w:r>
    </w:p>
    <w:tbl>
      <w:tblPr>
        <w:tblStyle w:val="TableGrid2"/>
        <w:tblW w:w="14572" w:type="dxa"/>
        <w:tblLook w:val="04A0" w:firstRow="1" w:lastRow="0" w:firstColumn="1" w:lastColumn="0" w:noHBand="0" w:noVBand="1"/>
      </w:tblPr>
      <w:tblGrid>
        <w:gridCol w:w="3652"/>
        <w:gridCol w:w="10920"/>
      </w:tblGrid>
      <w:tr w:rsidR="00BE109A" w:rsidRPr="009E4BF8" w14:paraId="6933689B" w14:textId="77777777" w:rsidTr="00DC7E7F">
        <w:trPr>
          <w:cantSplit/>
        </w:trPr>
        <w:tc>
          <w:tcPr>
            <w:tcW w:w="1253" w:type="pct"/>
            <w:shd w:val="clear" w:color="auto" w:fill="808080" w:themeFill="background1" w:themeFillShade="80"/>
            <w:vAlign w:val="center"/>
          </w:tcPr>
          <w:p w14:paraId="0D2AB613"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t>41C/5 Performance Indicator 1</w:t>
            </w:r>
          </w:p>
        </w:tc>
        <w:tc>
          <w:tcPr>
            <w:tcW w:w="3747" w:type="pct"/>
            <w:shd w:val="clear" w:color="auto" w:fill="808080" w:themeFill="background1" w:themeFillShade="80"/>
            <w:vAlign w:val="center"/>
          </w:tcPr>
          <w:p w14:paraId="3A97B624"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t>Number of Member States with new or revised policies, strategies and programmes to safeguard living heritage, including within sustainable development plans and frameworks, in line with the 2003 Convention for the Safeguarding of the Intangible Cultural Heritage</w:t>
            </w:r>
          </w:p>
        </w:tc>
      </w:tr>
    </w:tbl>
    <w:tbl>
      <w:tblP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52"/>
        <w:gridCol w:w="1676"/>
        <w:gridCol w:w="417"/>
        <w:gridCol w:w="224"/>
        <w:gridCol w:w="10277"/>
      </w:tblGrid>
      <w:tr w:rsidR="00BE109A" w:rsidRPr="00757D68" w14:paraId="528BD510" w14:textId="77777777" w:rsidTr="00DC7E7F">
        <w:trPr>
          <w:tblHeader/>
        </w:trPr>
        <w:tc>
          <w:tcPr>
            <w:tcW w:w="627" w:type="pct"/>
            <w:shd w:val="clear" w:color="auto" w:fill="D9D9D9" w:themeFill="background1" w:themeFillShade="D9"/>
            <w:vAlign w:val="center"/>
          </w:tcPr>
          <w:p w14:paraId="7440E0DD" w14:textId="77777777" w:rsidR="00BE109A" w:rsidRPr="00757D68" w:rsidRDefault="00BE109A" w:rsidP="00DC7E7F">
            <w:pPr>
              <w:widowControl w:val="0"/>
              <w:spacing w:before="60" w:after="60"/>
              <w:jc w:val="center"/>
              <w:rPr>
                <w:rFonts w:asciiTheme="minorBidi" w:eastAsia="Calibri" w:hAnsiTheme="minorBidi" w:cstheme="minorBidi"/>
                <w:b/>
                <w:sz w:val="22"/>
                <w:szCs w:val="22"/>
                <w:lang w:val="en-GB"/>
              </w:rPr>
            </w:pPr>
            <w:r w:rsidRPr="00757D68">
              <w:rPr>
                <w:rFonts w:asciiTheme="minorBidi" w:hAnsiTheme="minorBidi" w:cstheme="minorBidi"/>
                <w:b/>
                <w:bCs/>
                <w:sz w:val="22"/>
                <w:szCs w:val="22"/>
                <w:lang w:val="en-GB"/>
              </w:rPr>
              <w:t>Baselines</w:t>
            </w:r>
          </w:p>
        </w:tc>
        <w:tc>
          <w:tcPr>
            <w:tcW w:w="627" w:type="pct"/>
            <w:gridSpan w:val="2"/>
            <w:shd w:val="clear" w:color="auto" w:fill="D9D9D9" w:themeFill="background1" w:themeFillShade="D9"/>
            <w:vAlign w:val="center"/>
          </w:tcPr>
          <w:p w14:paraId="77FF8753" w14:textId="77777777" w:rsidR="00BE109A" w:rsidRPr="00757D68" w:rsidRDefault="00BE109A" w:rsidP="00DC7E7F">
            <w:pPr>
              <w:widowControl w:val="0"/>
              <w:spacing w:before="60" w:after="60"/>
              <w:jc w:val="center"/>
              <w:rPr>
                <w:rFonts w:asciiTheme="minorBidi" w:eastAsia="Calibri" w:hAnsiTheme="minorBidi" w:cstheme="minorBidi"/>
                <w:b/>
                <w:sz w:val="22"/>
                <w:szCs w:val="22"/>
                <w:lang w:val="en-GB"/>
              </w:rPr>
            </w:pPr>
            <w:r w:rsidRPr="00757D68">
              <w:rPr>
                <w:rFonts w:asciiTheme="minorBidi" w:eastAsia="Calibri" w:hAnsiTheme="minorBidi" w:cstheme="minorBidi"/>
                <w:b/>
                <w:sz w:val="22"/>
                <w:szCs w:val="22"/>
                <w:lang w:val="en-GB"/>
              </w:rPr>
              <w:t>Targets 2023</w:t>
            </w:r>
          </w:p>
        </w:tc>
        <w:tc>
          <w:tcPr>
            <w:tcW w:w="3747" w:type="pct"/>
            <w:gridSpan w:val="3"/>
            <w:shd w:val="clear" w:color="auto" w:fill="D9D9D9" w:themeFill="background1" w:themeFillShade="D9"/>
            <w:vAlign w:val="center"/>
          </w:tcPr>
          <w:p w14:paraId="20F783E6" w14:textId="6B7C9FB9" w:rsidR="00BE109A" w:rsidRPr="00757D68" w:rsidRDefault="00BE109A" w:rsidP="00DC7E7F">
            <w:pPr>
              <w:widowControl w:val="0"/>
              <w:autoSpaceDE w:val="0"/>
              <w:autoSpaceDN w:val="0"/>
              <w:adjustRightInd w:val="0"/>
              <w:jc w:val="center"/>
              <w:rPr>
                <w:rFonts w:asciiTheme="minorBidi" w:eastAsia="Calibri" w:hAnsiTheme="minorBidi" w:cstheme="minorBidi"/>
                <w:b/>
                <w:color w:val="000000"/>
                <w:sz w:val="22"/>
                <w:szCs w:val="22"/>
                <w:lang w:val="en-GB"/>
              </w:rPr>
            </w:pPr>
            <w:r w:rsidRPr="00757D68">
              <w:rPr>
                <w:rFonts w:asciiTheme="minorBidi" w:eastAsia="Calibri" w:hAnsiTheme="minorBidi" w:cstheme="minorBidi"/>
                <w:b/>
                <w:sz w:val="22"/>
                <w:szCs w:val="22"/>
                <w:lang w:val="en-GB"/>
              </w:rPr>
              <w:t>Assessment of progress:</w:t>
            </w:r>
            <w:r w:rsidRPr="00757D68">
              <w:rPr>
                <w:rFonts w:asciiTheme="minorBidi" w:eastAsia="Calibri" w:hAnsiTheme="minorBidi" w:cstheme="minorBidi"/>
                <w:b/>
                <w:sz w:val="22"/>
                <w:szCs w:val="22"/>
                <w:lang w:val="en-GB"/>
              </w:rPr>
              <w:br/>
              <w:t xml:space="preserve">01/01/2022 to </w:t>
            </w:r>
            <w:r w:rsidR="00597571">
              <w:rPr>
                <w:rFonts w:asciiTheme="minorBidi" w:eastAsia="Calibri" w:hAnsiTheme="minorBidi" w:cstheme="minorBidi"/>
                <w:b/>
                <w:sz w:val="22"/>
                <w:szCs w:val="22"/>
                <w:lang w:val="en-GB"/>
              </w:rPr>
              <w:t>31</w:t>
            </w:r>
            <w:r w:rsidRPr="00757D68">
              <w:rPr>
                <w:rFonts w:asciiTheme="minorBidi" w:eastAsia="Calibri" w:hAnsiTheme="minorBidi" w:cstheme="minorBidi"/>
                <w:b/>
                <w:sz w:val="22"/>
                <w:szCs w:val="22"/>
                <w:lang w:val="en-GB"/>
              </w:rPr>
              <w:t>/</w:t>
            </w:r>
            <w:r w:rsidR="00597571">
              <w:rPr>
                <w:rFonts w:asciiTheme="minorBidi" w:eastAsia="Calibri" w:hAnsiTheme="minorBidi" w:cstheme="minorBidi"/>
                <w:b/>
                <w:sz w:val="22"/>
                <w:szCs w:val="22"/>
                <w:lang w:val="en-GB"/>
              </w:rPr>
              <w:t>12</w:t>
            </w:r>
            <w:r w:rsidRPr="00757D68">
              <w:rPr>
                <w:rFonts w:asciiTheme="minorBidi" w:eastAsia="Calibri" w:hAnsiTheme="minorBidi" w:cstheme="minorBidi"/>
                <w:b/>
                <w:sz w:val="22"/>
                <w:szCs w:val="22"/>
                <w:lang w:val="en-GB"/>
              </w:rPr>
              <w:t>/2023</w:t>
            </w:r>
          </w:p>
        </w:tc>
      </w:tr>
      <w:tr w:rsidR="00BE109A" w:rsidRPr="0085465D" w14:paraId="32D5C7AE" w14:textId="77777777" w:rsidTr="00DC7E7F">
        <w:trPr>
          <w:trHeight w:val="1498"/>
        </w:trPr>
        <w:tc>
          <w:tcPr>
            <w:tcW w:w="627" w:type="pct"/>
            <w:tcBorders>
              <w:bottom w:val="single" w:sz="4" w:space="0" w:color="auto"/>
            </w:tcBorders>
          </w:tcPr>
          <w:p w14:paraId="59799DBA" w14:textId="77777777" w:rsidR="00BE109A" w:rsidRPr="00757D68" w:rsidRDefault="00BE109A" w:rsidP="00DC7E7F">
            <w:pPr>
              <w:widowControl w:val="0"/>
              <w:spacing w:before="120" w:after="120"/>
              <w:rPr>
                <w:rFonts w:asciiTheme="minorBidi" w:hAnsiTheme="minorBidi" w:cstheme="minorBidi"/>
                <w:sz w:val="22"/>
                <w:szCs w:val="22"/>
                <w:lang w:val="en-GB"/>
              </w:rPr>
            </w:pPr>
            <w:r w:rsidRPr="00757D68">
              <w:rPr>
                <w:rFonts w:asciiTheme="minorBidi" w:hAnsiTheme="minorBidi" w:cstheme="minorBidi"/>
                <w:sz w:val="22"/>
                <w:szCs w:val="22"/>
                <w:lang w:val="en-GB"/>
              </w:rPr>
              <w:t>60, including 20 in Africa and 10 SIDS</w:t>
            </w:r>
          </w:p>
        </w:tc>
        <w:tc>
          <w:tcPr>
            <w:tcW w:w="627" w:type="pct"/>
            <w:gridSpan w:val="2"/>
            <w:tcBorders>
              <w:bottom w:val="single" w:sz="4" w:space="0" w:color="auto"/>
            </w:tcBorders>
            <w:shd w:val="clear" w:color="auto" w:fill="auto"/>
          </w:tcPr>
          <w:p w14:paraId="29A4DD63" w14:textId="77777777" w:rsidR="00BE109A" w:rsidRPr="00757D68" w:rsidRDefault="00BE109A" w:rsidP="00DC7E7F">
            <w:pPr>
              <w:widowControl w:val="0"/>
              <w:spacing w:before="120" w:after="120"/>
              <w:ind w:left="-28"/>
              <w:rPr>
                <w:rFonts w:asciiTheme="minorBidi" w:hAnsiTheme="minorBidi" w:cstheme="minorBidi"/>
                <w:sz w:val="22"/>
                <w:szCs w:val="22"/>
                <w:lang w:val="en-GB"/>
              </w:rPr>
            </w:pPr>
            <w:r w:rsidRPr="00757D68">
              <w:rPr>
                <w:rFonts w:asciiTheme="minorBidi" w:hAnsiTheme="minorBidi" w:cstheme="minorBidi"/>
                <w:sz w:val="22"/>
                <w:szCs w:val="22"/>
                <w:lang w:val="en-GB"/>
              </w:rPr>
              <w:t>60, including 30 in Africa and 10 SIDS</w:t>
            </w:r>
          </w:p>
        </w:tc>
        <w:tc>
          <w:tcPr>
            <w:tcW w:w="3747" w:type="pct"/>
            <w:gridSpan w:val="3"/>
            <w:tcBorders>
              <w:bottom w:val="single" w:sz="4" w:space="0" w:color="auto"/>
            </w:tcBorders>
            <w:shd w:val="clear" w:color="auto" w:fill="auto"/>
          </w:tcPr>
          <w:p w14:paraId="34CDD943" w14:textId="77777777" w:rsidR="00BE109A" w:rsidRPr="00261480"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114 Member States benefitted from the capacity-building programme (including 32 in Africa and 25 SIDS);</w:t>
            </w:r>
          </w:p>
          <w:p w14:paraId="58149EF4" w14:textId="77777777" w:rsidR="00BE109A" w:rsidRPr="00261480"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18 countries received support for the periodic reporting exercise in the Arab States;</w:t>
            </w:r>
          </w:p>
          <w:p w14:paraId="2A22D8A6" w14:textId="33DF2074" w:rsidR="00BE109A" w:rsidRPr="00261480" w:rsidRDefault="00420E74"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lang w:val="en-GB"/>
              </w:rPr>
            </w:pPr>
            <w:r>
              <w:rPr>
                <w:rFonts w:asciiTheme="minorBidi" w:hAnsiTheme="minorBidi" w:cstheme="minorBidi"/>
                <w:sz w:val="22"/>
                <w:szCs w:val="22"/>
                <w:lang w:val="en-GB"/>
              </w:rPr>
              <w:t>44</w:t>
            </w:r>
            <w:r w:rsidRPr="00261480">
              <w:rPr>
                <w:rFonts w:asciiTheme="minorBidi" w:hAnsiTheme="minorBidi" w:cstheme="minorBidi"/>
                <w:sz w:val="22"/>
                <w:szCs w:val="22"/>
                <w:lang w:val="en-GB"/>
              </w:rPr>
              <w:t xml:space="preserve"> </w:t>
            </w:r>
            <w:r w:rsidR="00BE109A" w:rsidRPr="00261480">
              <w:rPr>
                <w:rFonts w:asciiTheme="minorBidi" w:hAnsiTheme="minorBidi" w:cstheme="minorBidi"/>
                <w:sz w:val="22"/>
                <w:szCs w:val="22"/>
                <w:lang w:val="en-GB"/>
              </w:rPr>
              <w:t>countries received support for the periodic reporting exercise in Africa;</w:t>
            </w:r>
          </w:p>
          <w:p w14:paraId="15DE2243"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95 new</w:t>
            </w:r>
            <w:r w:rsidRPr="00757D68">
              <w:rPr>
                <w:rFonts w:asciiTheme="minorBidi" w:hAnsiTheme="minorBidi" w:cstheme="minorBidi"/>
                <w:sz w:val="22"/>
                <w:szCs w:val="22"/>
                <w:lang w:val="en-GB"/>
              </w:rPr>
              <w:t xml:space="preserve"> experts selected to join the global network of facilitators of the Convention;</w:t>
            </w:r>
          </w:p>
          <w:p w14:paraId="05D52289"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3 regional training-of-trainer workshops organized for incoming network members from Europe, Africa, Arab States, and Asia and the Pacific;</w:t>
            </w:r>
          </w:p>
          <w:p w14:paraId="5C9A8C1A" w14:textId="0DEA7BFE"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One sub-regional training workshop on nominations organized in cooperation with three Field Offices, training more than 70 participants from 16 SIDS;</w:t>
            </w:r>
          </w:p>
          <w:p w14:paraId="2FFDB356" w14:textId="77777777" w:rsidR="00BE109A" w:rsidRPr="00757D68" w:rsidRDefault="00BE109A" w:rsidP="00BE109A">
            <w:pPr>
              <w:pStyle w:val="Paragraphedeliste"/>
              <w:widowControl w:val="0"/>
              <w:numPr>
                <w:ilvl w:val="0"/>
                <w:numId w:val="24"/>
              </w:numPr>
              <w:spacing w:before="120" w:after="120"/>
              <w:ind w:left="425" w:hanging="425"/>
              <w:contextualSpacing w:val="0"/>
              <w:jc w:val="both"/>
              <w:rPr>
                <w:rFonts w:asciiTheme="minorBidi" w:hAnsiTheme="minorBidi" w:cstheme="minorBidi"/>
                <w:sz w:val="22"/>
                <w:szCs w:val="22"/>
                <w:lang w:val="en-GB"/>
              </w:rPr>
            </w:pPr>
            <w:r w:rsidRPr="00757D68">
              <w:rPr>
                <w:rFonts w:asciiTheme="minorBidi" w:hAnsiTheme="minorBidi" w:cstheme="minorBidi"/>
                <w:sz w:val="22"/>
                <w:szCs w:val="22"/>
                <w:lang w:val="en-GB"/>
              </w:rPr>
              <w:t>12 proposals processed for the establishment or renewal of UNESCO Chairs in the field of intangible cultural heritage, including the establishment of the UNITWIN network on intangible cultural heritage.</w:t>
            </w:r>
          </w:p>
        </w:tc>
      </w:tr>
      <w:tr w:rsidR="00BE109A" w:rsidRPr="0085465D" w14:paraId="00D145B7" w14:textId="77777777" w:rsidTr="00DC7E7F">
        <w:trPr>
          <w:trHeight w:val="367"/>
        </w:trPr>
        <w:tc>
          <w:tcPr>
            <w:tcW w:w="679" w:type="pct"/>
            <w:gridSpan w:val="2"/>
            <w:tcBorders>
              <w:left w:val="nil"/>
              <w:bottom w:val="nil"/>
              <w:right w:val="nil"/>
            </w:tcBorders>
          </w:tcPr>
          <w:p w14:paraId="4E5A2518" w14:textId="77777777" w:rsidR="00BE109A" w:rsidRPr="00757D68" w:rsidRDefault="00BE109A" w:rsidP="00DC7E7F">
            <w:pPr>
              <w:widowControl w:val="0"/>
              <w:spacing w:before="120" w:after="120"/>
              <w:rPr>
                <w:rFonts w:asciiTheme="minorBidi" w:hAnsiTheme="minorBidi" w:cstheme="minorBidi"/>
                <w:sz w:val="22"/>
                <w:szCs w:val="22"/>
                <w:lang w:val="en-GB"/>
              </w:rPr>
            </w:pPr>
          </w:p>
        </w:tc>
        <w:tc>
          <w:tcPr>
            <w:tcW w:w="718" w:type="pct"/>
            <w:gridSpan w:val="2"/>
            <w:tcBorders>
              <w:left w:val="nil"/>
              <w:bottom w:val="nil"/>
              <w:right w:val="nil"/>
            </w:tcBorders>
            <w:shd w:val="clear" w:color="auto" w:fill="auto"/>
          </w:tcPr>
          <w:p w14:paraId="734DDD1C" w14:textId="77777777" w:rsidR="00BE109A" w:rsidRPr="00757D68" w:rsidRDefault="00BE109A" w:rsidP="00DC7E7F">
            <w:pPr>
              <w:pStyle w:val="Paragraphedeliste"/>
              <w:widowControl w:val="0"/>
              <w:spacing w:before="120" w:after="120"/>
              <w:ind w:left="312"/>
              <w:contextualSpacing w:val="0"/>
              <w:rPr>
                <w:rFonts w:asciiTheme="minorBidi" w:hAnsiTheme="minorBidi" w:cstheme="minorBidi"/>
                <w:sz w:val="22"/>
                <w:szCs w:val="22"/>
                <w:lang w:val="en-GB"/>
              </w:rPr>
            </w:pPr>
          </w:p>
          <w:p w14:paraId="0D2881BF" w14:textId="77777777" w:rsidR="00BE109A" w:rsidRPr="00757D68" w:rsidRDefault="00BE109A" w:rsidP="00DC7E7F">
            <w:pPr>
              <w:pStyle w:val="Paragraphedeliste"/>
              <w:widowControl w:val="0"/>
              <w:spacing w:before="120" w:after="120"/>
              <w:ind w:left="312"/>
              <w:contextualSpacing w:val="0"/>
              <w:rPr>
                <w:rFonts w:asciiTheme="minorBidi" w:hAnsiTheme="minorBidi" w:cstheme="minorBidi"/>
                <w:sz w:val="22"/>
                <w:szCs w:val="22"/>
                <w:lang w:val="en-GB"/>
              </w:rPr>
            </w:pPr>
          </w:p>
        </w:tc>
        <w:tc>
          <w:tcPr>
            <w:tcW w:w="77" w:type="pct"/>
            <w:tcBorders>
              <w:left w:val="nil"/>
              <w:bottom w:val="nil"/>
              <w:right w:val="nil"/>
            </w:tcBorders>
            <w:shd w:val="clear" w:color="auto" w:fill="auto"/>
          </w:tcPr>
          <w:p w14:paraId="6606388D" w14:textId="77777777" w:rsidR="00BE109A" w:rsidRPr="00757D68" w:rsidRDefault="00BE109A" w:rsidP="00DC7E7F">
            <w:pPr>
              <w:pStyle w:val="Paragraphedeliste"/>
              <w:widowControl w:val="0"/>
              <w:spacing w:before="120" w:after="120"/>
              <w:ind w:left="312"/>
              <w:contextualSpacing w:val="0"/>
              <w:rPr>
                <w:rFonts w:asciiTheme="minorBidi" w:hAnsiTheme="minorBidi" w:cstheme="minorBidi"/>
                <w:sz w:val="22"/>
                <w:szCs w:val="22"/>
                <w:lang w:val="en-GB"/>
              </w:rPr>
            </w:pPr>
          </w:p>
        </w:tc>
        <w:tc>
          <w:tcPr>
            <w:tcW w:w="3526" w:type="pct"/>
            <w:tcBorders>
              <w:left w:val="nil"/>
              <w:bottom w:val="nil"/>
              <w:right w:val="nil"/>
            </w:tcBorders>
          </w:tcPr>
          <w:p w14:paraId="17B473F5" w14:textId="77777777" w:rsidR="00BE109A" w:rsidRPr="00757D68" w:rsidRDefault="00BE109A" w:rsidP="00DC7E7F">
            <w:pPr>
              <w:pStyle w:val="Paragraphedeliste"/>
              <w:widowControl w:val="0"/>
              <w:spacing w:before="120" w:after="120"/>
              <w:ind w:left="544"/>
              <w:contextualSpacing w:val="0"/>
              <w:rPr>
                <w:rFonts w:asciiTheme="minorBidi" w:hAnsiTheme="minorBidi" w:cstheme="minorBidi"/>
                <w:sz w:val="22"/>
                <w:szCs w:val="22"/>
                <w:lang w:val="en-GB"/>
              </w:rPr>
            </w:pPr>
          </w:p>
        </w:tc>
      </w:tr>
    </w:tbl>
    <w:p w14:paraId="776C2A6F" w14:textId="77777777" w:rsidR="00BE109A" w:rsidRPr="00757D68" w:rsidRDefault="00BE109A" w:rsidP="00BE109A">
      <w:pPr>
        <w:rPr>
          <w:lang w:val="en-GB"/>
        </w:rPr>
      </w:pPr>
      <w:r w:rsidRPr="00757D68">
        <w:rPr>
          <w:lang w:val="en-GB"/>
        </w:rPr>
        <w:br w:type="page"/>
      </w:r>
    </w:p>
    <w:tbl>
      <w:tblPr>
        <w:tblStyle w:val="TableGrid2"/>
        <w:tblW w:w="14572" w:type="dxa"/>
        <w:tblLook w:val="04A0" w:firstRow="1" w:lastRow="0" w:firstColumn="1" w:lastColumn="0" w:noHBand="0" w:noVBand="1"/>
      </w:tblPr>
      <w:tblGrid>
        <w:gridCol w:w="3509"/>
        <w:gridCol w:w="11063"/>
      </w:tblGrid>
      <w:tr w:rsidR="00BE109A" w:rsidRPr="0085465D" w14:paraId="6A46E2B2" w14:textId="77777777" w:rsidTr="00DC7E7F">
        <w:trPr>
          <w:cantSplit/>
        </w:trPr>
        <w:tc>
          <w:tcPr>
            <w:tcW w:w="1204" w:type="pct"/>
            <w:shd w:val="clear" w:color="auto" w:fill="808080" w:themeFill="background1" w:themeFillShade="80"/>
            <w:vAlign w:val="center"/>
          </w:tcPr>
          <w:p w14:paraId="0BA4E3EF"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lastRenderedPageBreak/>
              <w:t>41C/5 Performance Indicator 2</w:t>
            </w:r>
          </w:p>
        </w:tc>
        <w:tc>
          <w:tcPr>
            <w:tcW w:w="3796" w:type="pct"/>
            <w:shd w:val="clear" w:color="auto" w:fill="808080" w:themeFill="background1" w:themeFillShade="80"/>
            <w:vAlign w:val="center"/>
          </w:tcPr>
          <w:p w14:paraId="4FC8ED5D" w14:textId="77777777" w:rsidR="00BE109A" w:rsidRPr="00757D68" w:rsidRDefault="00BE109A" w:rsidP="00DC7E7F">
            <w:pPr>
              <w:keepNext/>
              <w:widowControl w:val="0"/>
              <w:spacing w:before="120" w:after="120"/>
              <w:rPr>
                <w:rFonts w:asciiTheme="minorBidi" w:hAnsiTheme="minorBidi" w:cstheme="minorBidi"/>
                <w:b/>
                <w:bCs/>
                <w:color w:val="FFFFFF" w:themeColor="background1"/>
                <w:sz w:val="22"/>
                <w:szCs w:val="22"/>
                <w:lang w:val="en-GB"/>
              </w:rPr>
            </w:pPr>
            <w:r w:rsidRPr="00757D68">
              <w:rPr>
                <w:rFonts w:asciiTheme="minorBidi" w:hAnsiTheme="minorBidi" w:cstheme="minorBidi"/>
                <w:b/>
                <w:bCs/>
                <w:color w:val="FFFFFF" w:themeColor="background1"/>
                <w:sz w:val="22"/>
                <w:szCs w:val="22"/>
                <w:lang w:val="en-GB"/>
              </w:rPr>
              <w:t>Number of Member States sustainably safeguarding living heritage through enhanced international cooperation and assistance mechanisms of the 2003 Convention for the Safeguarding of the Intangible Cultural Heritage</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4"/>
        <w:gridCol w:w="11063"/>
      </w:tblGrid>
      <w:tr w:rsidR="00BE109A" w:rsidRPr="00757D68" w14:paraId="14028AB2" w14:textId="77777777" w:rsidTr="00DC7E7F">
        <w:trPr>
          <w:tblHeader/>
        </w:trPr>
        <w:tc>
          <w:tcPr>
            <w:tcW w:w="602" w:type="pct"/>
            <w:shd w:val="clear" w:color="auto" w:fill="D9D9D9" w:themeFill="background1" w:themeFillShade="D9"/>
            <w:vAlign w:val="center"/>
          </w:tcPr>
          <w:p w14:paraId="3C73C5AB" w14:textId="77777777" w:rsidR="00BE109A" w:rsidRPr="00757D68" w:rsidRDefault="00BE109A" w:rsidP="00DC7E7F">
            <w:pPr>
              <w:widowControl w:val="0"/>
              <w:spacing w:before="60" w:after="60"/>
              <w:jc w:val="center"/>
              <w:rPr>
                <w:rFonts w:asciiTheme="minorBidi" w:eastAsia="Calibri" w:hAnsiTheme="minorBidi" w:cstheme="minorBidi"/>
                <w:b/>
                <w:sz w:val="22"/>
                <w:szCs w:val="22"/>
                <w:lang w:val="en-GB"/>
              </w:rPr>
            </w:pPr>
            <w:r w:rsidRPr="00757D68">
              <w:rPr>
                <w:rFonts w:asciiTheme="minorBidi" w:hAnsiTheme="minorBidi" w:cstheme="minorBidi"/>
                <w:b/>
                <w:bCs/>
                <w:sz w:val="22"/>
                <w:szCs w:val="22"/>
                <w:lang w:val="en-GB"/>
              </w:rPr>
              <w:t>Baselines</w:t>
            </w:r>
          </w:p>
        </w:tc>
        <w:tc>
          <w:tcPr>
            <w:tcW w:w="602" w:type="pct"/>
            <w:shd w:val="clear" w:color="auto" w:fill="D9D9D9" w:themeFill="background1" w:themeFillShade="D9"/>
            <w:vAlign w:val="center"/>
          </w:tcPr>
          <w:p w14:paraId="40730664" w14:textId="77777777" w:rsidR="00BE109A" w:rsidRPr="00757D68" w:rsidRDefault="00BE109A" w:rsidP="00DC7E7F">
            <w:pPr>
              <w:widowControl w:val="0"/>
              <w:spacing w:before="60" w:after="60"/>
              <w:jc w:val="center"/>
              <w:rPr>
                <w:rFonts w:asciiTheme="minorBidi" w:eastAsia="Calibri" w:hAnsiTheme="minorBidi" w:cstheme="minorBidi"/>
                <w:b/>
                <w:sz w:val="22"/>
                <w:szCs w:val="22"/>
                <w:lang w:val="en-GB"/>
              </w:rPr>
            </w:pPr>
            <w:r w:rsidRPr="00757D68">
              <w:rPr>
                <w:rFonts w:asciiTheme="minorBidi" w:eastAsia="Calibri" w:hAnsiTheme="minorBidi" w:cstheme="minorBidi"/>
                <w:b/>
                <w:sz w:val="22"/>
                <w:szCs w:val="22"/>
                <w:lang w:val="en-GB"/>
              </w:rPr>
              <w:t>Targets 2023</w:t>
            </w:r>
          </w:p>
        </w:tc>
        <w:tc>
          <w:tcPr>
            <w:tcW w:w="3796" w:type="pct"/>
            <w:shd w:val="clear" w:color="auto" w:fill="D9D9D9" w:themeFill="background1" w:themeFillShade="D9"/>
            <w:vAlign w:val="center"/>
          </w:tcPr>
          <w:p w14:paraId="17C8F8EE" w14:textId="69A8543B" w:rsidR="00BE109A" w:rsidRPr="00757D68" w:rsidRDefault="00BE109A" w:rsidP="00DC7E7F">
            <w:pPr>
              <w:widowControl w:val="0"/>
              <w:autoSpaceDE w:val="0"/>
              <w:autoSpaceDN w:val="0"/>
              <w:adjustRightInd w:val="0"/>
              <w:jc w:val="center"/>
              <w:rPr>
                <w:rFonts w:asciiTheme="minorBidi" w:eastAsia="Calibri" w:hAnsiTheme="minorBidi" w:cstheme="minorBidi"/>
                <w:b/>
                <w:color w:val="000000"/>
                <w:sz w:val="22"/>
                <w:szCs w:val="22"/>
                <w:lang w:val="en-GB"/>
              </w:rPr>
            </w:pPr>
            <w:r w:rsidRPr="00757D68">
              <w:rPr>
                <w:rFonts w:asciiTheme="minorBidi" w:eastAsia="Calibri" w:hAnsiTheme="minorBidi" w:cstheme="minorBidi"/>
                <w:b/>
                <w:sz w:val="22"/>
                <w:szCs w:val="22"/>
                <w:lang w:val="en-GB"/>
              </w:rPr>
              <w:t>Assessment of progress:</w:t>
            </w:r>
            <w:r w:rsidRPr="00757D68">
              <w:rPr>
                <w:rFonts w:asciiTheme="minorBidi" w:eastAsia="Calibri" w:hAnsiTheme="minorBidi" w:cstheme="minorBidi"/>
                <w:b/>
                <w:sz w:val="22"/>
                <w:szCs w:val="22"/>
                <w:lang w:val="en-GB"/>
              </w:rPr>
              <w:br/>
              <w:t xml:space="preserve">01/01/2022 to </w:t>
            </w:r>
            <w:r w:rsidR="00944B2B">
              <w:rPr>
                <w:rFonts w:asciiTheme="minorBidi" w:eastAsia="Calibri" w:hAnsiTheme="minorBidi" w:cstheme="minorBidi"/>
                <w:b/>
                <w:sz w:val="22"/>
                <w:szCs w:val="22"/>
                <w:lang w:val="en-GB"/>
              </w:rPr>
              <w:t>31/12/2023</w:t>
            </w:r>
          </w:p>
        </w:tc>
      </w:tr>
      <w:tr w:rsidR="00BE109A" w:rsidRPr="00757D68" w14:paraId="07D5EBED" w14:textId="77777777" w:rsidTr="00DC7E7F">
        <w:trPr>
          <w:trHeight w:val="4361"/>
          <w:tblHeader/>
        </w:trPr>
        <w:tc>
          <w:tcPr>
            <w:tcW w:w="602" w:type="pct"/>
            <w:shd w:val="clear" w:color="auto" w:fill="auto"/>
          </w:tcPr>
          <w:p w14:paraId="408F8609" w14:textId="77777777" w:rsidR="00BE109A" w:rsidRPr="00757D68" w:rsidRDefault="00BE109A" w:rsidP="00DC7E7F">
            <w:pPr>
              <w:widowControl w:val="0"/>
              <w:spacing w:before="60" w:after="60"/>
              <w:rPr>
                <w:rFonts w:asciiTheme="minorBidi" w:hAnsiTheme="minorBidi" w:cstheme="minorBidi"/>
                <w:b/>
                <w:bCs/>
                <w:sz w:val="22"/>
                <w:szCs w:val="22"/>
                <w:lang w:val="en-GB"/>
              </w:rPr>
            </w:pPr>
            <w:r w:rsidRPr="00757D68">
              <w:rPr>
                <w:rFonts w:asciiTheme="minorBidi" w:hAnsiTheme="minorBidi" w:cstheme="minorBidi"/>
                <w:sz w:val="22"/>
                <w:szCs w:val="22"/>
                <w:lang w:val="en-GB"/>
              </w:rPr>
              <w:t>80, including 25 in Africa and 15 SIDS</w:t>
            </w:r>
          </w:p>
        </w:tc>
        <w:tc>
          <w:tcPr>
            <w:tcW w:w="602" w:type="pct"/>
            <w:shd w:val="clear" w:color="auto" w:fill="auto"/>
          </w:tcPr>
          <w:p w14:paraId="5D15EA06" w14:textId="77777777" w:rsidR="00BE109A" w:rsidRPr="00757D68" w:rsidRDefault="00BE109A" w:rsidP="00DC7E7F">
            <w:pPr>
              <w:widowControl w:val="0"/>
              <w:spacing w:before="60" w:after="60"/>
              <w:rPr>
                <w:rFonts w:asciiTheme="minorBidi" w:eastAsia="Calibri" w:hAnsiTheme="minorBidi" w:cstheme="minorBidi"/>
                <w:b/>
                <w:sz w:val="22"/>
                <w:szCs w:val="22"/>
                <w:lang w:val="en-GB"/>
              </w:rPr>
            </w:pPr>
            <w:r w:rsidRPr="00757D68">
              <w:rPr>
                <w:rFonts w:asciiTheme="minorBidi" w:hAnsiTheme="minorBidi" w:cstheme="minorBidi"/>
                <w:sz w:val="22"/>
                <w:szCs w:val="22"/>
                <w:lang w:val="en-GB"/>
              </w:rPr>
              <w:t>90, including 40 in Africa and 17 SIDS</w:t>
            </w:r>
          </w:p>
        </w:tc>
        <w:tc>
          <w:tcPr>
            <w:tcW w:w="3796" w:type="pct"/>
            <w:shd w:val="clear" w:color="auto" w:fill="auto"/>
          </w:tcPr>
          <w:p w14:paraId="2CBFD175" w14:textId="77777777" w:rsidR="00BE109A" w:rsidRPr="00261480" w:rsidRDefault="00BE109A" w:rsidP="00BE109A">
            <w:pPr>
              <w:pStyle w:val="Paragraphedeliste"/>
              <w:keepNext/>
              <w:keepLines/>
              <w:widowControl w:val="0"/>
              <w:numPr>
                <w:ilvl w:val="0"/>
                <w:numId w:val="26"/>
              </w:numPr>
              <w:spacing w:before="120" w:after="120"/>
              <w:ind w:left="323"/>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Global reflection on the listing mechanisms of the Convention concluded and subsequent amendments to the Operational Directives approved;</w:t>
            </w:r>
          </w:p>
          <w:p w14:paraId="55D330D9" w14:textId="5A0694E2" w:rsidR="00BE109A" w:rsidRPr="00261480" w:rsidRDefault="00CC4E18" w:rsidP="00BE109A">
            <w:pPr>
              <w:pStyle w:val="Paragraphedeliste"/>
              <w:widowControl w:val="0"/>
              <w:numPr>
                <w:ilvl w:val="0"/>
                <w:numId w:val="26"/>
              </w:numPr>
              <w:autoSpaceDE w:val="0"/>
              <w:autoSpaceDN w:val="0"/>
              <w:adjustRightInd w:val="0"/>
              <w:ind w:left="323"/>
              <w:rPr>
                <w:rFonts w:asciiTheme="minorBidi" w:hAnsiTheme="minorBidi" w:cstheme="minorBidi"/>
                <w:sz w:val="22"/>
                <w:szCs w:val="22"/>
                <w:lang w:val="en-GB"/>
              </w:rPr>
            </w:pPr>
            <w:r w:rsidRPr="00E32E72">
              <w:rPr>
                <w:rFonts w:asciiTheme="minorBidi" w:hAnsiTheme="minorBidi" w:cstheme="minorBidi"/>
                <w:sz w:val="22"/>
                <w:szCs w:val="22"/>
                <w:lang w:val="en-GB"/>
              </w:rPr>
              <w:t>30</w:t>
            </w:r>
            <w:r w:rsidR="00BE109A" w:rsidRPr="00261480">
              <w:rPr>
                <w:rFonts w:asciiTheme="minorBidi" w:hAnsiTheme="minorBidi" w:cstheme="minorBidi"/>
                <w:sz w:val="22"/>
                <w:szCs w:val="22"/>
                <w:lang w:val="en-GB"/>
              </w:rPr>
              <w:t xml:space="preserve"> new International Assistance requests processed and granted by the Bureau, including </w:t>
            </w:r>
            <w:r w:rsidR="0021697F" w:rsidRPr="00E32E72">
              <w:rPr>
                <w:rFonts w:asciiTheme="minorBidi" w:hAnsiTheme="minorBidi" w:cstheme="minorBidi"/>
                <w:sz w:val="22"/>
                <w:szCs w:val="22"/>
                <w:lang w:val="en-GB"/>
              </w:rPr>
              <w:t>13</w:t>
            </w:r>
            <w:r w:rsidR="00BE109A" w:rsidRPr="00261480">
              <w:rPr>
                <w:rFonts w:asciiTheme="minorBidi" w:hAnsiTheme="minorBidi" w:cstheme="minorBidi"/>
                <w:sz w:val="22"/>
                <w:szCs w:val="22"/>
                <w:lang w:val="en-GB"/>
              </w:rPr>
              <w:t xml:space="preserve"> from Africa and </w:t>
            </w:r>
            <w:r w:rsidR="00BE109A" w:rsidRPr="00E32E72">
              <w:rPr>
                <w:rFonts w:asciiTheme="minorBidi" w:hAnsiTheme="minorBidi" w:cstheme="minorBidi"/>
                <w:sz w:val="22"/>
                <w:szCs w:val="22"/>
                <w:lang w:val="en-GB"/>
              </w:rPr>
              <w:t>5</w:t>
            </w:r>
            <w:r w:rsidR="00BE109A" w:rsidRPr="00261480">
              <w:rPr>
                <w:rFonts w:asciiTheme="minorBidi" w:hAnsiTheme="minorBidi" w:cstheme="minorBidi"/>
                <w:sz w:val="22"/>
                <w:szCs w:val="22"/>
                <w:lang w:val="en-GB"/>
              </w:rPr>
              <w:t xml:space="preserve"> from SIDS;</w:t>
            </w:r>
          </w:p>
          <w:p w14:paraId="2205C947" w14:textId="77777777" w:rsidR="00BE109A" w:rsidRPr="00261480" w:rsidRDefault="00BE109A" w:rsidP="00BE109A">
            <w:pPr>
              <w:pStyle w:val="Paragraphedeliste"/>
              <w:widowControl w:val="0"/>
              <w:numPr>
                <w:ilvl w:val="0"/>
                <w:numId w:val="26"/>
              </w:numPr>
              <w:spacing w:before="120" w:after="120"/>
              <w:ind w:left="323"/>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120 nomination files treated under the 2022 and 2023 cycles, including one file treated on an accelerated basis (case of extreme urgency in the sense of Article 17.3), and 71 nomination files treated for the 2024 cycle;</w:t>
            </w:r>
          </w:p>
          <w:p w14:paraId="53077778" w14:textId="77777777" w:rsidR="00BE109A" w:rsidRPr="00261480" w:rsidRDefault="00BE109A" w:rsidP="00BE109A">
            <w:pPr>
              <w:pStyle w:val="Paragraphedeliste"/>
              <w:widowControl w:val="0"/>
              <w:numPr>
                <w:ilvl w:val="0"/>
                <w:numId w:val="26"/>
              </w:numPr>
              <w:spacing w:before="120" w:after="120"/>
              <w:ind w:left="323"/>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141 nomination files newly submitted in 2023 and 2024 registered;</w:t>
            </w:r>
          </w:p>
          <w:p w14:paraId="607F05CB" w14:textId="77777777" w:rsidR="00BE109A" w:rsidRPr="00261480" w:rsidRDefault="00BE109A"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39 reports on the status of elements inscribed on the Urgent Safeguarding List analysed;</w:t>
            </w:r>
          </w:p>
          <w:p w14:paraId="040E165D" w14:textId="77777777" w:rsidR="00BE109A" w:rsidRPr="00261480" w:rsidRDefault="00BE109A"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lang w:val="en-GB"/>
              </w:rPr>
            </w:pPr>
            <w:r w:rsidRPr="00261480">
              <w:rPr>
                <w:rFonts w:asciiTheme="minorBidi" w:hAnsiTheme="minorBidi" w:cstheme="minorBidi"/>
                <w:sz w:val="22"/>
                <w:szCs w:val="22"/>
                <w:lang w:val="en-GB"/>
              </w:rPr>
              <w:t>42 reports on the implementation of the Convention and on the current status of elements inscribed on the Representative List by States Parties in Europe analysed;</w:t>
            </w:r>
          </w:p>
          <w:p w14:paraId="2B7CAA8E" w14:textId="20C3D1F7" w:rsidR="00BE109A" w:rsidRPr="00261480" w:rsidRDefault="009B2903"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lang w:val="en-GB"/>
              </w:rPr>
            </w:pPr>
            <w:r w:rsidRPr="00E32E72">
              <w:rPr>
                <w:rFonts w:asciiTheme="minorBidi" w:hAnsiTheme="minorBidi" w:cstheme="minorBidi"/>
                <w:sz w:val="22"/>
                <w:szCs w:val="22"/>
                <w:lang w:val="en-GB"/>
              </w:rPr>
              <w:t>18</w:t>
            </w:r>
            <w:r w:rsidR="00BE109A" w:rsidRPr="00261480">
              <w:rPr>
                <w:rFonts w:asciiTheme="minorBidi" w:hAnsiTheme="minorBidi" w:cstheme="minorBidi"/>
                <w:sz w:val="22"/>
                <w:szCs w:val="22"/>
                <w:lang w:val="en-GB"/>
              </w:rPr>
              <w:t xml:space="preserve"> reports on the implementation of the Convention and on the current status of elements inscribed on the Representative List by States Parties in the Arab States analysed;</w:t>
            </w:r>
          </w:p>
          <w:p w14:paraId="68A7C8F9" w14:textId="78E635F5" w:rsidR="00BE109A" w:rsidRPr="00757D68" w:rsidRDefault="00406F24" w:rsidP="00BE109A">
            <w:pPr>
              <w:pStyle w:val="Paragraphedeliste"/>
              <w:keepNext/>
              <w:widowControl w:val="0"/>
              <w:numPr>
                <w:ilvl w:val="0"/>
                <w:numId w:val="26"/>
              </w:numPr>
              <w:spacing w:before="120" w:after="120"/>
              <w:ind w:left="323"/>
              <w:contextualSpacing w:val="0"/>
              <w:jc w:val="both"/>
              <w:rPr>
                <w:rFonts w:asciiTheme="minorBidi" w:hAnsiTheme="minorBidi" w:cstheme="minorBidi"/>
                <w:sz w:val="22"/>
                <w:szCs w:val="22"/>
                <w:lang w:val="en-GB"/>
              </w:rPr>
            </w:pPr>
            <w:r w:rsidRPr="00E32E72">
              <w:rPr>
                <w:rFonts w:asciiTheme="minorBidi" w:hAnsiTheme="minorBidi" w:cstheme="minorBidi"/>
                <w:sz w:val="22"/>
                <w:szCs w:val="22"/>
                <w:lang w:val="en-GB"/>
              </w:rPr>
              <w:t>33</w:t>
            </w:r>
            <w:r w:rsidR="00BE109A" w:rsidRPr="00261480">
              <w:rPr>
                <w:rFonts w:asciiTheme="minorBidi" w:hAnsiTheme="minorBidi" w:cstheme="minorBidi"/>
                <w:sz w:val="22"/>
                <w:szCs w:val="22"/>
                <w:lang w:val="en-GB"/>
              </w:rPr>
              <w:t xml:space="preserve"> statutory meetings</w:t>
            </w:r>
            <w:r w:rsidR="00BE109A" w:rsidRPr="00757D68">
              <w:rPr>
                <w:rFonts w:asciiTheme="minorBidi" w:hAnsiTheme="minorBidi" w:cstheme="minorBidi"/>
                <w:sz w:val="22"/>
                <w:szCs w:val="22"/>
                <w:lang w:val="en-GB"/>
              </w:rPr>
              <w:t xml:space="preserve"> organized.</w:t>
            </w:r>
          </w:p>
        </w:tc>
      </w:tr>
    </w:tbl>
    <w:p w14:paraId="34C8930E" w14:textId="76CFCD69" w:rsidR="00965684" w:rsidRDefault="00965684" w:rsidP="00BE109A">
      <w:pPr>
        <w:widowControl w:val="0"/>
        <w:spacing w:before="120" w:after="120"/>
        <w:jc w:val="both"/>
        <w:rPr>
          <w:rFonts w:ascii="Arial" w:eastAsia="SimSun" w:hAnsi="Arial" w:cs="Arial"/>
          <w:sz w:val="22"/>
          <w:szCs w:val="22"/>
          <w:lang w:val="en-GB"/>
        </w:rPr>
      </w:pPr>
    </w:p>
    <w:p w14:paraId="586C1FBA" w14:textId="516D0F5A" w:rsidR="00BE109A" w:rsidRPr="005C1837" w:rsidRDefault="00BE109A" w:rsidP="005C1837">
      <w:pPr>
        <w:rPr>
          <w:rFonts w:ascii="Arial" w:eastAsia="SimSun" w:hAnsi="Arial" w:cs="Arial"/>
          <w:sz w:val="22"/>
          <w:szCs w:val="22"/>
          <w:lang w:val="en-GB"/>
        </w:rPr>
      </w:pPr>
    </w:p>
    <w:sectPr w:rsidR="00BE109A" w:rsidRPr="005C1837" w:rsidSect="00603581">
      <w:pgSz w:w="16838" w:h="11906" w:orient="landscape" w:code="9"/>
      <w:pgMar w:top="1138" w:right="1411" w:bottom="1138" w:left="1138" w:header="403"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2F42" w14:textId="77777777" w:rsidR="00603581" w:rsidRDefault="00603581" w:rsidP="00655736">
      <w:r>
        <w:separator/>
      </w:r>
    </w:p>
  </w:endnote>
  <w:endnote w:type="continuationSeparator" w:id="0">
    <w:p w14:paraId="130EE86C" w14:textId="77777777" w:rsidR="00603581" w:rsidRDefault="00603581"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622D" w14:textId="77777777" w:rsidR="00603581" w:rsidRDefault="00603581" w:rsidP="00655736">
      <w:r>
        <w:separator/>
      </w:r>
    </w:p>
  </w:footnote>
  <w:footnote w:type="continuationSeparator" w:id="0">
    <w:p w14:paraId="6329C78C" w14:textId="77777777" w:rsidR="00603581" w:rsidRDefault="00603581" w:rsidP="00655736">
      <w:r>
        <w:continuationSeparator/>
      </w:r>
    </w:p>
  </w:footnote>
  <w:footnote w:id="1">
    <w:p w14:paraId="4F559E65" w14:textId="1C4F213E" w:rsidR="00495090" w:rsidRPr="00E957F6" w:rsidRDefault="00495090" w:rsidP="00660CAC">
      <w:pPr>
        <w:pStyle w:val="Notedebasdepage"/>
        <w:ind w:left="567" w:hanging="567"/>
        <w:jc w:val="both"/>
        <w:rPr>
          <w:rFonts w:asciiTheme="minorBidi" w:hAnsiTheme="minorBidi" w:cstheme="minorBidi"/>
          <w:sz w:val="18"/>
          <w:szCs w:val="18"/>
          <w:lang w:val="en-US"/>
        </w:rPr>
      </w:pPr>
      <w:r w:rsidRPr="00502368">
        <w:rPr>
          <w:rStyle w:val="Appelnotedebasdep"/>
          <w:rFonts w:asciiTheme="minorBidi" w:hAnsiTheme="minorBidi" w:cstheme="minorBidi"/>
          <w:sz w:val="18"/>
          <w:szCs w:val="18"/>
        </w:rPr>
        <w:footnoteRef/>
      </w:r>
      <w:r w:rsidRPr="00E957F6">
        <w:rPr>
          <w:rFonts w:asciiTheme="minorBidi" w:hAnsiTheme="minorBidi" w:cstheme="minorBidi"/>
          <w:sz w:val="18"/>
          <w:szCs w:val="18"/>
          <w:vertAlign w:val="superscript"/>
          <w:lang w:val="en-US"/>
        </w:rPr>
        <w:t>.</w:t>
      </w:r>
      <w:r w:rsidRPr="00E957F6">
        <w:rPr>
          <w:rFonts w:asciiTheme="minorBidi" w:hAnsiTheme="minorBidi" w:cstheme="minorBidi"/>
          <w:sz w:val="18"/>
          <w:szCs w:val="18"/>
          <w:lang w:val="en-US"/>
        </w:rPr>
        <w:tab/>
      </w:r>
      <w:r w:rsidRPr="00E957F6">
        <w:rPr>
          <w:rFonts w:asciiTheme="minorBidi" w:hAnsiTheme="minorBidi" w:cstheme="minorBidi"/>
          <w:bCs/>
          <w:iCs/>
          <w:sz w:val="18"/>
          <w:szCs w:val="18"/>
          <w:lang w:val="en-US"/>
        </w:rPr>
        <w:t xml:space="preserve">Documents </w:t>
      </w:r>
      <w:r w:rsidR="008F079B">
        <w:fldChar w:fldCharType="begin"/>
      </w:r>
      <w:r w:rsidR="008F079B" w:rsidRPr="0085465D">
        <w:rPr>
          <w:lang w:val="en-GB"/>
        </w:rPr>
        <w:instrText>HYPERLINK "https://ich.unesco.org/doc/src/LHE-21-16.COM-10_Rev.-EN.docx"</w:instrText>
      </w:r>
      <w:r w:rsidR="008F079B">
        <w:fldChar w:fldCharType="separate"/>
      </w:r>
      <w:r w:rsidRPr="00E957F6">
        <w:rPr>
          <w:rStyle w:val="Lienhypertexte"/>
          <w:rFonts w:asciiTheme="minorBidi" w:hAnsiTheme="minorBidi" w:cstheme="minorBidi"/>
          <w:bCs/>
          <w:sz w:val="18"/>
          <w:szCs w:val="18"/>
          <w:lang w:val="en-US"/>
        </w:rPr>
        <w:t>LHE/21/16.COM/10 Rev.</w:t>
      </w:r>
      <w:r w:rsidR="008F079B">
        <w:rPr>
          <w:rStyle w:val="Lienhypertexte"/>
          <w:rFonts w:asciiTheme="minorBidi" w:hAnsiTheme="minorBidi" w:cstheme="minorBidi"/>
          <w:bCs/>
          <w:sz w:val="18"/>
          <w:szCs w:val="18"/>
          <w:lang w:val="en-US"/>
        </w:rPr>
        <w:fldChar w:fldCharType="end"/>
      </w:r>
      <w:r w:rsidRPr="00E957F6">
        <w:rPr>
          <w:rFonts w:asciiTheme="minorBidi" w:hAnsiTheme="minorBidi" w:cstheme="minorBidi"/>
          <w:bCs/>
          <w:iCs/>
          <w:sz w:val="18"/>
          <w:szCs w:val="18"/>
          <w:lang w:val="en-US"/>
        </w:rPr>
        <w:t xml:space="preserve"> and </w:t>
      </w:r>
      <w:r w:rsidR="008F079B">
        <w:fldChar w:fldCharType="begin"/>
      </w:r>
      <w:r w:rsidR="008F079B" w:rsidRPr="0085465D">
        <w:rPr>
          <w:lang w:val="en-GB"/>
        </w:rPr>
        <w:instrText>HYPERLINK "https://ich.unesco.org/doc/src/LHE-21-16.COM-INF.10_Rev.-EN.pdf"</w:instrText>
      </w:r>
      <w:r w:rsidR="008F079B">
        <w:fldChar w:fldCharType="separate"/>
      </w:r>
      <w:r w:rsidRPr="00B241E7">
        <w:rPr>
          <w:rStyle w:val="Lienhypertexte"/>
          <w:rFonts w:asciiTheme="minorBidi" w:hAnsiTheme="minorBidi" w:cstheme="minorBidi"/>
          <w:bCs/>
          <w:sz w:val="18"/>
          <w:szCs w:val="18"/>
          <w:lang w:val="en-US"/>
        </w:rPr>
        <w:t>LHE/21/16.COM/INF.10 Rev.</w:t>
      </w:r>
      <w:r w:rsidR="008F079B">
        <w:rPr>
          <w:rStyle w:val="Lienhypertexte"/>
          <w:rFonts w:asciiTheme="minorBidi" w:hAnsiTheme="minorBidi" w:cstheme="minorBidi"/>
          <w:bCs/>
          <w:sz w:val="18"/>
          <w:szCs w:val="18"/>
          <w:lang w:val="en-US"/>
        </w:rPr>
        <w:fldChar w:fldCharType="end"/>
      </w:r>
      <w:r w:rsidR="006D647C" w:rsidRPr="00E957F6">
        <w:rPr>
          <w:rStyle w:val="Lienhypertexte"/>
          <w:rFonts w:asciiTheme="minorBidi" w:hAnsiTheme="minorBidi" w:cstheme="minorBidi"/>
          <w:bCs/>
          <w:color w:val="auto"/>
          <w:sz w:val="18"/>
          <w:szCs w:val="18"/>
          <w:u w:val="none"/>
          <w:lang w:val="en-US"/>
        </w:rPr>
        <w:t xml:space="preserve">; the follow-up is provided with reference to Decision </w:t>
      </w:r>
      <w:r w:rsidR="008F079B">
        <w:fldChar w:fldCharType="begin"/>
      </w:r>
      <w:r w:rsidR="008F079B" w:rsidRPr="0085465D">
        <w:rPr>
          <w:lang w:val="en-GB"/>
        </w:rPr>
        <w:instrText>HYPERLINK "https://ich.unesco.org/en/decisions/16.COM/10"</w:instrText>
      </w:r>
      <w:r w:rsidR="008F079B">
        <w:fldChar w:fldCharType="separate"/>
      </w:r>
      <w:r w:rsidR="006D647C" w:rsidRPr="00E957F6">
        <w:rPr>
          <w:rStyle w:val="Lienhypertexte"/>
          <w:rFonts w:asciiTheme="minorBidi" w:hAnsiTheme="minorBidi" w:cstheme="minorBidi"/>
          <w:bCs/>
          <w:sz w:val="18"/>
          <w:szCs w:val="18"/>
          <w:lang w:val="en-US"/>
        </w:rPr>
        <w:t>16.COM 10</w:t>
      </w:r>
      <w:r w:rsidR="008F079B">
        <w:rPr>
          <w:rStyle w:val="Lienhypertexte"/>
          <w:rFonts w:asciiTheme="minorBidi" w:hAnsiTheme="minorBidi" w:cstheme="minorBidi"/>
          <w:bCs/>
          <w:sz w:val="18"/>
          <w:szCs w:val="18"/>
          <w:lang w:val="en-US"/>
        </w:rPr>
        <w:fldChar w:fldCharType="end"/>
      </w:r>
      <w:r w:rsidR="006D647C" w:rsidRPr="00E957F6">
        <w:rPr>
          <w:rStyle w:val="Lienhypertexte"/>
          <w:rFonts w:asciiTheme="minorBidi" w:hAnsiTheme="minorBidi" w:cstheme="minorBidi"/>
          <w:bCs/>
          <w:color w:val="auto"/>
          <w:sz w:val="18"/>
          <w:szCs w:val="18"/>
          <w:u w:val="none"/>
          <w:lang w:val="en-US"/>
        </w:rPr>
        <w:t xml:space="preserve"> by the sixteenth session of the Committee.</w:t>
      </w:r>
    </w:p>
  </w:footnote>
  <w:footnote w:id="2">
    <w:p w14:paraId="535D9762" w14:textId="1919D56F" w:rsidR="001964C7" w:rsidRPr="00E957F6" w:rsidRDefault="001964C7">
      <w:pPr>
        <w:pStyle w:val="Notedebasdepage"/>
        <w:rPr>
          <w:rFonts w:asciiTheme="minorBidi" w:hAnsiTheme="minorBidi" w:cstheme="minorBidi"/>
          <w:sz w:val="18"/>
          <w:szCs w:val="18"/>
          <w:lang w:val="en-US"/>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US"/>
        </w:rPr>
        <w:t>.</w:t>
      </w:r>
      <w:r w:rsidRPr="006B672B">
        <w:rPr>
          <w:rFonts w:asciiTheme="minorBidi" w:hAnsiTheme="minorBidi" w:cstheme="minorBidi"/>
          <w:sz w:val="18"/>
          <w:szCs w:val="18"/>
          <w:vertAlign w:val="superscript"/>
          <w:lang w:val="en-US"/>
        </w:rPr>
        <w:t xml:space="preserve"> </w:t>
      </w:r>
      <w:r w:rsidRPr="00E957F6">
        <w:rPr>
          <w:rFonts w:asciiTheme="minorBidi" w:hAnsiTheme="minorBidi" w:cstheme="minorBidi"/>
          <w:sz w:val="18"/>
          <w:szCs w:val="18"/>
          <w:lang w:val="en-US"/>
        </w:rPr>
        <w:tab/>
        <w:t xml:space="preserve">Decision </w:t>
      </w:r>
      <w:hyperlink r:id="rId1" w:history="1">
        <w:r w:rsidRPr="00E957F6">
          <w:rPr>
            <w:rStyle w:val="Lienhypertexte"/>
            <w:rFonts w:asciiTheme="minorBidi" w:hAnsiTheme="minorBidi" w:cstheme="minorBidi"/>
            <w:sz w:val="18"/>
            <w:szCs w:val="18"/>
            <w:lang w:val="en-US"/>
          </w:rPr>
          <w:t xml:space="preserve">17.COM </w:t>
        </w:r>
        <w:proofErr w:type="gramStart"/>
        <w:r w:rsidRPr="00E957F6">
          <w:rPr>
            <w:rStyle w:val="Lienhypertexte"/>
            <w:rFonts w:asciiTheme="minorBidi" w:hAnsiTheme="minorBidi" w:cstheme="minorBidi"/>
            <w:sz w:val="18"/>
            <w:szCs w:val="18"/>
            <w:lang w:val="en-US"/>
          </w:rPr>
          <w:t>6.b</w:t>
        </w:r>
        <w:proofErr w:type="gramEnd"/>
      </w:hyperlink>
    </w:p>
  </w:footnote>
  <w:footnote w:id="3">
    <w:p w14:paraId="73A8275B" w14:textId="0F1DBD9F" w:rsidR="001964C7" w:rsidRPr="00E957F6" w:rsidRDefault="001964C7">
      <w:pPr>
        <w:pStyle w:val="Notedebasdepage"/>
        <w:rPr>
          <w:rFonts w:asciiTheme="minorBidi" w:hAnsiTheme="minorBidi" w:cstheme="minorBidi"/>
          <w:sz w:val="18"/>
          <w:szCs w:val="18"/>
          <w:lang w:val="en-US"/>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US"/>
        </w:rPr>
        <w:t>.</w:t>
      </w:r>
      <w:r w:rsidRPr="00E957F6">
        <w:rPr>
          <w:rFonts w:asciiTheme="minorBidi" w:hAnsiTheme="minorBidi" w:cstheme="minorBidi"/>
          <w:sz w:val="18"/>
          <w:szCs w:val="18"/>
          <w:lang w:val="en-US"/>
        </w:rPr>
        <w:t xml:space="preserve"> </w:t>
      </w:r>
      <w:r w:rsidRPr="00E957F6">
        <w:rPr>
          <w:rFonts w:asciiTheme="minorBidi" w:hAnsiTheme="minorBidi" w:cstheme="minorBidi"/>
          <w:sz w:val="18"/>
          <w:szCs w:val="18"/>
          <w:lang w:val="en-US"/>
        </w:rPr>
        <w:tab/>
        <w:t xml:space="preserve">Decision </w:t>
      </w:r>
      <w:hyperlink r:id="rId2" w:history="1">
        <w:r w:rsidRPr="00E957F6">
          <w:rPr>
            <w:rStyle w:val="Lienhypertexte"/>
            <w:rFonts w:asciiTheme="minorBidi" w:hAnsiTheme="minorBidi" w:cstheme="minorBidi"/>
            <w:sz w:val="18"/>
            <w:szCs w:val="18"/>
            <w:lang w:val="en-US"/>
          </w:rPr>
          <w:t xml:space="preserve">18.COM </w:t>
        </w:r>
        <w:proofErr w:type="gramStart"/>
        <w:r w:rsidRPr="00E957F6">
          <w:rPr>
            <w:rStyle w:val="Lienhypertexte"/>
            <w:rFonts w:asciiTheme="minorBidi" w:hAnsiTheme="minorBidi" w:cstheme="minorBidi"/>
            <w:sz w:val="18"/>
            <w:szCs w:val="18"/>
            <w:lang w:val="en-US"/>
          </w:rPr>
          <w:t>7.b</w:t>
        </w:r>
        <w:proofErr w:type="gramEnd"/>
      </w:hyperlink>
    </w:p>
  </w:footnote>
  <w:footnote w:id="4">
    <w:p w14:paraId="73859E91" w14:textId="03003C61" w:rsidR="00380A31" w:rsidRPr="00E957F6" w:rsidRDefault="00380A31" w:rsidP="00A91C02">
      <w:pPr>
        <w:pStyle w:val="Notedebasdepage"/>
        <w:spacing w:after="60"/>
        <w:ind w:left="567" w:hanging="567"/>
        <w:jc w:val="both"/>
        <w:rPr>
          <w:rFonts w:asciiTheme="minorBidi" w:hAnsiTheme="minorBidi" w:cstheme="minorBidi"/>
          <w:sz w:val="18"/>
          <w:szCs w:val="18"/>
          <w:lang w:val="en-US"/>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US"/>
        </w:rPr>
        <w:t>.</w:t>
      </w:r>
      <w:r w:rsidRPr="006B672B">
        <w:rPr>
          <w:rFonts w:asciiTheme="minorBidi" w:hAnsiTheme="minorBidi" w:cstheme="minorBidi"/>
          <w:sz w:val="18"/>
          <w:szCs w:val="18"/>
          <w:vertAlign w:val="superscript"/>
          <w:lang w:val="en-US"/>
        </w:rPr>
        <w:t xml:space="preserve"> </w:t>
      </w:r>
      <w:r w:rsidRPr="00E957F6">
        <w:rPr>
          <w:rFonts w:asciiTheme="minorBidi" w:hAnsiTheme="minorBidi" w:cstheme="minorBidi"/>
          <w:sz w:val="18"/>
          <w:szCs w:val="18"/>
          <w:lang w:val="en-US"/>
        </w:rPr>
        <w:tab/>
        <w:t xml:space="preserve">See the </w:t>
      </w:r>
      <w:r w:rsidR="008F079B">
        <w:fldChar w:fldCharType="begin"/>
      </w:r>
      <w:r w:rsidR="008F079B" w:rsidRPr="0085465D">
        <w:rPr>
          <w:lang w:val="en-GB"/>
        </w:rPr>
        <w:instrText>HYPERLINK "https://ich.unesco.org/en/livelihoods-01315"</w:instrText>
      </w:r>
      <w:r w:rsidR="008F079B">
        <w:fldChar w:fldCharType="separate"/>
      </w:r>
      <w:r w:rsidRPr="00E957F6">
        <w:rPr>
          <w:rStyle w:val="Lienhypertexte"/>
          <w:rFonts w:asciiTheme="minorBidi" w:hAnsiTheme="minorBidi" w:cstheme="minorBidi"/>
          <w:sz w:val="18"/>
          <w:szCs w:val="18"/>
          <w:lang w:val="en-US"/>
        </w:rPr>
        <w:t>dedicated webpage</w:t>
      </w:r>
      <w:r w:rsidR="008F079B">
        <w:rPr>
          <w:rStyle w:val="Lienhypertexte"/>
          <w:rFonts w:asciiTheme="minorBidi" w:hAnsiTheme="minorBidi" w:cstheme="minorBidi"/>
          <w:sz w:val="18"/>
          <w:szCs w:val="18"/>
          <w:lang w:val="en-US"/>
        </w:rPr>
        <w:fldChar w:fldCharType="end"/>
      </w:r>
      <w:r w:rsidRPr="00E957F6">
        <w:rPr>
          <w:rFonts w:asciiTheme="minorBidi" w:hAnsiTheme="minorBidi" w:cstheme="minorBidi"/>
          <w:sz w:val="18"/>
          <w:szCs w:val="18"/>
          <w:lang w:val="en-US"/>
        </w:rPr>
        <w:t xml:space="preserve"> for updates</w:t>
      </w:r>
      <w:r w:rsidR="002D1A54" w:rsidRPr="00E957F6">
        <w:rPr>
          <w:rFonts w:asciiTheme="minorBidi" w:hAnsiTheme="minorBidi" w:cstheme="minorBidi"/>
          <w:sz w:val="18"/>
          <w:szCs w:val="18"/>
          <w:lang w:val="en-US"/>
        </w:rPr>
        <w:t>.</w:t>
      </w:r>
    </w:p>
  </w:footnote>
  <w:footnote w:id="5">
    <w:p w14:paraId="14BCB204" w14:textId="3B1910E2" w:rsidR="00B61A47" w:rsidRPr="00E957F6" w:rsidRDefault="00B61A47" w:rsidP="00660CAC">
      <w:pPr>
        <w:pStyle w:val="Notedebasdepage"/>
        <w:spacing w:after="120"/>
        <w:ind w:left="567" w:hanging="567"/>
        <w:jc w:val="both"/>
        <w:rPr>
          <w:rFonts w:asciiTheme="minorBidi" w:hAnsiTheme="minorBidi" w:cstheme="minorBidi"/>
          <w:sz w:val="18"/>
          <w:szCs w:val="18"/>
          <w:lang w:val="en-US"/>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US"/>
        </w:rPr>
        <w:t>.</w:t>
      </w:r>
      <w:r w:rsidRPr="006B672B">
        <w:rPr>
          <w:rFonts w:asciiTheme="minorBidi" w:hAnsiTheme="minorBidi" w:cstheme="minorBidi"/>
          <w:sz w:val="18"/>
          <w:szCs w:val="18"/>
          <w:vertAlign w:val="superscript"/>
          <w:lang w:val="en-US"/>
        </w:rPr>
        <w:t xml:space="preserve"> </w:t>
      </w:r>
      <w:r w:rsidR="00E61E9D" w:rsidRPr="00E957F6">
        <w:rPr>
          <w:rFonts w:asciiTheme="minorBidi" w:hAnsiTheme="minorBidi" w:cstheme="minorBidi"/>
          <w:sz w:val="18"/>
          <w:szCs w:val="18"/>
          <w:lang w:val="en-US"/>
        </w:rPr>
        <w:tab/>
      </w:r>
      <w:r w:rsidRPr="00E957F6">
        <w:rPr>
          <w:rFonts w:asciiTheme="minorBidi" w:hAnsiTheme="minorBidi" w:cstheme="minorBidi"/>
          <w:sz w:val="18"/>
          <w:szCs w:val="18"/>
          <w:lang w:val="en-US"/>
        </w:rPr>
        <w:t xml:space="preserve">Examples include </w:t>
      </w:r>
      <w:r w:rsidRPr="00C37442">
        <w:rPr>
          <w:rFonts w:asciiTheme="minorBidi" w:hAnsiTheme="minorBidi" w:cstheme="minorBidi"/>
          <w:sz w:val="18"/>
          <w:szCs w:val="18"/>
          <w:lang w:val="en-US"/>
        </w:rPr>
        <w:t>‘</w:t>
      </w:r>
      <w:r w:rsidR="008F079B">
        <w:fldChar w:fldCharType="begin"/>
      </w:r>
      <w:r w:rsidR="008F079B" w:rsidRPr="0085465D">
        <w:rPr>
          <w:lang w:val="en-GB"/>
        </w:rPr>
        <w:instrText>HYPERLINK "https://core.unesco.org/en/project/505RLA4000"</w:instrText>
      </w:r>
      <w:r w:rsidR="008F079B">
        <w:fldChar w:fldCharType="separate"/>
      </w:r>
      <w:r w:rsidRPr="00502368">
        <w:rPr>
          <w:rStyle w:val="Lienhypertexte"/>
          <w:rFonts w:asciiTheme="minorBidi" w:hAnsiTheme="minorBidi" w:cstheme="minorBidi"/>
          <w:sz w:val="18"/>
          <w:szCs w:val="18"/>
          <w:lang w:val="en-US"/>
        </w:rPr>
        <w:t>Latin America and the Caribbean: Strengthening Capacities for Resilient Communities through Sustainable Tourism and Heritage Safeguarding</w:t>
      </w:r>
      <w:r w:rsidRPr="00C37442">
        <w:rPr>
          <w:rStyle w:val="Lienhypertexte"/>
          <w:rFonts w:asciiTheme="minorBidi" w:hAnsiTheme="minorBidi" w:cstheme="minorBidi"/>
          <w:sz w:val="18"/>
          <w:szCs w:val="18"/>
          <w:lang w:val="en-US"/>
        </w:rPr>
        <w:t>’</w:t>
      </w:r>
      <w:r w:rsidR="008F079B">
        <w:rPr>
          <w:rStyle w:val="Lienhypertexte"/>
          <w:rFonts w:asciiTheme="minorBidi" w:hAnsiTheme="minorBidi" w:cstheme="minorBidi"/>
          <w:sz w:val="18"/>
          <w:szCs w:val="18"/>
          <w:lang w:val="en-US"/>
        </w:rPr>
        <w:fldChar w:fldCharType="end"/>
      </w:r>
      <w:r w:rsidRPr="00E957F6">
        <w:rPr>
          <w:rFonts w:asciiTheme="minorBidi" w:hAnsiTheme="minorBidi" w:cstheme="minorBidi"/>
          <w:sz w:val="18"/>
          <w:szCs w:val="18"/>
          <w:lang w:val="en-US"/>
        </w:rPr>
        <w:t xml:space="preserve"> which started in June 2023</w:t>
      </w:r>
      <w:r w:rsidR="000F27CB" w:rsidRPr="00E957F6">
        <w:rPr>
          <w:rFonts w:asciiTheme="minorBidi" w:hAnsiTheme="minorBidi" w:cstheme="minorBidi"/>
          <w:sz w:val="18"/>
          <w:szCs w:val="18"/>
          <w:lang w:val="en-US"/>
        </w:rPr>
        <w:t>,</w:t>
      </w:r>
      <w:r w:rsidRPr="00E957F6">
        <w:rPr>
          <w:rFonts w:asciiTheme="minorBidi" w:hAnsiTheme="minorBidi" w:cstheme="minorBidi"/>
          <w:sz w:val="18"/>
          <w:szCs w:val="18"/>
          <w:lang w:val="en-US"/>
        </w:rPr>
        <w:t xml:space="preserve"> as well as ‘</w:t>
      </w:r>
      <w:r w:rsidR="008F079B">
        <w:fldChar w:fldCharType="begin"/>
      </w:r>
      <w:r w:rsidR="008F079B" w:rsidRPr="0085465D">
        <w:rPr>
          <w:lang w:val="en-GB"/>
        </w:rPr>
        <w:instrText>HYPERLINK "https://www.unesco.org/en/articles/heritage-and-creativity-alulas-sustainable-development-integrated-initiative-culture"</w:instrText>
      </w:r>
      <w:r w:rsidR="008F079B">
        <w:fldChar w:fldCharType="separate"/>
      </w:r>
      <w:r w:rsidRPr="00E957F6">
        <w:rPr>
          <w:rStyle w:val="Lienhypertexte"/>
          <w:rFonts w:asciiTheme="minorBidi" w:hAnsiTheme="minorBidi" w:cstheme="minorBidi"/>
          <w:sz w:val="18"/>
          <w:szCs w:val="18"/>
          <w:lang w:val="en-US"/>
        </w:rPr>
        <w:t xml:space="preserve">Heritage and creativity for </w:t>
      </w:r>
      <w:proofErr w:type="spellStart"/>
      <w:r w:rsidRPr="00E957F6">
        <w:rPr>
          <w:rStyle w:val="Lienhypertexte"/>
          <w:rFonts w:asciiTheme="minorBidi" w:hAnsiTheme="minorBidi" w:cstheme="minorBidi"/>
          <w:sz w:val="18"/>
          <w:szCs w:val="18"/>
          <w:lang w:val="en-US"/>
        </w:rPr>
        <w:t>AlUla’s</w:t>
      </w:r>
      <w:proofErr w:type="spellEnd"/>
      <w:r w:rsidRPr="00E957F6">
        <w:rPr>
          <w:rStyle w:val="Lienhypertexte"/>
          <w:rFonts w:asciiTheme="minorBidi" w:hAnsiTheme="minorBidi" w:cstheme="minorBidi"/>
          <w:sz w:val="18"/>
          <w:szCs w:val="18"/>
          <w:lang w:val="en-US"/>
        </w:rPr>
        <w:t xml:space="preserve"> sustainable development</w:t>
      </w:r>
      <w:r w:rsidR="008E06A0">
        <w:rPr>
          <w:rStyle w:val="Lienhypertexte"/>
          <w:rFonts w:asciiTheme="minorBidi" w:hAnsiTheme="minorBidi" w:cstheme="minorBidi"/>
          <w:sz w:val="18"/>
          <w:szCs w:val="18"/>
          <w:lang w:val="en-US"/>
        </w:rPr>
        <w:t>,</w:t>
      </w:r>
      <w:r w:rsidRPr="00E957F6">
        <w:rPr>
          <w:rStyle w:val="Lienhypertexte"/>
          <w:rFonts w:asciiTheme="minorBidi" w:hAnsiTheme="minorBidi" w:cstheme="minorBidi"/>
          <w:sz w:val="18"/>
          <w:szCs w:val="18"/>
          <w:lang w:val="en-US"/>
        </w:rPr>
        <w:t>’</w:t>
      </w:r>
      <w:r w:rsidR="008F079B">
        <w:rPr>
          <w:rStyle w:val="Lienhypertexte"/>
          <w:rFonts w:asciiTheme="minorBidi" w:hAnsiTheme="minorBidi" w:cstheme="minorBidi"/>
          <w:sz w:val="18"/>
          <w:szCs w:val="18"/>
          <w:lang w:val="en-US"/>
        </w:rPr>
        <w:fldChar w:fldCharType="end"/>
      </w:r>
      <w:r w:rsidRPr="00E957F6">
        <w:rPr>
          <w:rFonts w:asciiTheme="minorBidi" w:hAnsiTheme="minorBidi" w:cstheme="minorBidi"/>
          <w:sz w:val="18"/>
          <w:szCs w:val="18"/>
          <w:lang w:val="en-US"/>
        </w:rPr>
        <w:t xml:space="preserve"> </w:t>
      </w:r>
      <w:r w:rsidR="00E61E9D" w:rsidRPr="00E957F6">
        <w:rPr>
          <w:rFonts w:asciiTheme="minorBidi" w:hAnsiTheme="minorBidi" w:cstheme="minorBidi"/>
          <w:sz w:val="18"/>
          <w:szCs w:val="18"/>
          <w:lang w:val="en-US"/>
        </w:rPr>
        <w:t>which started in</w:t>
      </w:r>
      <w:r w:rsidRPr="00E957F6">
        <w:rPr>
          <w:rFonts w:asciiTheme="minorBidi" w:hAnsiTheme="minorBidi" w:cstheme="minorBidi"/>
          <w:sz w:val="18"/>
          <w:szCs w:val="18"/>
          <w:lang w:val="en-US"/>
        </w:rPr>
        <w:t xml:space="preserve"> November 2023</w:t>
      </w:r>
      <w:r w:rsidR="00E61E9D" w:rsidRPr="00E957F6">
        <w:rPr>
          <w:rFonts w:asciiTheme="minorBidi" w:hAnsiTheme="minorBidi" w:cstheme="minorBidi"/>
          <w:sz w:val="18"/>
          <w:szCs w:val="18"/>
          <w:lang w:val="en-US"/>
        </w:rPr>
        <w:t>, both financed through the Saudi Arabia Fund</w:t>
      </w:r>
      <w:r w:rsidR="00007806" w:rsidRPr="00E957F6">
        <w:rPr>
          <w:rFonts w:asciiTheme="minorBidi" w:hAnsiTheme="minorBidi" w:cstheme="minorBidi"/>
          <w:sz w:val="18"/>
          <w:szCs w:val="18"/>
          <w:lang w:val="en-US"/>
        </w:rPr>
        <w:t>s</w:t>
      </w:r>
      <w:r w:rsidR="00E61E9D" w:rsidRPr="00E957F6">
        <w:rPr>
          <w:rFonts w:asciiTheme="minorBidi" w:hAnsiTheme="minorBidi" w:cstheme="minorBidi"/>
          <w:sz w:val="18"/>
          <w:szCs w:val="18"/>
          <w:lang w:val="en-US"/>
        </w:rPr>
        <w:t>-in-Trust cooperation.</w:t>
      </w:r>
    </w:p>
  </w:footnote>
  <w:footnote w:id="6">
    <w:p w14:paraId="16D8C752" w14:textId="4BA9780F" w:rsidR="00F17A16" w:rsidRPr="00E957F6" w:rsidRDefault="00F17A16" w:rsidP="00660CAC">
      <w:pPr>
        <w:pStyle w:val="Notedebasdepage"/>
        <w:ind w:left="567" w:hanging="567"/>
        <w:jc w:val="both"/>
        <w:rPr>
          <w:rFonts w:asciiTheme="minorBidi" w:hAnsiTheme="minorBidi" w:cstheme="minorBidi"/>
          <w:sz w:val="18"/>
          <w:szCs w:val="18"/>
          <w:lang w:val="en-GB"/>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GB"/>
        </w:rPr>
        <w:t>.</w:t>
      </w:r>
      <w:r w:rsidRPr="006B672B">
        <w:rPr>
          <w:rFonts w:asciiTheme="minorBidi" w:hAnsiTheme="minorBidi" w:cstheme="minorBidi"/>
          <w:sz w:val="18"/>
          <w:szCs w:val="18"/>
          <w:vertAlign w:val="superscript"/>
          <w:lang w:val="en-GB"/>
        </w:rPr>
        <w:t xml:space="preserve"> </w:t>
      </w:r>
      <w:r w:rsidRPr="00E957F6">
        <w:rPr>
          <w:rFonts w:asciiTheme="minorBidi" w:hAnsiTheme="minorBidi" w:cstheme="minorBidi"/>
          <w:sz w:val="18"/>
          <w:szCs w:val="18"/>
          <w:lang w:val="en-GB"/>
        </w:rPr>
        <w:tab/>
      </w:r>
      <w:r w:rsidRPr="00E957F6">
        <w:rPr>
          <w:rFonts w:asciiTheme="minorBidi" w:hAnsiTheme="minorBidi" w:cstheme="minorBidi"/>
          <w:sz w:val="18"/>
          <w:szCs w:val="18"/>
          <w:lang w:val="en-US"/>
        </w:rPr>
        <w:t xml:space="preserve">The Secretariat launched a survey (26 April – 15 May 2024) to consult States Parties on how to ensure the geographical balance amongst accredited NGOs; the results will be presented to the </w:t>
      </w:r>
      <w:r w:rsidR="00725EA0" w:rsidRPr="00E957F6">
        <w:rPr>
          <w:rFonts w:asciiTheme="minorBidi" w:hAnsiTheme="minorBidi" w:cstheme="minorBidi"/>
          <w:sz w:val="18"/>
          <w:szCs w:val="18"/>
          <w:lang w:val="en-US"/>
        </w:rPr>
        <w:t xml:space="preserve">General Assembly </w:t>
      </w:r>
      <w:r w:rsidR="00896F02" w:rsidRPr="00E957F6">
        <w:rPr>
          <w:rFonts w:asciiTheme="minorBidi" w:hAnsiTheme="minorBidi" w:cstheme="minorBidi"/>
          <w:sz w:val="18"/>
          <w:szCs w:val="18"/>
          <w:lang w:val="en-US"/>
        </w:rPr>
        <w:t xml:space="preserve">at its present </w:t>
      </w:r>
      <w:r w:rsidRPr="00E957F6">
        <w:rPr>
          <w:rFonts w:asciiTheme="minorBidi" w:hAnsiTheme="minorBidi" w:cstheme="minorBidi"/>
          <w:sz w:val="18"/>
          <w:szCs w:val="18"/>
          <w:lang w:val="en-US"/>
        </w:rPr>
        <w:t>session during the examination of item 9.</w:t>
      </w:r>
    </w:p>
  </w:footnote>
  <w:footnote w:id="7">
    <w:p w14:paraId="6F776D5B" w14:textId="3F6FACA5" w:rsidR="00223FE5" w:rsidRPr="00E957F6" w:rsidRDefault="00223FE5" w:rsidP="00A91C02">
      <w:pPr>
        <w:pStyle w:val="Notedebasdepage"/>
        <w:spacing w:after="120"/>
        <w:ind w:left="567" w:hanging="567"/>
        <w:jc w:val="both"/>
        <w:rPr>
          <w:rFonts w:asciiTheme="minorBidi" w:hAnsiTheme="minorBidi" w:cstheme="minorBidi"/>
          <w:sz w:val="18"/>
          <w:szCs w:val="18"/>
          <w:lang w:val="en-US"/>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US"/>
        </w:rPr>
        <w:t>.</w:t>
      </w:r>
      <w:r w:rsidRPr="00E957F6">
        <w:rPr>
          <w:rFonts w:asciiTheme="minorBidi" w:hAnsiTheme="minorBidi" w:cstheme="minorBidi"/>
          <w:sz w:val="18"/>
          <w:szCs w:val="18"/>
          <w:lang w:val="en-US"/>
        </w:rPr>
        <w:t xml:space="preserve"> </w:t>
      </w:r>
      <w:r w:rsidRPr="00E957F6">
        <w:rPr>
          <w:rFonts w:asciiTheme="minorBidi" w:hAnsiTheme="minorBidi" w:cstheme="minorBidi"/>
          <w:sz w:val="18"/>
          <w:szCs w:val="18"/>
          <w:lang w:val="en-US"/>
        </w:rPr>
        <w:tab/>
        <w:t>Between March and June 2023, 95 social media posts</w:t>
      </w:r>
      <w:r w:rsidR="00C83371" w:rsidRPr="00E957F6">
        <w:rPr>
          <w:rFonts w:asciiTheme="minorBidi" w:hAnsiTheme="minorBidi" w:cstheme="minorBidi"/>
          <w:sz w:val="18"/>
          <w:szCs w:val="18"/>
          <w:lang w:val="en-US"/>
        </w:rPr>
        <w:t xml:space="preserve"> </w:t>
      </w:r>
      <w:r w:rsidRPr="00E957F6">
        <w:rPr>
          <w:rFonts w:asciiTheme="minorBidi" w:hAnsiTheme="minorBidi" w:cstheme="minorBidi"/>
          <w:sz w:val="18"/>
          <w:szCs w:val="18"/>
          <w:lang w:val="en-US"/>
        </w:rPr>
        <w:t xml:space="preserve">published on </w:t>
      </w:r>
      <w:r w:rsidR="00B229EA" w:rsidRPr="00E957F6">
        <w:rPr>
          <w:rFonts w:asciiTheme="minorBidi" w:hAnsiTheme="minorBidi" w:cstheme="minorBidi"/>
          <w:sz w:val="18"/>
          <w:szCs w:val="18"/>
          <w:lang w:val="en-US"/>
        </w:rPr>
        <w:t xml:space="preserve">UNESCO’s </w:t>
      </w:r>
      <w:r w:rsidRPr="00E957F6">
        <w:rPr>
          <w:rFonts w:asciiTheme="minorBidi" w:hAnsiTheme="minorBidi" w:cstheme="minorBidi"/>
          <w:sz w:val="18"/>
          <w:szCs w:val="18"/>
          <w:lang w:val="en-US"/>
        </w:rPr>
        <w:t>English channel, 44 posts on the French channel, and 21 posts on the Spanish channel, featured living heritage</w:t>
      </w:r>
      <w:r w:rsidR="00C83371" w:rsidRPr="00E957F6">
        <w:rPr>
          <w:rFonts w:asciiTheme="minorBidi" w:hAnsiTheme="minorBidi" w:cstheme="minorBidi"/>
          <w:sz w:val="18"/>
          <w:szCs w:val="18"/>
          <w:lang w:val="en-US"/>
        </w:rPr>
        <w:t>; these posts were issued in addition to those related to the twentieth anniversary of the Convention</w:t>
      </w:r>
      <w:r w:rsidR="006F730C" w:rsidRPr="00E957F6">
        <w:rPr>
          <w:rFonts w:asciiTheme="minorBidi" w:hAnsiTheme="minorBidi" w:cstheme="minorBidi"/>
          <w:sz w:val="18"/>
          <w:szCs w:val="18"/>
          <w:lang w:val="en-US"/>
        </w:rPr>
        <w:t xml:space="preserve"> (see document </w:t>
      </w:r>
      <w:r w:rsidR="008F079B">
        <w:fldChar w:fldCharType="begin"/>
      </w:r>
      <w:r w:rsidR="008F079B" w:rsidRPr="0085465D">
        <w:rPr>
          <w:lang w:val="en-GB"/>
        </w:rPr>
        <w:instrText>HYPERLINK "https://ich.unesco.org/doc/src/LHE-24-10.GA-10_EN.docx"</w:instrText>
      </w:r>
      <w:r w:rsidR="008F079B">
        <w:fldChar w:fldCharType="separate"/>
      </w:r>
      <w:r w:rsidR="006F730C" w:rsidRPr="00502368">
        <w:rPr>
          <w:rStyle w:val="Lienhypertexte"/>
          <w:rFonts w:asciiTheme="minorBidi" w:hAnsiTheme="minorBidi" w:cstheme="minorBidi"/>
          <w:sz w:val="18"/>
          <w:szCs w:val="18"/>
          <w:lang w:val="en-US"/>
        </w:rPr>
        <w:t>LHE/24/10.GA/</w:t>
      </w:r>
      <w:r w:rsidR="00C37442" w:rsidRPr="00502368">
        <w:rPr>
          <w:rStyle w:val="Lienhypertexte"/>
          <w:rFonts w:asciiTheme="minorBidi" w:hAnsiTheme="minorBidi" w:cstheme="minorBidi"/>
          <w:sz w:val="18"/>
          <w:szCs w:val="18"/>
          <w:lang w:val="en-US"/>
        </w:rPr>
        <w:t>10</w:t>
      </w:r>
      <w:r w:rsidR="008F079B">
        <w:rPr>
          <w:rStyle w:val="Lienhypertexte"/>
          <w:rFonts w:asciiTheme="minorBidi" w:hAnsiTheme="minorBidi" w:cstheme="minorBidi"/>
          <w:sz w:val="18"/>
          <w:szCs w:val="18"/>
          <w:lang w:val="en-US"/>
        </w:rPr>
        <w:fldChar w:fldCharType="end"/>
      </w:r>
      <w:r w:rsidR="006F730C" w:rsidRPr="00E957F6">
        <w:rPr>
          <w:rFonts w:asciiTheme="minorBidi" w:hAnsiTheme="minorBidi" w:cstheme="minorBidi"/>
          <w:sz w:val="18"/>
          <w:szCs w:val="18"/>
          <w:lang w:val="en-US"/>
        </w:rPr>
        <w:t>)</w:t>
      </w:r>
      <w:r w:rsidRPr="00E957F6">
        <w:rPr>
          <w:rFonts w:asciiTheme="minorBidi" w:hAnsiTheme="minorBidi" w:cstheme="minorBidi"/>
          <w:sz w:val="18"/>
          <w:szCs w:val="18"/>
          <w:lang w:val="en-US"/>
        </w:rPr>
        <w:t>.</w:t>
      </w:r>
    </w:p>
  </w:footnote>
  <w:footnote w:id="8">
    <w:p w14:paraId="5CD519AB" w14:textId="3A3EFD93" w:rsidR="00CD22AC" w:rsidRPr="00E957F6" w:rsidRDefault="00CD22AC" w:rsidP="00A91C02">
      <w:pPr>
        <w:pStyle w:val="Notedebasdepage"/>
        <w:spacing w:after="120"/>
        <w:ind w:left="567" w:hanging="567"/>
        <w:jc w:val="both"/>
        <w:rPr>
          <w:rFonts w:asciiTheme="minorBidi" w:hAnsiTheme="minorBidi" w:cstheme="minorBidi"/>
          <w:sz w:val="18"/>
          <w:szCs w:val="18"/>
          <w:lang w:val="en-US"/>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US"/>
        </w:rPr>
        <w:t>.</w:t>
      </w:r>
      <w:r w:rsidRPr="00E957F6">
        <w:rPr>
          <w:rFonts w:asciiTheme="minorBidi" w:hAnsiTheme="minorBidi" w:cstheme="minorBidi"/>
          <w:sz w:val="18"/>
          <w:szCs w:val="18"/>
          <w:lang w:val="en-US"/>
        </w:rPr>
        <w:t xml:space="preserve"> </w:t>
      </w:r>
      <w:r w:rsidRPr="00E957F6">
        <w:rPr>
          <w:rFonts w:asciiTheme="minorBidi" w:hAnsiTheme="minorBidi" w:cstheme="minorBidi"/>
          <w:sz w:val="18"/>
          <w:szCs w:val="18"/>
          <w:lang w:val="en-US"/>
        </w:rPr>
        <w:tab/>
        <w:t xml:space="preserve">Through the project </w:t>
      </w:r>
      <w:r w:rsidRPr="00C93C7F">
        <w:rPr>
          <w:rFonts w:asciiTheme="minorBidi" w:hAnsiTheme="minorBidi" w:cstheme="minorBidi"/>
          <w:sz w:val="18"/>
          <w:szCs w:val="18"/>
          <w:lang w:val="en-US"/>
        </w:rPr>
        <w:t>‘</w:t>
      </w:r>
      <w:r w:rsidRPr="00502368">
        <w:rPr>
          <w:rFonts w:asciiTheme="minorBidi" w:hAnsiTheme="minorBidi" w:cstheme="minorBidi"/>
          <w:sz w:val="18"/>
          <w:szCs w:val="18"/>
          <w:lang w:val="en-US"/>
        </w:rPr>
        <w:t xml:space="preserve">International Food Atlas and Digital Platform for safeguarding, </w:t>
      </w:r>
      <w:proofErr w:type="gramStart"/>
      <w:r w:rsidRPr="00502368">
        <w:rPr>
          <w:rFonts w:asciiTheme="minorBidi" w:hAnsiTheme="minorBidi" w:cstheme="minorBidi"/>
          <w:sz w:val="18"/>
          <w:szCs w:val="18"/>
          <w:lang w:val="en-US"/>
        </w:rPr>
        <w:t>promoting</w:t>
      </w:r>
      <w:proofErr w:type="gramEnd"/>
      <w:r w:rsidRPr="00502368">
        <w:rPr>
          <w:rFonts w:asciiTheme="minorBidi" w:hAnsiTheme="minorBidi" w:cstheme="minorBidi"/>
          <w:sz w:val="18"/>
          <w:szCs w:val="18"/>
          <w:lang w:val="en-US"/>
        </w:rPr>
        <w:t xml:space="preserve"> and transmitting foodways to future generations</w:t>
      </w:r>
      <w:r w:rsidRPr="00C93C7F">
        <w:rPr>
          <w:rFonts w:asciiTheme="minorBidi" w:hAnsiTheme="minorBidi" w:cstheme="minorBidi"/>
          <w:sz w:val="18"/>
          <w:szCs w:val="18"/>
          <w:lang w:val="en-US"/>
        </w:rPr>
        <w:t>’</w:t>
      </w:r>
      <w:r w:rsidRPr="00E957F6">
        <w:rPr>
          <w:rFonts w:asciiTheme="minorBidi" w:hAnsiTheme="minorBidi" w:cstheme="minorBidi"/>
          <w:sz w:val="18"/>
          <w:szCs w:val="18"/>
          <w:lang w:val="en-US"/>
        </w:rPr>
        <w:t>, funded through the Saudi Arabia Funds-in-Trust cooperation.</w:t>
      </w:r>
    </w:p>
  </w:footnote>
  <w:footnote w:id="9">
    <w:p w14:paraId="4E2E5CCE" w14:textId="1D92BCC2" w:rsidR="000B6F44" w:rsidRPr="00E957F6" w:rsidRDefault="000B6F44" w:rsidP="00A91C02">
      <w:pPr>
        <w:pStyle w:val="Notedebasdepage"/>
        <w:ind w:left="567" w:hanging="567"/>
        <w:jc w:val="both"/>
        <w:rPr>
          <w:rFonts w:asciiTheme="minorBidi" w:hAnsiTheme="minorBidi" w:cstheme="minorBidi"/>
          <w:sz w:val="18"/>
          <w:szCs w:val="18"/>
          <w:lang w:val="en-US"/>
        </w:rPr>
      </w:pPr>
      <w:r w:rsidRPr="006B672B">
        <w:rPr>
          <w:rStyle w:val="Appelnotedebasdep"/>
          <w:rFonts w:asciiTheme="minorBidi" w:hAnsiTheme="minorBidi" w:cstheme="minorBidi"/>
          <w:sz w:val="18"/>
          <w:szCs w:val="18"/>
        </w:rPr>
        <w:footnoteRef/>
      </w:r>
      <w:r w:rsidR="006B672B" w:rsidRPr="006B672B">
        <w:rPr>
          <w:rFonts w:asciiTheme="minorBidi" w:hAnsiTheme="minorBidi" w:cstheme="minorBidi"/>
          <w:sz w:val="18"/>
          <w:szCs w:val="18"/>
          <w:vertAlign w:val="superscript"/>
          <w:lang w:val="en-US"/>
        </w:rPr>
        <w:t>.</w:t>
      </w:r>
      <w:r w:rsidRPr="00E957F6">
        <w:rPr>
          <w:rFonts w:asciiTheme="minorBidi" w:hAnsiTheme="minorBidi" w:cstheme="minorBidi"/>
          <w:sz w:val="18"/>
          <w:szCs w:val="18"/>
          <w:lang w:val="en-US"/>
        </w:rPr>
        <w:t xml:space="preserve"> </w:t>
      </w:r>
      <w:r w:rsidRPr="00E957F6">
        <w:rPr>
          <w:rFonts w:asciiTheme="minorBidi" w:hAnsiTheme="minorBidi" w:cstheme="minorBidi"/>
          <w:sz w:val="18"/>
          <w:szCs w:val="18"/>
          <w:lang w:val="en-US"/>
        </w:rPr>
        <w:tab/>
      </w:r>
      <w:r w:rsidRPr="009B09B7">
        <w:rPr>
          <w:rFonts w:asciiTheme="minorBidi" w:hAnsiTheme="minorBidi" w:cstheme="minorBidi"/>
          <w:sz w:val="18"/>
          <w:szCs w:val="18"/>
          <w:lang w:val="en-US"/>
        </w:rPr>
        <w:t>To follow up on the announcement of the Seoul Vision, the Secretariat launched a survey</w:t>
      </w:r>
      <w:r w:rsidR="00E6403D" w:rsidRPr="009B09B7">
        <w:rPr>
          <w:rFonts w:asciiTheme="minorBidi" w:hAnsiTheme="minorBidi" w:cstheme="minorBidi"/>
          <w:sz w:val="18"/>
          <w:szCs w:val="18"/>
          <w:lang w:val="en-US"/>
        </w:rPr>
        <w:t xml:space="preserve"> (26 April – 15 May 2024)</w:t>
      </w:r>
      <w:r w:rsidRPr="009B09B7">
        <w:rPr>
          <w:rFonts w:asciiTheme="minorBidi" w:hAnsiTheme="minorBidi" w:cstheme="minorBidi"/>
          <w:sz w:val="18"/>
          <w:szCs w:val="18"/>
          <w:lang w:val="en-US"/>
        </w:rPr>
        <w:t xml:space="preserve"> to consult States Parties on the possible areas that the Convention and its stakeholders should focus on; the results will be </w:t>
      </w:r>
      <w:r w:rsidR="00E6403D" w:rsidRPr="009B09B7">
        <w:rPr>
          <w:rFonts w:asciiTheme="minorBidi" w:hAnsiTheme="minorBidi" w:cstheme="minorBidi"/>
          <w:sz w:val="18"/>
          <w:szCs w:val="18"/>
          <w:lang w:val="en-US"/>
        </w:rPr>
        <w:t xml:space="preserve">presented to the </w:t>
      </w:r>
      <w:r w:rsidR="00C15D39" w:rsidRPr="009B09B7">
        <w:rPr>
          <w:rFonts w:asciiTheme="minorBidi" w:hAnsiTheme="minorBidi" w:cstheme="minorBidi"/>
          <w:sz w:val="18"/>
          <w:szCs w:val="18"/>
          <w:lang w:val="en-US"/>
        </w:rPr>
        <w:t xml:space="preserve">General Assembly at its present </w:t>
      </w:r>
      <w:r w:rsidR="00E6403D" w:rsidRPr="009B09B7">
        <w:rPr>
          <w:rFonts w:asciiTheme="minorBidi" w:hAnsiTheme="minorBidi" w:cstheme="minorBidi"/>
          <w:sz w:val="18"/>
          <w:szCs w:val="18"/>
          <w:lang w:val="en-US"/>
        </w:rPr>
        <w:t xml:space="preserve">session </w:t>
      </w:r>
      <w:r w:rsidRPr="009B09B7">
        <w:rPr>
          <w:rFonts w:asciiTheme="minorBidi" w:hAnsiTheme="minorBidi" w:cstheme="minorBidi"/>
          <w:sz w:val="18"/>
          <w:szCs w:val="18"/>
          <w:lang w:val="en-US"/>
        </w:rPr>
        <w:t>during the examination of the present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717DC07"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5C792B">
      <w:rPr>
        <w:rFonts w:ascii="Arial" w:hAnsi="Arial" w:cs="Arial"/>
        <w:sz w:val="20"/>
        <w:szCs w:val="20"/>
        <w:lang w:val="en-GB"/>
      </w:rPr>
      <w:t>4</w:t>
    </w:r>
    <w:r w:rsidR="00CB0542">
      <w:rPr>
        <w:rFonts w:ascii="Arial" w:hAnsi="Arial" w:cs="Arial"/>
        <w:sz w:val="20"/>
        <w:szCs w:val="20"/>
        <w:lang w:val="en-GB"/>
      </w:rPr>
      <w:t>/1</w:t>
    </w:r>
    <w:r w:rsidR="005C792B">
      <w:rPr>
        <w:rFonts w:ascii="Arial" w:hAnsi="Arial" w:cs="Arial"/>
        <w:sz w:val="20"/>
        <w:szCs w:val="20"/>
        <w:lang w:val="en-GB"/>
      </w:rPr>
      <w:t>0</w:t>
    </w:r>
    <w:r w:rsidR="00EC6F8D">
      <w:rPr>
        <w:rFonts w:ascii="Arial" w:hAnsi="Arial" w:cs="Arial"/>
        <w:sz w:val="20"/>
        <w:szCs w:val="20"/>
        <w:lang w:val="en-GB"/>
      </w:rPr>
      <w:t>.</w:t>
    </w:r>
    <w:r w:rsidR="005C792B">
      <w:rPr>
        <w:rFonts w:ascii="Arial" w:hAnsi="Arial" w:cs="Arial"/>
        <w:sz w:val="20"/>
        <w:szCs w:val="20"/>
        <w:lang w:val="en-GB"/>
      </w:rPr>
      <w:t>GA</w:t>
    </w:r>
    <w:r w:rsidR="00D95C4C" w:rsidRPr="00C23A97">
      <w:rPr>
        <w:rFonts w:ascii="Arial" w:hAnsi="Arial" w:cs="Arial"/>
        <w:sz w:val="20"/>
        <w:szCs w:val="20"/>
        <w:lang w:val="en-GB"/>
      </w:rPr>
      <w:t>/</w:t>
    </w:r>
    <w:r w:rsidR="004A38CF">
      <w:rPr>
        <w:rFonts w:ascii="Arial" w:hAnsi="Arial" w:cs="Arial"/>
        <w:sz w:val="20"/>
        <w:szCs w:val="20"/>
        <w:lang w:val="en-GB"/>
      </w:rPr>
      <w:t>6</w:t>
    </w:r>
    <w:r w:rsidR="00D95C4C" w:rsidRPr="00C23A97">
      <w:rPr>
        <w:rFonts w:ascii="Arial" w:hAnsi="Arial" w:cs="Arial"/>
        <w:sz w:val="20"/>
        <w:szCs w:val="20"/>
        <w:lang w:val="en-GB"/>
      </w:rPr>
      <w:t xml:space="preserve"> –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3430E4C"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5C792B">
      <w:rPr>
        <w:rFonts w:ascii="Arial" w:hAnsi="Arial" w:cs="Arial"/>
        <w:sz w:val="20"/>
        <w:szCs w:val="20"/>
        <w:lang w:val="en-GB"/>
      </w:rPr>
      <w:t>4</w:t>
    </w:r>
    <w:r w:rsidR="0053318C">
      <w:rPr>
        <w:rFonts w:ascii="Arial" w:hAnsi="Arial" w:cs="Arial"/>
        <w:sz w:val="20"/>
        <w:szCs w:val="20"/>
        <w:lang w:val="en-GB"/>
      </w:rPr>
      <w:t>/1</w:t>
    </w:r>
    <w:r w:rsidR="005C792B">
      <w:rPr>
        <w:rFonts w:ascii="Arial" w:hAnsi="Arial" w:cs="Arial"/>
        <w:sz w:val="20"/>
        <w:szCs w:val="20"/>
        <w:lang w:val="en-GB"/>
      </w:rPr>
      <w:t>0</w:t>
    </w:r>
    <w:r w:rsidR="00EC6F8D">
      <w:rPr>
        <w:rFonts w:ascii="Arial" w:hAnsi="Arial" w:cs="Arial"/>
        <w:sz w:val="20"/>
        <w:szCs w:val="20"/>
        <w:lang w:val="en-GB"/>
      </w:rPr>
      <w:t>.</w:t>
    </w:r>
    <w:r w:rsidR="005C792B">
      <w:rPr>
        <w:rFonts w:ascii="Arial" w:hAnsi="Arial" w:cs="Arial"/>
        <w:sz w:val="20"/>
        <w:szCs w:val="20"/>
        <w:lang w:val="en-GB"/>
      </w:rPr>
      <w:t>GA</w:t>
    </w:r>
    <w:r w:rsidR="004A34A0" w:rsidRPr="0063300C">
      <w:rPr>
        <w:rFonts w:ascii="Arial" w:hAnsi="Arial" w:cs="Arial"/>
        <w:sz w:val="20"/>
        <w:szCs w:val="20"/>
        <w:lang w:val="en-GB"/>
      </w:rPr>
      <w:t>/</w:t>
    </w:r>
    <w:r w:rsidR="00064813">
      <w:rPr>
        <w:rFonts w:ascii="Arial" w:hAnsi="Arial" w:cs="Arial"/>
        <w:sz w:val="20"/>
        <w:szCs w:val="20"/>
        <w:lang w:val="en-GB"/>
      </w:rPr>
      <w:t>6</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6901875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lang w:val="pt-PT"/>
      </w:rPr>
    </w:pPr>
    <w:r>
      <w:rPr>
        <w:rFonts w:ascii="Arial" w:hAnsi="Arial" w:cs="Arial"/>
        <w:b/>
        <w:sz w:val="44"/>
        <w:szCs w:val="44"/>
        <w:lang w:val="pt-PT"/>
      </w:rPr>
      <w:t>10</w:t>
    </w:r>
    <w:r w:rsidR="00EC6F8D" w:rsidRPr="00D7105A">
      <w:rPr>
        <w:rFonts w:ascii="Arial" w:hAnsi="Arial" w:cs="Arial"/>
        <w:b/>
        <w:sz w:val="44"/>
        <w:szCs w:val="44"/>
        <w:lang w:val="pt-PT"/>
      </w:rPr>
      <w:t xml:space="preserve"> </w:t>
    </w:r>
    <w:r>
      <w:rPr>
        <w:rFonts w:ascii="Arial" w:hAnsi="Arial" w:cs="Arial"/>
        <w:b/>
        <w:sz w:val="44"/>
        <w:szCs w:val="44"/>
        <w:lang w:val="pt-PT"/>
      </w:rPr>
      <w:t>GA</w:t>
    </w:r>
  </w:p>
  <w:p w14:paraId="306484B8" w14:textId="710F0D72"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5C792B">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5C792B">
      <w:rPr>
        <w:rFonts w:ascii="Arial" w:hAnsi="Arial" w:cs="Arial"/>
        <w:b/>
        <w:sz w:val="22"/>
        <w:szCs w:val="22"/>
        <w:lang w:val="pt-PT"/>
      </w:rPr>
      <w:t>0</w:t>
    </w:r>
    <w:r w:rsidR="00D95C4C" w:rsidRPr="00D7105A">
      <w:rPr>
        <w:rFonts w:ascii="Arial" w:hAnsi="Arial" w:cs="Arial"/>
        <w:b/>
        <w:sz w:val="22"/>
        <w:szCs w:val="22"/>
        <w:lang w:val="pt-PT"/>
      </w:rPr>
      <w:t>.</w:t>
    </w:r>
    <w:r w:rsidR="005C792B">
      <w:rPr>
        <w:rFonts w:ascii="Arial" w:hAnsi="Arial" w:cs="Arial"/>
        <w:b/>
        <w:sz w:val="22"/>
        <w:szCs w:val="22"/>
        <w:lang w:val="pt-PT"/>
      </w:rPr>
      <w:t>GA</w:t>
    </w:r>
    <w:r w:rsidR="00D95C4C" w:rsidRPr="00D7105A">
      <w:rPr>
        <w:rFonts w:ascii="Arial" w:hAnsi="Arial" w:cs="Arial"/>
        <w:b/>
        <w:sz w:val="22"/>
        <w:szCs w:val="22"/>
        <w:lang w:val="pt-PT"/>
      </w:rPr>
      <w:t>/</w:t>
    </w:r>
    <w:r w:rsidR="004A38CF">
      <w:rPr>
        <w:rFonts w:ascii="Arial" w:hAnsi="Arial" w:cs="Arial"/>
        <w:b/>
        <w:sz w:val="22"/>
        <w:szCs w:val="22"/>
        <w:lang w:val="pt-PT"/>
      </w:rPr>
      <w:t>6</w:t>
    </w:r>
  </w:p>
  <w:p w14:paraId="1B4446C3" w14:textId="53EE10FA"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2F3502">
      <w:rPr>
        <w:rFonts w:ascii="Arial" w:hAnsi="Arial" w:cs="Arial"/>
        <w:b/>
        <w:sz w:val="22"/>
        <w:szCs w:val="22"/>
        <w:lang w:val="pt-PT"/>
      </w:rPr>
      <w:t xml:space="preserve">13 </w:t>
    </w:r>
    <w:r w:rsidR="004A38CF">
      <w:rPr>
        <w:rFonts w:ascii="Arial" w:hAnsi="Arial" w:cs="Arial"/>
        <w:b/>
        <w:sz w:val="22"/>
        <w:szCs w:val="22"/>
        <w:lang w:val="pt-PT"/>
      </w:rPr>
      <w:t>May</w:t>
    </w:r>
    <w:r w:rsidRPr="00D7105A">
      <w:rPr>
        <w:rFonts w:ascii="Arial" w:hAnsi="Arial" w:cs="Arial"/>
        <w:b/>
        <w:sz w:val="22"/>
        <w:szCs w:val="22"/>
        <w:lang w:val="pt-PT"/>
      </w:rPr>
      <w:t xml:space="preserve"> </w:t>
    </w:r>
    <w:r w:rsidR="00337CEB" w:rsidRPr="00D7105A">
      <w:rPr>
        <w:rFonts w:ascii="Arial" w:hAnsi="Arial" w:cs="Arial"/>
        <w:b/>
        <w:sz w:val="22"/>
        <w:szCs w:val="22"/>
        <w:lang w:val="pt-PT"/>
      </w:rPr>
      <w:t>20</w:t>
    </w:r>
    <w:r w:rsidR="00D7105A">
      <w:rPr>
        <w:rFonts w:ascii="Arial" w:hAnsi="Arial" w:cs="Arial"/>
        <w:b/>
        <w:sz w:val="22"/>
        <w:szCs w:val="22"/>
        <w:lang w:val="pt-PT"/>
      </w:rPr>
      <w:t>2</w:t>
    </w:r>
    <w:r w:rsidR="005C792B">
      <w:rPr>
        <w:rFonts w:ascii="Arial" w:hAnsi="Arial" w:cs="Arial"/>
        <w:b/>
        <w:sz w:val="22"/>
        <w:szCs w:val="22"/>
        <w:lang w:val="pt-PT"/>
      </w:rPr>
      <w:t>4</w:t>
    </w:r>
  </w:p>
  <w:p w14:paraId="255B57FF" w14:textId="44B9E5F7"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4A38CF">
      <w:rPr>
        <w:rFonts w:ascii="Arial" w:hAnsi="Arial" w:cs="Arial"/>
        <w:b/>
        <w:sz w:val="22"/>
        <w:szCs w:val="22"/>
        <w:lang w:val="en-GB"/>
      </w:rPr>
      <w:t>English</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B8A29CAC"/>
    <w:lvl w:ilvl="0" w:tplc="0409000F">
      <w:start w:val="1"/>
      <w:numFmt w:val="decimal"/>
      <w:lvlText w:val="%1."/>
      <w:lvlJc w:val="left"/>
      <w:pPr>
        <w:ind w:left="63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772F90"/>
    <w:multiLevelType w:val="hybridMultilevel"/>
    <w:tmpl w:val="E55ED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40D70"/>
    <w:multiLevelType w:val="hybridMultilevel"/>
    <w:tmpl w:val="DB2A763C"/>
    <w:lvl w:ilvl="0" w:tplc="04090013">
      <w:start w:val="1"/>
      <w:numFmt w:val="upperRoman"/>
      <w:lvlText w:val="%1."/>
      <w:lvlJc w:val="righ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8141F2"/>
    <w:multiLevelType w:val="hybridMultilevel"/>
    <w:tmpl w:val="83CEEF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295216A"/>
    <w:multiLevelType w:val="hybridMultilevel"/>
    <w:tmpl w:val="D4D2177C"/>
    <w:lvl w:ilvl="0" w:tplc="D626FAFA">
      <w:start w:val="1"/>
      <w:numFmt w:val="lowerLetter"/>
      <w:lvlText w:val="%1)"/>
      <w:lvlJc w:val="left"/>
      <w:pPr>
        <w:ind w:left="1494" w:hanging="360"/>
      </w:pPr>
      <w:rPr>
        <w:rFonts w:hint="default"/>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B705BA7"/>
    <w:multiLevelType w:val="hybridMultilevel"/>
    <w:tmpl w:val="30CAFC6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5B0026"/>
    <w:multiLevelType w:val="hybridMultilevel"/>
    <w:tmpl w:val="D21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F786A"/>
    <w:multiLevelType w:val="hybridMultilevel"/>
    <w:tmpl w:val="45C880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D17854"/>
    <w:multiLevelType w:val="hybridMultilevel"/>
    <w:tmpl w:val="1610A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DF52C6"/>
    <w:multiLevelType w:val="hybridMultilevel"/>
    <w:tmpl w:val="0486E188"/>
    <w:lvl w:ilvl="0" w:tplc="040C000F">
      <w:start w:val="1"/>
      <w:numFmt w:val="decimal"/>
      <w:lvlText w:val="%1."/>
      <w:lvlJc w:val="left"/>
      <w:pPr>
        <w:ind w:left="3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781626B4"/>
    <w:multiLevelType w:val="hybridMultilevel"/>
    <w:tmpl w:val="F57A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9"/>
  </w:num>
  <w:num w:numId="2" w16cid:durableId="699629408">
    <w:abstractNumId w:val="10"/>
  </w:num>
  <w:num w:numId="3" w16cid:durableId="164177712">
    <w:abstractNumId w:val="4"/>
  </w:num>
  <w:num w:numId="4" w16cid:durableId="1416590798">
    <w:abstractNumId w:val="25"/>
  </w:num>
  <w:num w:numId="5" w16cid:durableId="1762608160">
    <w:abstractNumId w:val="20"/>
  </w:num>
  <w:num w:numId="6" w16cid:durableId="2146270374">
    <w:abstractNumId w:val="1"/>
  </w:num>
  <w:num w:numId="7" w16cid:durableId="1113592211">
    <w:abstractNumId w:val="6"/>
  </w:num>
  <w:num w:numId="8" w16cid:durableId="1920598164">
    <w:abstractNumId w:val="15"/>
  </w:num>
  <w:num w:numId="9" w16cid:durableId="1533764642">
    <w:abstractNumId w:val="9"/>
  </w:num>
  <w:num w:numId="10" w16cid:durableId="1246129">
    <w:abstractNumId w:val="11"/>
  </w:num>
  <w:num w:numId="11" w16cid:durableId="111829808">
    <w:abstractNumId w:val="13"/>
  </w:num>
  <w:num w:numId="12" w16cid:durableId="1088770206">
    <w:abstractNumId w:val="12"/>
  </w:num>
  <w:num w:numId="13" w16cid:durableId="1263951029">
    <w:abstractNumId w:val="26"/>
  </w:num>
  <w:num w:numId="14" w16cid:durableId="395903570">
    <w:abstractNumId w:val="8"/>
  </w:num>
  <w:num w:numId="15" w16cid:durableId="1857570918">
    <w:abstractNumId w:val="9"/>
  </w:num>
  <w:num w:numId="16" w16cid:durableId="248199808">
    <w:abstractNumId w:val="9"/>
  </w:num>
  <w:num w:numId="17" w16cid:durableId="350380342">
    <w:abstractNumId w:val="9"/>
  </w:num>
  <w:num w:numId="18" w16cid:durableId="944581980">
    <w:abstractNumId w:val="9"/>
  </w:num>
  <w:num w:numId="19" w16cid:durableId="772675100">
    <w:abstractNumId w:val="9"/>
  </w:num>
  <w:num w:numId="20" w16cid:durableId="1253010311">
    <w:abstractNumId w:val="9"/>
  </w:num>
  <w:num w:numId="21" w16cid:durableId="540821319">
    <w:abstractNumId w:val="3"/>
  </w:num>
  <w:num w:numId="22" w16cid:durableId="2046514942">
    <w:abstractNumId w:val="9"/>
  </w:num>
  <w:num w:numId="23" w16cid:durableId="652639261">
    <w:abstractNumId w:val="0"/>
  </w:num>
  <w:num w:numId="24" w16cid:durableId="1198470061">
    <w:abstractNumId w:val="23"/>
  </w:num>
  <w:num w:numId="25" w16cid:durableId="1440176865">
    <w:abstractNumId w:val="7"/>
  </w:num>
  <w:num w:numId="26" w16cid:durableId="2077506205">
    <w:abstractNumId w:val="17"/>
  </w:num>
  <w:num w:numId="27" w16cid:durableId="1240870634">
    <w:abstractNumId w:val="9"/>
  </w:num>
  <w:num w:numId="28" w16cid:durableId="430201348">
    <w:abstractNumId w:val="9"/>
  </w:num>
  <w:num w:numId="29" w16cid:durableId="315111869">
    <w:abstractNumId w:val="9"/>
  </w:num>
  <w:num w:numId="30" w16cid:durableId="700207314">
    <w:abstractNumId w:val="9"/>
  </w:num>
  <w:num w:numId="31" w16cid:durableId="481434859">
    <w:abstractNumId w:val="9"/>
  </w:num>
  <w:num w:numId="32" w16cid:durableId="1390302746">
    <w:abstractNumId w:val="9"/>
  </w:num>
  <w:num w:numId="33" w16cid:durableId="2093161774">
    <w:abstractNumId w:val="9"/>
  </w:num>
  <w:num w:numId="34" w16cid:durableId="1775706006">
    <w:abstractNumId w:val="9"/>
  </w:num>
  <w:num w:numId="35" w16cid:durableId="711684871">
    <w:abstractNumId w:val="9"/>
  </w:num>
  <w:num w:numId="36" w16cid:durableId="999622970">
    <w:abstractNumId w:val="18"/>
  </w:num>
  <w:num w:numId="37" w16cid:durableId="531304035">
    <w:abstractNumId w:val="9"/>
  </w:num>
  <w:num w:numId="38" w16cid:durableId="1638291949">
    <w:abstractNumId w:val="22"/>
  </w:num>
  <w:num w:numId="39" w16cid:durableId="855462246">
    <w:abstractNumId w:val="9"/>
  </w:num>
  <w:num w:numId="40" w16cid:durableId="665014602">
    <w:abstractNumId w:val="9"/>
  </w:num>
  <w:num w:numId="41" w16cid:durableId="894314896">
    <w:abstractNumId w:val="9"/>
  </w:num>
  <w:num w:numId="42" w16cid:durableId="1715809846">
    <w:abstractNumId w:val="16"/>
  </w:num>
  <w:num w:numId="43" w16cid:durableId="1894152947">
    <w:abstractNumId w:val="9"/>
  </w:num>
  <w:num w:numId="44" w16cid:durableId="608585912">
    <w:abstractNumId w:val="21"/>
  </w:num>
  <w:num w:numId="45" w16cid:durableId="1460219923">
    <w:abstractNumId w:val="2"/>
  </w:num>
  <w:num w:numId="46" w16cid:durableId="1152674242">
    <w:abstractNumId w:val="24"/>
  </w:num>
  <w:num w:numId="47" w16cid:durableId="1952081055">
    <w:abstractNumId w:val="9"/>
  </w:num>
  <w:num w:numId="48" w16cid:durableId="1900555555">
    <w:abstractNumId w:val="9"/>
  </w:num>
  <w:num w:numId="49" w16cid:durableId="982202073">
    <w:abstractNumId w:val="9"/>
  </w:num>
  <w:num w:numId="50" w16cid:durableId="29112413">
    <w:abstractNumId w:val="9"/>
  </w:num>
  <w:num w:numId="51" w16cid:durableId="173887859">
    <w:abstractNumId w:val="9"/>
  </w:num>
  <w:num w:numId="52" w16cid:durableId="718675658">
    <w:abstractNumId w:val="9"/>
  </w:num>
  <w:num w:numId="53" w16cid:durableId="1724593401">
    <w:abstractNumId w:val="9"/>
  </w:num>
  <w:num w:numId="54" w16cid:durableId="1114251388">
    <w:abstractNumId w:val="9"/>
  </w:num>
  <w:num w:numId="55" w16cid:durableId="1100644095">
    <w:abstractNumId w:val="9"/>
  </w:num>
  <w:num w:numId="56" w16cid:durableId="856121231">
    <w:abstractNumId w:val="9"/>
  </w:num>
  <w:num w:numId="57" w16cid:durableId="616178298">
    <w:abstractNumId w:val="9"/>
  </w:num>
  <w:num w:numId="58" w16cid:durableId="1024094007">
    <w:abstractNumId w:val="9"/>
  </w:num>
  <w:num w:numId="59" w16cid:durableId="626938009">
    <w:abstractNumId w:val="5"/>
  </w:num>
  <w:num w:numId="60" w16cid:durableId="75933032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3E73"/>
    <w:rsid w:val="000048ED"/>
    <w:rsid w:val="00007806"/>
    <w:rsid w:val="0001092A"/>
    <w:rsid w:val="00014915"/>
    <w:rsid w:val="00015310"/>
    <w:rsid w:val="000249CA"/>
    <w:rsid w:val="0002584F"/>
    <w:rsid w:val="000369BB"/>
    <w:rsid w:val="00041A66"/>
    <w:rsid w:val="00042571"/>
    <w:rsid w:val="00042D88"/>
    <w:rsid w:val="00044F7A"/>
    <w:rsid w:val="00047BA7"/>
    <w:rsid w:val="0005176E"/>
    <w:rsid w:val="00055AE0"/>
    <w:rsid w:val="00064813"/>
    <w:rsid w:val="00067151"/>
    <w:rsid w:val="0007049A"/>
    <w:rsid w:val="0007601C"/>
    <w:rsid w:val="0007636C"/>
    <w:rsid w:val="000765F7"/>
    <w:rsid w:val="0007725F"/>
    <w:rsid w:val="00077AB7"/>
    <w:rsid w:val="00081CD8"/>
    <w:rsid w:val="00091D60"/>
    <w:rsid w:val="00094F1C"/>
    <w:rsid w:val="000A7F0E"/>
    <w:rsid w:val="000B1C8F"/>
    <w:rsid w:val="000B61A6"/>
    <w:rsid w:val="000B6541"/>
    <w:rsid w:val="000B6F44"/>
    <w:rsid w:val="000C00CA"/>
    <w:rsid w:val="000C0D61"/>
    <w:rsid w:val="000D588E"/>
    <w:rsid w:val="000D693C"/>
    <w:rsid w:val="000E07E3"/>
    <w:rsid w:val="000E294F"/>
    <w:rsid w:val="000F27CB"/>
    <w:rsid w:val="000F3A3F"/>
    <w:rsid w:val="00102557"/>
    <w:rsid w:val="0011391C"/>
    <w:rsid w:val="00115225"/>
    <w:rsid w:val="001345B0"/>
    <w:rsid w:val="00134C0B"/>
    <w:rsid w:val="00144BC8"/>
    <w:rsid w:val="00147A38"/>
    <w:rsid w:val="0015102F"/>
    <w:rsid w:val="00153ED5"/>
    <w:rsid w:val="0015681A"/>
    <w:rsid w:val="001600E4"/>
    <w:rsid w:val="00164D56"/>
    <w:rsid w:val="00167B10"/>
    <w:rsid w:val="00170272"/>
    <w:rsid w:val="001727BB"/>
    <w:rsid w:val="0017402F"/>
    <w:rsid w:val="00181F4A"/>
    <w:rsid w:val="00184D30"/>
    <w:rsid w:val="00187199"/>
    <w:rsid w:val="00190205"/>
    <w:rsid w:val="00196045"/>
    <w:rsid w:val="001964C7"/>
    <w:rsid w:val="00196C1B"/>
    <w:rsid w:val="001A40D4"/>
    <w:rsid w:val="001B0B14"/>
    <w:rsid w:val="001B0F73"/>
    <w:rsid w:val="001B5575"/>
    <w:rsid w:val="001C1430"/>
    <w:rsid w:val="001C2B87"/>
    <w:rsid w:val="001C2DB7"/>
    <w:rsid w:val="001C585F"/>
    <w:rsid w:val="001C5C05"/>
    <w:rsid w:val="001D14FE"/>
    <w:rsid w:val="001D59D8"/>
    <w:rsid w:val="001D5C04"/>
    <w:rsid w:val="001D6092"/>
    <w:rsid w:val="001D71D1"/>
    <w:rsid w:val="001E20BF"/>
    <w:rsid w:val="001E47AB"/>
    <w:rsid w:val="001F26CF"/>
    <w:rsid w:val="00206702"/>
    <w:rsid w:val="002117D9"/>
    <w:rsid w:val="002132EF"/>
    <w:rsid w:val="0021697F"/>
    <w:rsid w:val="0022292B"/>
    <w:rsid w:val="00222A2D"/>
    <w:rsid w:val="00223029"/>
    <w:rsid w:val="00223FE5"/>
    <w:rsid w:val="00226B24"/>
    <w:rsid w:val="002331C8"/>
    <w:rsid w:val="00234745"/>
    <w:rsid w:val="002351A6"/>
    <w:rsid w:val="002407AF"/>
    <w:rsid w:val="002451C3"/>
    <w:rsid w:val="00245501"/>
    <w:rsid w:val="00254B26"/>
    <w:rsid w:val="00261480"/>
    <w:rsid w:val="0026221A"/>
    <w:rsid w:val="0026751B"/>
    <w:rsid w:val="00271942"/>
    <w:rsid w:val="0027466B"/>
    <w:rsid w:val="002814F6"/>
    <w:rsid w:val="00283108"/>
    <w:rsid w:val="002838A5"/>
    <w:rsid w:val="00285BB4"/>
    <w:rsid w:val="002873D0"/>
    <w:rsid w:val="002944EF"/>
    <w:rsid w:val="002A24E1"/>
    <w:rsid w:val="002A3C00"/>
    <w:rsid w:val="002B46E6"/>
    <w:rsid w:val="002B7F22"/>
    <w:rsid w:val="002C09E3"/>
    <w:rsid w:val="002C0CC4"/>
    <w:rsid w:val="002C3F0D"/>
    <w:rsid w:val="002C627A"/>
    <w:rsid w:val="002C62E3"/>
    <w:rsid w:val="002C6A2C"/>
    <w:rsid w:val="002D05ED"/>
    <w:rsid w:val="002D1244"/>
    <w:rsid w:val="002D1A54"/>
    <w:rsid w:val="002D349D"/>
    <w:rsid w:val="002D679B"/>
    <w:rsid w:val="002E140E"/>
    <w:rsid w:val="002F3502"/>
    <w:rsid w:val="002F6909"/>
    <w:rsid w:val="00300C5E"/>
    <w:rsid w:val="00301EB1"/>
    <w:rsid w:val="00304460"/>
    <w:rsid w:val="00304D2D"/>
    <w:rsid w:val="00321910"/>
    <w:rsid w:val="003233AE"/>
    <w:rsid w:val="003264FB"/>
    <w:rsid w:val="00334400"/>
    <w:rsid w:val="003350C7"/>
    <w:rsid w:val="00335167"/>
    <w:rsid w:val="00337CEB"/>
    <w:rsid w:val="00344B58"/>
    <w:rsid w:val="0034539A"/>
    <w:rsid w:val="00345CB4"/>
    <w:rsid w:val="00355C89"/>
    <w:rsid w:val="00360B8C"/>
    <w:rsid w:val="00370E32"/>
    <w:rsid w:val="00371805"/>
    <w:rsid w:val="00375D42"/>
    <w:rsid w:val="00380A31"/>
    <w:rsid w:val="00380BFA"/>
    <w:rsid w:val="0038132E"/>
    <w:rsid w:val="003819BB"/>
    <w:rsid w:val="003854F3"/>
    <w:rsid w:val="0038612F"/>
    <w:rsid w:val="00387BCA"/>
    <w:rsid w:val="00393A07"/>
    <w:rsid w:val="003A084B"/>
    <w:rsid w:val="003A34A5"/>
    <w:rsid w:val="003B4A6F"/>
    <w:rsid w:val="003B7349"/>
    <w:rsid w:val="003C41C7"/>
    <w:rsid w:val="003C6C8A"/>
    <w:rsid w:val="003D069C"/>
    <w:rsid w:val="003D6961"/>
    <w:rsid w:val="003D7646"/>
    <w:rsid w:val="003E6A73"/>
    <w:rsid w:val="003F113A"/>
    <w:rsid w:val="003F3382"/>
    <w:rsid w:val="003F3E63"/>
    <w:rsid w:val="003F689C"/>
    <w:rsid w:val="003F79D0"/>
    <w:rsid w:val="00406F24"/>
    <w:rsid w:val="00407480"/>
    <w:rsid w:val="00407DAB"/>
    <w:rsid w:val="00411B29"/>
    <w:rsid w:val="00414643"/>
    <w:rsid w:val="0041711B"/>
    <w:rsid w:val="00420E74"/>
    <w:rsid w:val="00421BBB"/>
    <w:rsid w:val="00424F96"/>
    <w:rsid w:val="004313C4"/>
    <w:rsid w:val="00433FBC"/>
    <w:rsid w:val="00434242"/>
    <w:rsid w:val="00436557"/>
    <w:rsid w:val="004421E5"/>
    <w:rsid w:val="00445B9D"/>
    <w:rsid w:val="004506CC"/>
    <w:rsid w:val="00452284"/>
    <w:rsid w:val="004575CB"/>
    <w:rsid w:val="00457C8E"/>
    <w:rsid w:val="00461597"/>
    <w:rsid w:val="00470DED"/>
    <w:rsid w:val="0047590C"/>
    <w:rsid w:val="00480175"/>
    <w:rsid w:val="00480B8B"/>
    <w:rsid w:val="00480CBC"/>
    <w:rsid w:val="0048292C"/>
    <w:rsid w:val="004856CA"/>
    <w:rsid w:val="00487E67"/>
    <w:rsid w:val="004906B7"/>
    <w:rsid w:val="004914A5"/>
    <w:rsid w:val="004948A5"/>
    <w:rsid w:val="00495090"/>
    <w:rsid w:val="0049705E"/>
    <w:rsid w:val="00497B1C"/>
    <w:rsid w:val="004A0020"/>
    <w:rsid w:val="004A2875"/>
    <w:rsid w:val="004A34A0"/>
    <w:rsid w:val="004A38CF"/>
    <w:rsid w:val="004A7056"/>
    <w:rsid w:val="004B08AD"/>
    <w:rsid w:val="004C7C82"/>
    <w:rsid w:val="004D6E9C"/>
    <w:rsid w:val="004F16FE"/>
    <w:rsid w:val="004F519A"/>
    <w:rsid w:val="004F519E"/>
    <w:rsid w:val="004F7150"/>
    <w:rsid w:val="005008A8"/>
    <w:rsid w:val="00500964"/>
    <w:rsid w:val="00501EC4"/>
    <w:rsid w:val="00502368"/>
    <w:rsid w:val="00504F25"/>
    <w:rsid w:val="00510A7F"/>
    <w:rsid w:val="005135AC"/>
    <w:rsid w:val="00517FD8"/>
    <w:rsid w:val="00526B7B"/>
    <w:rsid w:val="005274D2"/>
    <w:rsid w:val="005300CA"/>
    <w:rsid w:val="005308CE"/>
    <w:rsid w:val="0053318C"/>
    <w:rsid w:val="0054013D"/>
    <w:rsid w:val="00544899"/>
    <w:rsid w:val="0054535F"/>
    <w:rsid w:val="00552CF8"/>
    <w:rsid w:val="00565A22"/>
    <w:rsid w:val="0057439C"/>
    <w:rsid w:val="0058108E"/>
    <w:rsid w:val="00590557"/>
    <w:rsid w:val="0059537B"/>
    <w:rsid w:val="00595947"/>
    <w:rsid w:val="005960FA"/>
    <w:rsid w:val="00597571"/>
    <w:rsid w:val="005B0127"/>
    <w:rsid w:val="005B7A35"/>
    <w:rsid w:val="005C0366"/>
    <w:rsid w:val="005C1837"/>
    <w:rsid w:val="005C4B73"/>
    <w:rsid w:val="005C4F7E"/>
    <w:rsid w:val="005C54EA"/>
    <w:rsid w:val="005C792B"/>
    <w:rsid w:val="005D15F1"/>
    <w:rsid w:val="005D165A"/>
    <w:rsid w:val="005D2D5B"/>
    <w:rsid w:val="005D5F5F"/>
    <w:rsid w:val="005D6234"/>
    <w:rsid w:val="005E1D2B"/>
    <w:rsid w:val="005E7074"/>
    <w:rsid w:val="005F2BAF"/>
    <w:rsid w:val="005F3309"/>
    <w:rsid w:val="00600D93"/>
    <w:rsid w:val="00603581"/>
    <w:rsid w:val="00603B0E"/>
    <w:rsid w:val="006053B3"/>
    <w:rsid w:val="006074A2"/>
    <w:rsid w:val="00610009"/>
    <w:rsid w:val="00622751"/>
    <w:rsid w:val="00626BEA"/>
    <w:rsid w:val="00627EB0"/>
    <w:rsid w:val="006326C5"/>
    <w:rsid w:val="0063300C"/>
    <w:rsid w:val="006373BE"/>
    <w:rsid w:val="006406CB"/>
    <w:rsid w:val="006433C6"/>
    <w:rsid w:val="00650BA7"/>
    <w:rsid w:val="00651A5B"/>
    <w:rsid w:val="0065336A"/>
    <w:rsid w:val="00655736"/>
    <w:rsid w:val="00660CAC"/>
    <w:rsid w:val="00663B8D"/>
    <w:rsid w:val="00664F07"/>
    <w:rsid w:val="00667B59"/>
    <w:rsid w:val="0067180D"/>
    <w:rsid w:val="00674083"/>
    <w:rsid w:val="00685312"/>
    <w:rsid w:val="00696C8D"/>
    <w:rsid w:val="006A1817"/>
    <w:rsid w:val="006A2AC2"/>
    <w:rsid w:val="006A3617"/>
    <w:rsid w:val="006A4DA4"/>
    <w:rsid w:val="006B0709"/>
    <w:rsid w:val="006B4452"/>
    <w:rsid w:val="006B672B"/>
    <w:rsid w:val="006B72CC"/>
    <w:rsid w:val="006C35B3"/>
    <w:rsid w:val="006C377B"/>
    <w:rsid w:val="006C71AE"/>
    <w:rsid w:val="006D3CD4"/>
    <w:rsid w:val="006D5B6C"/>
    <w:rsid w:val="006D5E64"/>
    <w:rsid w:val="006D647C"/>
    <w:rsid w:val="006D7BF4"/>
    <w:rsid w:val="006D7FBE"/>
    <w:rsid w:val="006E140E"/>
    <w:rsid w:val="006E43AD"/>
    <w:rsid w:val="006E46E4"/>
    <w:rsid w:val="006E53E0"/>
    <w:rsid w:val="006E75EB"/>
    <w:rsid w:val="006F730C"/>
    <w:rsid w:val="0070228F"/>
    <w:rsid w:val="007053C3"/>
    <w:rsid w:val="0071006E"/>
    <w:rsid w:val="007116CE"/>
    <w:rsid w:val="00717DA5"/>
    <w:rsid w:val="007211BA"/>
    <w:rsid w:val="007247D1"/>
    <w:rsid w:val="00725EA0"/>
    <w:rsid w:val="00731764"/>
    <w:rsid w:val="007319B7"/>
    <w:rsid w:val="007333D0"/>
    <w:rsid w:val="00734453"/>
    <w:rsid w:val="00737DC8"/>
    <w:rsid w:val="00744484"/>
    <w:rsid w:val="007444E7"/>
    <w:rsid w:val="00747566"/>
    <w:rsid w:val="007655C4"/>
    <w:rsid w:val="00773188"/>
    <w:rsid w:val="007745DD"/>
    <w:rsid w:val="007753AC"/>
    <w:rsid w:val="00780B1B"/>
    <w:rsid w:val="00783782"/>
    <w:rsid w:val="0078455E"/>
    <w:rsid w:val="00784B8C"/>
    <w:rsid w:val="00785D37"/>
    <w:rsid w:val="007879E1"/>
    <w:rsid w:val="00795964"/>
    <w:rsid w:val="007A5DC8"/>
    <w:rsid w:val="007B6FA1"/>
    <w:rsid w:val="007C0733"/>
    <w:rsid w:val="007C239C"/>
    <w:rsid w:val="007C4AFA"/>
    <w:rsid w:val="007C70D0"/>
    <w:rsid w:val="007C78A3"/>
    <w:rsid w:val="007D0A25"/>
    <w:rsid w:val="007D7CD4"/>
    <w:rsid w:val="007E173A"/>
    <w:rsid w:val="007E2411"/>
    <w:rsid w:val="007E2835"/>
    <w:rsid w:val="007E57AA"/>
    <w:rsid w:val="007E583D"/>
    <w:rsid w:val="007E6D90"/>
    <w:rsid w:val="007F555A"/>
    <w:rsid w:val="007F679C"/>
    <w:rsid w:val="007F6F6B"/>
    <w:rsid w:val="007F793C"/>
    <w:rsid w:val="00804D8B"/>
    <w:rsid w:val="00822758"/>
    <w:rsid w:val="00823A11"/>
    <w:rsid w:val="0082697C"/>
    <w:rsid w:val="00827C6C"/>
    <w:rsid w:val="0083185A"/>
    <w:rsid w:val="00831FEB"/>
    <w:rsid w:val="008331C1"/>
    <w:rsid w:val="008442E6"/>
    <w:rsid w:val="008449F7"/>
    <w:rsid w:val="008511B3"/>
    <w:rsid w:val="00851730"/>
    <w:rsid w:val="008521D1"/>
    <w:rsid w:val="00852B58"/>
    <w:rsid w:val="0085405E"/>
    <w:rsid w:val="0085414A"/>
    <w:rsid w:val="0085465D"/>
    <w:rsid w:val="008571CE"/>
    <w:rsid w:val="00857EB9"/>
    <w:rsid w:val="0086269D"/>
    <w:rsid w:val="0086543A"/>
    <w:rsid w:val="00866A86"/>
    <w:rsid w:val="0087150B"/>
    <w:rsid w:val="008724E5"/>
    <w:rsid w:val="00873D3F"/>
    <w:rsid w:val="008756A6"/>
    <w:rsid w:val="008765C9"/>
    <w:rsid w:val="00884990"/>
    <w:rsid w:val="00884A9D"/>
    <w:rsid w:val="0088512B"/>
    <w:rsid w:val="00887224"/>
    <w:rsid w:val="00887774"/>
    <w:rsid w:val="00887BA9"/>
    <w:rsid w:val="0089105E"/>
    <w:rsid w:val="00892B54"/>
    <w:rsid w:val="00896F02"/>
    <w:rsid w:val="008A2B2D"/>
    <w:rsid w:val="008A4E1E"/>
    <w:rsid w:val="008A52EF"/>
    <w:rsid w:val="008A6458"/>
    <w:rsid w:val="008B080B"/>
    <w:rsid w:val="008B1FAC"/>
    <w:rsid w:val="008B28DB"/>
    <w:rsid w:val="008C296C"/>
    <w:rsid w:val="008D1F4A"/>
    <w:rsid w:val="008D30DE"/>
    <w:rsid w:val="008D3462"/>
    <w:rsid w:val="008D4305"/>
    <w:rsid w:val="008D5E22"/>
    <w:rsid w:val="008E06A0"/>
    <w:rsid w:val="008E1A85"/>
    <w:rsid w:val="008E344F"/>
    <w:rsid w:val="008F079B"/>
    <w:rsid w:val="008F73D3"/>
    <w:rsid w:val="009000CA"/>
    <w:rsid w:val="00900DAA"/>
    <w:rsid w:val="0091472E"/>
    <w:rsid w:val="009163A7"/>
    <w:rsid w:val="00923F7F"/>
    <w:rsid w:val="00924DFD"/>
    <w:rsid w:val="009253A3"/>
    <w:rsid w:val="00932852"/>
    <w:rsid w:val="00937D53"/>
    <w:rsid w:val="0094182F"/>
    <w:rsid w:val="00944B2B"/>
    <w:rsid w:val="00944F24"/>
    <w:rsid w:val="00945797"/>
    <w:rsid w:val="00946D0B"/>
    <w:rsid w:val="00955877"/>
    <w:rsid w:val="00962034"/>
    <w:rsid w:val="00965684"/>
    <w:rsid w:val="00971C4A"/>
    <w:rsid w:val="0099379F"/>
    <w:rsid w:val="009A18CD"/>
    <w:rsid w:val="009B09B7"/>
    <w:rsid w:val="009B2903"/>
    <w:rsid w:val="009C0A62"/>
    <w:rsid w:val="009C29A8"/>
    <w:rsid w:val="009C6AE7"/>
    <w:rsid w:val="009C76A4"/>
    <w:rsid w:val="009D215B"/>
    <w:rsid w:val="009D5428"/>
    <w:rsid w:val="009D7392"/>
    <w:rsid w:val="009E4BF8"/>
    <w:rsid w:val="009E6E88"/>
    <w:rsid w:val="009F0181"/>
    <w:rsid w:val="009F438C"/>
    <w:rsid w:val="00A056CC"/>
    <w:rsid w:val="00A05B71"/>
    <w:rsid w:val="00A12558"/>
    <w:rsid w:val="00A13903"/>
    <w:rsid w:val="00A21DB3"/>
    <w:rsid w:val="00A221A6"/>
    <w:rsid w:val="00A229DC"/>
    <w:rsid w:val="00A247F9"/>
    <w:rsid w:val="00A27E70"/>
    <w:rsid w:val="00A32503"/>
    <w:rsid w:val="00A34ED5"/>
    <w:rsid w:val="00A35556"/>
    <w:rsid w:val="00A37981"/>
    <w:rsid w:val="00A41939"/>
    <w:rsid w:val="00A42BC3"/>
    <w:rsid w:val="00A45DBF"/>
    <w:rsid w:val="00A54C57"/>
    <w:rsid w:val="00A54C7C"/>
    <w:rsid w:val="00A65489"/>
    <w:rsid w:val="00A67D6F"/>
    <w:rsid w:val="00A725CF"/>
    <w:rsid w:val="00A7272E"/>
    <w:rsid w:val="00A755A2"/>
    <w:rsid w:val="00A756DF"/>
    <w:rsid w:val="00A77476"/>
    <w:rsid w:val="00A81C9A"/>
    <w:rsid w:val="00A84295"/>
    <w:rsid w:val="00A91430"/>
    <w:rsid w:val="00A91C02"/>
    <w:rsid w:val="00A93144"/>
    <w:rsid w:val="00AA590D"/>
    <w:rsid w:val="00AA6236"/>
    <w:rsid w:val="00AA6486"/>
    <w:rsid w:val="00AA6660"/>
    <w:rsid w:val="00AB2C36"/>
    <w:rsid w:val="00AB6DDE"/>
    <w:rsid w:val="00AB70B6"/>
    <w:rsid w:val="00AC18C1"/>
    <w:rsid w:val="00AC42DA"/>
    <w:rsid w:val="00AC71A3"/>
    <w:rsid w:val="00AC79A8"/>
    <w:rsid w:val="00AD17A3"/>
    <w:rsid w:val="00AD1A86"/>
    <w:rsid w:val="00AD228A"/>
    <w:rsid w:val="00AD3179"/>
    <w:rsid w:val="00AD5C46"/>
    <w:rsid w:val="00AE103E"/>
    <w:rsid w:val="00AE2ABD"/>
    <w:rsid w:val="00AE63DA"/>
    <w:rsid w:val="00AE7C91"/>
    <w:rsid w:val="00AF0A07"/>
    <w:rsid w:val="00AF4AEC"/>
    <w:rsid w:val="00AF625E"/>
    <w:rsid w:val="00AF6564"/>
    <w:rsid w:val="00B023DF"/>
    <w:rsid w:val="00B02DD1"/>
    <w:rsid w:val="00B139BE"/>
    <w:rsid w:val="00B2172B"/>
    <w:rsid w:val="00B229EA"/>
    <w:rsid w:val="00B241E7"/>
    <w:rsid w:val="00B342B0"/>
    <w:rsid w:val="00B34428"/>
    <w:rsid w:val="00B4723D"/>
    <w:rsid w:val="00B51C18"/>
    <w:rsid w:val="00B56D17"/>
    <w:rsid w:val="00B61234"/>
    <w:rsid w:val="00B61A47"/>
    <w:rsid w:val="00B6215C"/>
    <w:rsid w:val="00B63830"/>
    <w:rsid w:val="00B72993"/>
    <w:rsid w:val="00B86BF0"/>
    <w:rsid w:val="00B8718A"/>
    <w:rsid w:val="00B87318"/>
    <w:rsid w:val="00B917D2"/>
    <w:rsid w:val="00B92646"/>
    <w:rsid w:val="00B93768"/>
    <w:rsid w:val="00B93D64"/>
    <w:rsid w:val="00B94B2B"/>
    <w:rsid w:val="00B97EB3"/>
    <w:rsid w:val="00BA12F2"/>
    <w:rsid w:val="00BA1854"/>
    <w:rsid w:val="00BA241A"/>
    <w:rsid w:val="00BA36C9"/>
    <w:rsid w:val="00BA5C3D"/>
    <w:rsid w:val="00BB04AF"/>
    <w:rsid w:val="00BB073F"/>
    <w:rsid w:val="00BB18E2"/>
    <w:rsid w:val="00BB6EEC"/>
    <w:rsid w:val="00BB7C9C"/>
    <w:rsid w:val="00BC30E8"/>
    <w:rsid w:val="00BC3665"/>
    <w:rsid w:val="00BC611E"/>
    <w:rsid w:val="00BC7D36"/>
    <w:rsid w:val="00BD52C9"/>
    <w:rsid w:val="00BD655A"/>
    <w:rsid w:val="00BD7867"/>
    <w:rsid w:val="00BE109A"/>
    <w:rsid w:val="00BE6354"/>
    <w:rsid w:val="00BF6B21"/>
    <w:rsid w:val="00BF724B"/>
    <w:rsid w:val="00C04B01"/>
    <w:rsid w:val="00C138D1"/>
    <w:rsid w:val="00C15D39"/>
    <w:rsid w:val="00C23A97"/>
    <w:rsid w:val="00C25198"/>
    <w:rsid w:val="00C27DFE"/>
    <w:rsid w:val="00C369C9"/>
    <w:rsid w:val="00C37442"/>
    <w:rsid w:val="00C40CAD"/>
    <w:rsid w:val="00C4297D"/>
    <w:rsid w:val="00C42A24"/>
    <w:rsid w:val="00C42BA1"/>
    <w:rsid w:val="00C454E2"/>
    <w:rsid w:val="00C47197"/>
    <w:rsid w:val="00C50275"/>
    <w:rsid w:val="00C51678"/>
    <w:rsid w:val="00C52EBE"/>
    <w:rsid w:val="00C5776D"/>
    <w:rsid w:val="00C63A33"/>
    <w:rsid w:val="00C64855"/>
    <w:rsid w:val="00C64A53"/>
    <w:rsid w:val="00C70EA7"/>
    <w:rsid w:val="00C7433F"/>
    <w:rsid w:val="00C7516E"/>
    <w:rsid w:val="00C75770"/>
    <w:rsid w:val="00C822A2"/>
    <w:rsid w:val="00C83371"/>
    <w:rsid w:val="00C8558B"/>
    <w:rsid w:val="00C93C7F"/>
    <w:rsid w:val="00CA56BB"/>
    <w:rsid w:val="00CA7723"/>
    <w:rsid w:val="00CB0542"/>
    <w:rsid w:val="00CB533A"/>
    <w:rsid w:val="00CB621E"/>
    <w:rsid w:val="00CC4E18"/>
    <w:rsid w:val="00CD22AC"/>
    <w:rsid w:val="00CE0B41"/>
    <w:rsid w:val="00CE6241"/>
    <w:rsid w:val="00CF1052"/>
    <w:rsid w:val="00D00B2B"/>
    <w:rsid w:val="00D0118F"/>
    <w:rsid w:val="00D10A66"/>
    <w:rsid w:val="00D1348B"/>
    <w:rsid w:val="00D16FAC"/>
    <w:rsid w:val="00D171BF"/>
    <w:rsid w:val="00D21CE6"/>
    <w:rsid w:val="00D241E7"/>
    <w:rsid w:val="00D24877"/>
    <w:rsid w:val="00D41045"/>
    <w:rsid w:val="00D568C9"/>
    <w:rsid w:val="00D63318"/>
    <w:rsid w:val="00D6355E"/>
    <w:rsid w:val="00D648E5"/>
    <w:rsid w:val="00D668A2"/>
    <w:rsid w:val="00D7105A"/>
    <w:rsid w:val="00D7220E"/>
    <w:rsid w:val="00D77E25"/>
    <w:rsid w:val="00D8250F"/>
    <w:rsid w:val="00D86BB3"/>
    <w:rsid w:val="00D91F4C"/>
    <w:rsid w:val="00D95C4C"/>
    <w:rsid w:val="00DA1975"/>
    <w:rsid w:val="00DA36ED"/>
    <w:rsid w:val="00DA7B69"/>
    <w:rsid w:val="00DB3543"/>
    <w:rsid w:val="00DC49CB"/>
    <w:rsid w:val="00DD02CB"/>
    <w:rsid w:val="00DD1BEC"/>
    <w:rsid w:val="00DD70F8"/>
    <w:rsid w:val="00DE34F1"/>
    <w:rsid w:val="00DE4A44"/>
    <w:rsid w:val="00DE59B0"/>
    <w:rsid w:val="00DE6160"/>
    <w:rsid w:val="00DE6A13"/>
    <w:rsid w:val="00DF13A0"/>
    <w:rsid w:val="00DF19EA"/>
    <w:rsid w:val="00DF4942"/>
    <w:rsid w:val="00E03CB6"/>
    <w:rsid w:val="00E050AC"/>
    <w:rsid w:val="00E07864"/>
    <w:rsid w:val="00E10939"/>
    <w:rsid w:val="00E12935"/>
    <w:rsid w:val="00E2125F"/>
    <w:rsid w:val="00E22922"/>
    <w:rsid w:val="00E244E1"/>
    <w:rsid w:val="00E26877"/>
    <w:rsid w:val="00E32E72"/>
    <w:rsid w:val="00E41247"/>
    <w:rsid w:val="00E4150C"/>
    <w:rsid w:val="00E41B3E"/>
    <w:rsid w:val="00E5025D"/>
    <w:rsid w:val="00E52F93"/>
    <w:rsid w:val="00E55173"/>
    <w:rsid w:val="00E61E9D"/>
    <w:rsid w:val="00E627B1"/>
    <w:rsid w:val="00E630A3"/>
    <w:rsid w:val="00E6403D"/>
    <w:rsid w:val="00E648CB"/>
    <w:rsid w:val="00E656A7"/>
    <w:rsid w:val="00E65C8F"/>
    <w:rsid w:val="00E6691C"/>
    <w:rsid w:val="00E70169"/>
    <w:rsid w:val="00E776E9"/>
    <w:rsid w:val="00E831CA"/>
    <w:rsid w:val="00E9376C"/>
    <w:rsid w:val="00E93AE4"/>
    <w:rsid w:val="00E957F6"/>
    <w:rsid w:val="00E95AE2"/>
    <w:rsid w:val="00E97256"/>
    <w:rsid w:val="00E9782A"/>
    <w:rsid w:val="00EA0F20"/>
    <w:rsid w:val="00EA2D80"/>
    <w:rsid w:val="00EA335E"/>
    <w:rsid w:val="00EA528C"/>
    <w:rsid w:val="00EA580C"/>
    <w:rsid w:val="00EA72CE"/>
    <w:rsid w:val="00EB003D"/>
    <w:rsid w:val="00EC3AFD"/>
    <w:rsid w:val="00EC6F8D"/>
    <w:rsid w:val="00ED39B2"/>
    <w:rsid w:val="00ED3D1A"/>
    <w:rsid w:val="00ED79D8"/>
    <w:rsid w:val="00EE06F5"/>
    <w:rsid w:val="00EE4559"/>
    <w:rsid w:val="00EE49F4"/>
    <w:rsid w:val="00EF34E2"/>
    <w:rsid w:val="00F047EC"/>
    <w:rsid w:val="00F04FFC"/>
    <w:rsid w:val="00F11877"/>
    <w:rsid w:val="00F17A16"/>
    <w:rsid w:val="00F27CF9"/>
    <w:rsid w:val="00F30DC6"/>
    <w:rsid w:val="00F31F96"/>
    <w:rsid w:val="00F32C23"/>
    <w:rsid w:val="00F3462F"/>
    <w:rsid w:val="00F3514B"/>
    <w:rsid w:val="00F425D6"/>
    <w:rsid w:val="00F4279B"/>
    <w:rsid w:val="00F44893"/>
    <w:rsid w:val="00F45052"/>
    <w:rsid w:val="00F47F60"/>
    <w:rsid w:val="00F50F1C"/>
    <w:rsid w:val="00F51755"/>
    <w:rsid w:val="00F53DE9"/>
    <w:rsid w:val="00F55B09"/>
    <w:rsid w:val="00F55CB3"/>
    <w:rsid w:val="00F576CB"/>
    <w:rsid w:val="00F61F85"/>
    <w:rsid w:val="00F658C3"/>
    <w:rsid w:val="00F66373"/>
    <w:rsid w:val="00F7035D"/>
    <w:rsid w:val="00F70CC5"/>
    <w:rsid w:val="00F71A02"/>
    <w:rsid w:val="00F727ED"/>
    <w:rsid w:val="00F9513D"/>
    <w:rsid w:val="00F978C2"/>
    <w:rsid w:val="00FA09A3"/>
    <w:rsid w:val="00FA0D63"/>
    <w:rsid w:val="00FC0DAE"/>
    <w:rsid w:val="00FC47AD"/>
    <w:rsid w:val="00FC70A3"/>
    <w:rsid w:val="00FD1226"/>
    <w:rsid w:val="00FD1860"/>
    <w:rsid w:val="00FD4B9F"/>
    <w:rsid w:val="00FD4BC8"/>
    <w:rsid w:val="00FD5FEE"/>
    <w:rsid w:val="00FE12DE"/>
    <w:rsid w:val="00FE6034"/>
    <w:rsid w:val="00FF2019"/>
    <w:rsid w:val="00FF4830"/>
    <w:rsid w:val="00FF5C5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rsid w:val="006D7FB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ParagraphedelisteCar"/>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styleId="Lienhypertexte">
    <w:name w:val="Hyperlink"/>
    <w:basedOn w:val="Policepardfaut"/>
    <w:uiPriority w:val="99"/>
    <w:unhideWhenUsed/>
    <w:rsid w:val="004A38CF"/>
    <w:rPr>
      <w:color w:val="0000FF" w:themeColor="hyperlink"/>
      <w:u w:val="single"/>
    </w:rPr>
  </w:style>
  <w:style w:type="character" w:styleId="Mentionnonrsolue">
    <w:name w:val="Unresolved Mention"/>
    <w:basedOn w:val="Policepardfaut"/>
    <w:uiPriority w:val="99"/>
    <w:semiHidden/>
    <w:unhideWhenUsed/>
    <w:rsid w:val="004A38CF"/>
    <w:rPr>
      <w:color w:val="605E5C"/>
      <w:shd w:val="clear" w:color="auto" w:fill="E1DFDD"/>
    </w:rPr>
  </w:style>
  <w:style w:type="paragraph" w:customStyle="1" w:styleId="GAPara">
    <w:name w:val="GA Para"/>
    <w:qFormat/>
    <w:rsid w:val="002D679B"/>
    <w:pPr>
      <w:spacing w:after="120"/>
      <w:ind w:left="720" w:hanging="360"/>
    </w:pPr>
    <w:rPr>
      <w:rFonts w:ascii="Arial" w:eastAsia="Times New Roman" w:hAnsi="Arial" w:cs="Arial"/>
      <w:snapToGrid w:val="0"/>
      <w:sz w:val="22"/>
      <w:szCs w:val="22"/>
      <w:lang w:val="en-GB" w:eastAsia="en-US"/>
    </w:rPr>
  </w:style>
  <w:style w:type="character" w:customStyle="1" w:styleId="textview">
    <w:name w:val="textview"/>
    <w:basedOn w:val="Policepardfaut"/>
    <w:rsid w:val="00C04B01"/>
  </w:style>
  <w:style w:type="table" w:customStyle="1" w:styleId="TableGrid2">
    <w:name w:val="Table Grid2"/>
    <w:basedOn w:val="TableauNormal"/>
    <w:next w:val="Grilledutableau"/>
    <w:uiPriority w:val="59"/>
    <w:rsid w:val="00C04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C04B01"/>
    <w:rPr>
      <w:rFonts w:ascii="Times New Roman" w:eastAsia="Times New Roman" w:hAnsi="Times New Roman"/>
      <w:sz w:val="24"/>
      <w:szCs w:val="24"/>
    </w:rPr>
  </w:style>
  <w:style w:type="character" w:styleId="lev">
    <w:name w:val="Strong"/>
    <w:basedOn w:val="Policepardfaut"/>
    <w:uiPriority w:val="22"/>
    <w:qFormat/>
    <w:rsid w:val="009D215B"/>
    <w:rPr>
      <w:b/>
      <w:bCs/>
    </w:rPr>
  </w:style>
  <w:style w:type="character" w:customStyle="1" w:styleId="Titre3Car">
    <w:name w:val="Titre 3 Car"/>
    <w:basedOn w:val="Policepardfaut"/>
    <w:link w:val="Titre3"/>
    <w:uiPriority w:val="9"/>
    <w:semiHidden/>
    <w:rsid w:val="006D7FBE"/>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E22922"/>
    <w:rPr>
      <w:sz w:val="16"/>
      <w:szCs w:val="16"/>
    </w:rPr>
  </w:style>
  <w:style w:type="paragraph" w:styleId="Commentaire">
    <w:name w:val="annotation text"/>
    <w:basedOn w:val="Normal"/>
    <w:link w:val="CommentaireCar"/>
    <w:uiPriority w:val="99"/>
    <w:unhideWhenUsed/>
    <w:rsid w:val="00E22922"/>
    <w:rPr>
      <w:sz w:val="20"/>
      <w:szCs w:val="20"/>
    </w:rPr>
  </w:style>
  <w:style w:type="character" w:customStyle="1" w:styleId="CommentaireCar">
    <w:name w:val="Commentaire Car"/>
    <w:basedOn w:val="Policepardfaut"/>
    <w:link w:val="Commentaire"/>
    <w:uiPriority w:val="99"/>
    <w:rsid w:val="00E22922"/>
    <w:rPr>
      <w:rFonts w:ascii="Times New Roman" w:eastAsia="Times New Roman" w:hAnsi="Times New Roman"/>
    </w:rPr>
  </w:style>
  <w:style w:type="character" w:styleId="Lienhypertextesuivivisit">
    <w:name w:val="FollowedHyperlink"/>
    <w:basedOn w:val="Policepardfaut"/>
    <w:uiPriority w:val="99"/>
    <w:semiHidden/>
    <w:unhideWhenUsed/>
    <w:rsid w:val="000C00CA"/>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DD1BEC"/>
    <w:rPr>
      <w:b/>
      <w:bCs/>
    </w:rPr>
  </w:style>
  <w:style w:type="character" w:customStyle="1" w:styleId="ObjetducommentaireCar">
    <w:name w:val="Objet du commentaire Car"/>
    <w:basedOn w:val="CommentaireCar"/>
    <w:link w:val="Objetducommentaire"/>
    <w:uiPriority w:val="99"/>
    <w:semiHidden/>
    <w:rsid w:val="00DD1BEC"/>
    <w:rPr>
      <w:rFonts w:ascii="Times New Roman" w:eastAsia="Times New Roman" w:hAnsi="Times New Roman"/>
      <w:b/>
      <w:bCs/>
    </w:rPr>
  </w:style>
  <w:style w:type="paragraph" w:styleId="Rvision">
    <w:name w:val="Revision"/>
    <w:hidden/>
    <w:uiPriority w:val="99"/>
    <w:semiHidden/>
    <w:rsid w:val="00E776E9"/>
    <w:rPr>
      <w:rFonts w:ascii="Times New Roman" w:eastAsia="Times New Roman" w:hAnsi="Times New Roman"/>
      <w:sz w:val="24"/>
      <w:szCs w:val="24"/>
    </w:rPr>
  </w:style>
  <w:style w:type="character" w:customStyle="1" w:styleId="ui-provider">
    <w:name w:val="ui-provider"/>
    <w:basedOn w:val="Policepardfaut"/>
    <w:rsid w:val="0067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08396">
      <w:bodyDiv w:val="1"/>
      <w:marLeft w:val="0"/>
      <w:marRight w:val="0"/>
      <w:marTop w:val="0"/>
      <w:marBottom w:val="0"/>
      <w:divBdr>
        <w:top w:val="none" w:sz="0" w:space="0" w:color="auto"/>
        <w:left w:val="none" w:sz="0" w:space="0" w:color="auto"/>
        <w:bottom w:val="none" w:sz="0" w:space="0" w:color="auto"/>
        <w:right w:val="none" w:sz="0" w:space="0" w:color="auto"/>
      </w:divBdr>
      <w:divsChild>
        <w:div w:id="1035615774">
          <w:marLeft w:val="0"/>
          <w:marRight w:val="0"/>
          <w:marTop w:val="60"/>
          <w:marBottom w:val="3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7156654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schedule-of-statutory-meetings-in-2022-01237" TargetMode="External"/><Relationship Id="rId18" Type="http://schemas.openxmlformats.org/officeDocument/2006/relationships/hyperlink" Target="https://ich.unesco.org/en/Decisions/9.GA/9" TargetMode="External"/><Relationship Id="rId26" Type="http://schemas.openxmlformats.org/officeDocument/2006/relationships/hyperlink" Target="https://ich.unesco.org/doc/src/LHE-24-10.GA-8_EN.docx" TargetMode="External"/><Relationship Id="rId39" Type="http://schemas.openxmlformats.org/officeDocument/2006/relationships/hyperlink" Target="https://ich.unesco.org/en/seoul-vision-01330" TargetMode="External"/><Relationship Id="rId21" Type="http://schemas.openxmlformats.org/officeDocument/2006/relationships/hyperlink" Target="https://ich.unesco.org/doc/src/LHE-24-10.GA-7_EN.docx" TargetMode="External"/><Relationship Id="rId34" Type="http://schemas.openxmlformats.org/officeDocument/2006/relationships/hyperlink" Target="https://ich.unesco.org/en/decisions/18.COM/12" TargetMode="External"/><Relationship Id="rId42" Type="http://schemas.openxmlformats.org/officeDocument/2006/relationships/hyperlink" Target="https://unesdoc.unesco.org/ark:/48223/pf0000388995?posInSet=1&amp;queryId=bac1614c-87af-439e-8f80-730dd0527608" TargetMode="External"/><Relationship Id="rId47" Type="http://schemas.openxmlformats.org/officeDocument/2006/relationships/hyperlink" Target="https://unesdoc.unesco.org/ark:/48223/pf0000387426/PDF/387426eng.pdf.multi" TargetMode="External"/><Relationship Id="rId50" Type="http://schemas.openxmlformats.org/officeDocument/2006/relationships/hyperlink" Target="https://ich.unesco.org/en/decisions/18.COM/7.C"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doc/src/LHE-24-10.GA-INF.8_EN.docx" TargetMode="External"/><Relationship Id="rId17" Type="http://schemas.openxmlformats.org/officeDocument/2006/relationships/hyperlink" Target="https://ich.unesco.org/doc/src/LHE-24-10.GA-9_EN.docx" TargetMode="External"/><Relationship Id="rId25" Type="http://schemas.openxmlformats.org/officeDocument/2006/relationships/hyperlink" Target="https://ich.unesco.org/en/toolkit-for-requesting-international-assistance-01294" TargetMode="External"/><Relationship Id="rId33" Type="http://schemas.openxmlformats.org/officeDocument/2006/relationships/hyperlink" Target="https://ich.unesco.org/en/decisions/17.COM/13" TargetMode="External"/><Relationship Id="rId38" Type="http://schemas.openxmlformats.org/officeDocument/2006/relationships/hyperlink" Target="https://ich.unesco.org/doc/src/LHE-24-10.GA-10_EN.docx" TargetMode="External"/><Relationship Id="rId46" Type="http://schemas.openxmlformats.org/officeDocument/2006/relationships/hyperlink" Target="https://unesdoc.unesco.org/ark:/48223/pf0000388394" TargetMode="External"/><Relationship Id="rId2" Type="http://schemas.openxmlformats.org/officeDocument/2006/relationships/numbering" Target="numbering.xml"/><Relationship Id="rId16" Type="http://schemas.openxmlformats.org/officeDocument/2006/relationships/hyperlink" Target="https://ich.unesco.org/doc/src/LHE-24-10.GA-5_EN.docx" TargetMode="External"/><Relationship Id="rId20" Type="http://schemas.openxmlformats.org/officeDocument/2006/relationships/hyperlink" Target="https://ich.unesco.org/en/decisions/18.COM/11" TargetMode="External"/><Relationship Id="rId29" Type="http://schemas.openxmlformats.org/officeDocument/2006/relationships/hyperlink" Target="https://ich.unesco.org/en/Decisions/16.COM/12" TargetMode="External"/><Relationship Id="rId41" Type="http://schemas.openxmlformats.org/officeDocument/2006/relationships/hyperlink" Target="https://unesdoc.unesco.org/ark:/48223/pf0000389517"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INF.10_Rev.-EN.pdf" TargetMode="External"/><Relationship Id="rId24" Type="http://schemas.openxmlformats.org/officeDocument/2006/relationships/hyperlink" Target="https://ich.unesco.org/en/decisions/17.COM/11" TargetMode="External"/><Relationship Id="rId32" Type="http://schemas.openxmlformats.org/officeDocument/2006/relationships/hyperlink" Target="https://ich.unesco.org/en/decisions/16.COM/5.B" TargetMode="External"/><Relationship Id="rId37" Type="http://schemas.openxmlformats.org/officeDocument/2006/relationships/hyperlink" Target="https://ich.unesco.org/en/decisions/9.GA/7" TargetMode="External"/><Relationship Id="rId40" Type="http://schemas.openxmlformats.org/officeDocument/2006/relationships/hyperlink" Target="https://www.unesco.org/en/articles/unesco-world-conference-cultural-policies-and-sustainable-development-mondiacult-2022" TargetMode="External"/><Relationship Id="rId45" Type="http://schemas.openxmlformats.org/officeDocument/2006/relationships/hyperlink" Target="https://unesdoc.unesco.org/ark:/48223/pf0000260089"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en/Decisions/9.GA/12" TargetMode="External"/><Relationship Id="rId23" Type="http://schemas.openxmlformats.org/officeDocument/2006/relationships/hyperlink" Target="https://ich.unesco.org/en/Decisions/8.GA/9" TargetMode="External"/><Relationship Id="rId28" Type="http://schemas.openxmlformats.org/officeDocument/2006/relationships/hyperlink" Target="https://ich.unesco.org/en/massive-online-open-course-mooc-01228" TargetMode="External"/><Relationship Id="rId36" Type="http://schemas.openxmlformats.org/officeDocument/2006/relationships/hyperlink" Target="https://ich.unesco.org/en/Decisions/14.COM/15" TargetMode="External"/><Relationship Id="rId49" Type="http://schemas.openxmlformats.org/officeDocument/2006/relationships/hyperlink" Target="https://ich.unesco.org/en/decisions/17.COM/15" TargetMode="External"/><Relationship Id="rId57" Type="http://schemas.openxmlformats.org/officeDocument/2006/relationships/theme" Target="theme/theme1.xml"/><Relationship Id="rId10" Type="http://schemas.openxmlformats.org/officeDocument/2006/relationships/hyperlink" Target="https://ich.unesco.org/doc/src/Annex_II_10.GA_6_EN.docx" TargetMode="External"/><Relationship Id="rId19" Type="http://schemas.openxmlformats.org/officeDocument/2006/relationships/hyperlink" Target="https://ich.unesco.org/en/d%C3%A9cisions/17.COM/10" TargetMode="External"/><Relationship Id="rId31" Type="http://schemas.openxmlformats.org/officeDocument/2006/relationships/hyperlink" Target="https://ich.unesco.org/doc/src/LHE-24-10.GA-INF.8_EN.docx" TargetMode="External"/><Relationship Id="rId44" Type="http://schemas.openxmlformats.org/officeDocument/2006/relationships/hyperlink" Target="https://ich.unesco.org/doc/src/LHE-23-18.COM-7.c_Rev_EN.docx" TargetMode="External"/><Relationship Id="rId52" Type="http://schemas.openxmlformats.org/officeDocument/2006/relationships/hyperlink" Target="https://unesdoc.unesco.org/ark:/48223/pf0000389517" TargetMode="External"/><Relationship Id="rId4" Type="http://schemas.openxmlformats.org/officeDocument/2006/relationships/settings" Target="settings.xml"/><Relationship Id="rId9" Type="http://schemas.openxmlformats.org/officeDocument/2006/relationships/hyperlink" Target="https://unesdoc.unesco.org/ark:/48223/pf0000384853_eng" TargetMode="External"/><Relationship Id="rId14" Type="http://schemas.openxmlformats.org/officeDocument/2006/relationships/hyperlink" Target="https://ich.unesco.org/en/schedule-of-statutory-meetings-in-2023-01295" TargetMode="External"/><Relationship Id="rId22" Type="http://schemas.openxmlformats.org/officeDocument/2006/relationships/hyperlink" Target="https://ich.unesco.org/en/decisions/17.COM/15" TargetMode="External"/><Relationship Id="rId27" Type="http://schemas.openxmlformats.org/officeDocument/2006/relationships/hyperlink" Target="https://ich.unesco.org/doc/src/LHE-24-10.GA-INF.8_EN.docx" TargetMode="External"/><Relationship Id="rId30" Type="http://schemas.openxmlformats.org/officeDocument/2006/relationships/hyperlink" Target="https://www.unesco.org/en/frameworkcultureartseducation?hub=71580" TargetMode="External"/><Relationship Id="rId35" Type="http://schemas.openxmlformats.org/officeDocument/2006/relationships/hyperlink" Target="https://www.unesco.org/sites/default/files/medias/fichiers/2023/11/UNESCO_CALL_FOR_ACTION_NAPLES.pdf" TargetMode="External"/><Relationship Id="rId43" Type="http://schemas.openxmlformats.org/officeDocument/2006/relationships/hyperlink" Target="https://ich.unesco.org/en/decisions/18.COM/7.C" TargetMode="External"/><Relationship Id="rId48" Type="http://schemas.openxmlformats.org/officeDocument/2006/relationships/hyperlink" Target="https://ich.unesco.org/en/decisions/9.GA/6" TargetMode="External"/><Relationship Id="rId56" Type="http://schemas.openxmlformats.org/officeDocument/2006/relationships/fontTable" Target="fontTable.xml"/><Relationship Id="rId8" Type="http://schemas.openxmlformats.org/officeDocument/2006/relationships/hyperlink" Target="https://ich.unesco.org/en/decisions/9.GA/6" TargetMode="External"/><Relationship Id="rId51" Type="http://schemas.openxmlformats.org/officeDocument/2006/relationships/hyperlink" Target="https://unesdoc.unesco.org/ark:/48223/pf0000388394"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decisions/18.COM/7.B" TargetMode="External"/><Relationship Id="rId1" Type="http://schemas.openxmlformats.org/officeDocument/2006/relationships/hyperlink" Target="https://ich.unesco.org/en/decisions/17.COM/6.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347</TotalTime>
  <Pages>10</Pages>
  <Words>5185</Words>
  <Characters>28520</Characters>
  <Application>Microsoft Office Word</Application>
  <DocSecurity>0</DocSecurity>
  <Lines>237</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114</cp:revision>
  <cp:lastPrinted>2024-05-02T07:20:00Z</cp:lastPrinted>
  <dcterms:created xsi:type="dcterms:W3CDTF">2024-05-03T07:37:00Z</dcterms:created>
  <dcterms:modified xsi:type="dcterms:W3CDTF">2024-05-13T21:22:00Z</dcterms:modified>
</cp:coreProperties>
</file>