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6D3C" w14:textId="57659E73" w:rsidR="00655736" w:rsidRPr="00414643" w:rsidRDefault="0028305A" w:rsidP="00655736">
      <w:pPr>
        <w:bidi/>
        <w:spacing w:before="1440"/>
        <w:jc w:val="center"/>
        <w:rPr>
          <w:rFonts w:ascii="Arial" w:hAnsi="Arial" w:cs="Arial"/>
          <w:b/>
          <w:sz w:val="22"/>
          <w:szCs w:val="22"/>
          <w:rtl/>
        </w:rPr>
      </w:pPr>
      <w:r>
        <w:rPr>
          <w:rFonts w:ascii="Arial" w:hAnsi="Arial" w:hint="cs"/>
          <w:b/>
          <w:bCs/>
          <w:sz w:val="22"/>
          <w:szCs w:val="22"/>
          <w:rtl/>
        </w:rPr>
        <w:t xml:space="preserve"> اتفاقية صون التراث الثقافي غير المادي</w:t>
      </w:r>
    </w:p>
    <w:p w14:paraId="2CDB5643" w14:textId="77777777" w:rsidR="00655736" w:rsidRPr="00414643" w:rsidRDefault="00D95C4C" w:rsidP="00655736">
      <w:pPr>
        <w:bidi/>
        <w:spacing w:before="1200"/>
        <w:jc w:val="center"/>
        <w:rPr>
          <w:rFonts w:ascii="Arial" w:hAnsi="Arial" w:cs="Arial"/>
          <w:b/>
          <w:sz w:val="22"/>
          <w:szCs w:val="22"/>
          <w:rtl/>
        </w:rPr>
      </w:pPr>
      <w:r>
        <w:rPr>
          <w:rFonts w:ascii="Arial" w:hAnsi="Arial" w:hint="cs"/>
          <w:b/>
          <w:bCs/>
          <w:sz w:val="22"/>
          <w:szCs w:val="22"/>
          <w:rtl/>
        </w:rPr>
        <w:t>الجمعية العامة للدول الأطراف في الاتفاقية</w:t>
      </w:r>
    </w:p>
    <w:p w14:paraId="75891C68" w14:textId="462FD463" w:rsidR="00D95C4C" w:rsidRPr="00FD624F" w:rsidRDefault="00D4659C" w:rsidP="00D95C4C">
      <w:pPr>
        <w:bidi/>
        <w:spacing w:before="840"/>
        <w:jc w:val="center"/>
        <w:rPr>
          <w:rFonts w:ascii="Arial" w:hAnsi="Arial" w:cs="Arial"/>
          <w:b/>
          <w:sz w:val="22"/>
          <w:szCs w:val="22"/>
          <w:rtl/>
        </w:rPr>
      </w:pPr>
      <w:r w:rsidRPr="0095419A">
        <w:rPr>
          <w:rFonts w:ascii="Arial" w:hAnsi="Arial"/>
          <w:b/>
          <w:bCs/>
          <w:sz w:val="22"/>
          <w:szCs w:val="22"/>
          <w:rtl/>
        </w:rPr>
        <w:t>الدورة</w:t>
      </w:r>
      <w:r w:rsidDel="00D4659C">
        <w:rPr>
          <w:rFonts w:ascii="Arial" w:hAnsi="Arial" w:hint="cs"/>
          <w:b/>
          <w:bCs/>
          <w:sz w:val="22"/>
          <w:szCs w:val="22"/>
          <w:rtl/>
        </w:rPr>
        <w:t xml:space="preserve"> </w:t>
      </w:r>
      <w:r w:rsidR="003265D0">
        <w:rPr>
          <w:rFonts w:ascii="Arial" w:hAnsi="Arial" w:hint="cs"/>
          <w:b/>
          <w:bCs/>
          <w:sz w:val="22"/>
          <w:szCs w:val="22"/>
          <w:rtl/>
        </w:rPr>
        <w:t>التاسعة</w:t>
      </w:r>
    </w:p>
    <w:p w14:paraId="2813BA58" w14:textId="77777777" w:rsidR="00D95C4C" w:rsidRPr="00FD624F" w:rsidRDefault="00D95C4C" w:rsidP="00D95C4C">
      <w:pPr>
        <w:bidi/>
        <w:jc w:val="center"/>
        <w:rPr>
          <w:rFonts w:ascii="Arial" w:hAnsi="Arial" w:cs="Arial"/>
          <w:b/>
          <w:sz w:val="22"/>
          <w:szCs w:val="22"/>
          <w:rtl/>
        </w:rPr>
      </w:pPr>
      <w:r>
        <w:rPr>
          <w:rFonts w:ascii="Arial" w:hAnsi="Arial" w:hint="cs"/>
          <w:b/>
          <w:bCs/>
          <w:sz w:val="22"/>
          <w:szCs w:val="22"/>
          <w:rtl/>
        </w:rPr>
        <w:t>مقر اليونسكو، قاعة 1</w:t>
      </w:r>
    </w:p>
    <w:p w14:paraId="17E07F7D" w14:textId="33F3B382" w:rsidR="00655736" w:rsidRPr="00414643" w:rsidRDefault="003265D0" w:rsidP="00D95C4C">
      <w:pPr>
        <w:bidi/>
        <w:jc w:val="center"/>
        <w:rPr>
          <w:rFonts w:ascii="Arial" w:hAnsi="Arial" w:cs="Arial"/>
          <w:b/>
          <w:sz w:val="22"/>
          <w:szCs w:val="22"/>
          <w:rtl/>
        </w:rPr>
      </w:pPr>
      <w:r>
        <w:rPr>
          <w:rFonts w:ascii="Arial" w:hAnsi="Arial" w:hint="cs"/>
          <w:b/>
          <w:bCs/>
          <w:sz w:val="22"/>
          <w:szCs w:val="22"/>
          <w:rtl/>
        </w:rPr>
        <w:t xml:space="preserve">5 </w:t>
      </w:r>
      <w:r w:rsidR="00D4659C">
        <w:rPr>
          <w:rFonts w:ascii="Arial" w:hAnsi="Arial"/>
          <w:b/>
          <w:bCs/>
          <w:sz w:val="22"/>
          <w:szCs w:val="22"/>
        </w:rPr>
        <w:t>-</w:t>
      </w:r>
      <w:r w:rsidR="00D4659C">
        <w:rPr>
          <w:rFonts w:ascii="Arial" w:hAnsi="Arial" w:hint="cs"/>
          <w:b/>
          <w:bCs/>
          <w:sz w:val="22"/>
          <w:szCs w:val="22"/>
          <w:rtl/>
        </w:rPr>
        <w:t xml:space="preserve"> </w:t>
      </w:r>
      <w:r>
        <w:rPr>
          <w:rFonts w:ascii="Arial" w:hAnsi="Arial" w:hint="cs"/>
          <w:b/>
          <w:bCs/>
          <w:sz w:val="22"/>
          <w:szCs w:val="22"/>
          <w:rtl/>
        </w:rPr>
        <w:t>7 تموز/يوليو 2022</w:t>
      </w:r>
    </w:p>
    <w:p w14:paraId="1A8796C2" w14:textId="70BBD11A" w:rsidR="00655736" w:rsidRPr="00414643" w:rsidRDefault="00655736" w:rsidP="00655736">
      <w:pPr>
        <w:pStyle w:val="Sansinterligne2"/>
        <w:bidi/>
        <w:spacing w:before="1200"/>
        <w:jc w:val="center"/>
        <w:rPr>
          <w:rFonts w:ascii="Arial" w:hAnsi="Arial" w:cs="Arial"/>
          <w:b/>
          <w:sz w:val="22"/>
          <w:szCs w:val="22"/>
          <w:rtl/>
        </w:rPr>
      </w:pPr>
      <w:r w:rsidRPr="00A31A2E">
        <w:rPr>
          <w:rFonts w:ascii="Arial" w:hAnsi="Arial" w:hint="cs"/>
          <w:b/>
          <w:bCs/>
          <w:sz w:val="22"/>
          <w:szCs w:val="22"/>
          <w:u w:val="single"/>
          <w:rtl/>
        </w:rPr>
        <w:t xml:space="preserve">البند </w:t>
      </w:r>
      <w:r w:rsidR="00D4659C" w:rsidRPr="00A31A2E">
        <w:rPr>
          <w:rFonts w:ascii="Arial" w:hAnsi="Arial"/>
          <w:b/>
          <w:bCs/>
          <w:sz w:val="22"/>
          <w:szCs w:val="22"/>
          <w:u w:val="single"/>
        </w:rPr>
        <w:t>10</w:t>
      </w:r>
      <w:r w:rsidR="00D4659C" w:rsidRPr="00A31A2E">
        <w:rPr>
          <w:rFonts w:ascii="Arial" w:hAnsi="Arial" w:hint="cs"/>
          <w:b/>
          <w:bCs/>
          <w:sz w:val="22"/>
          <w:szCs w:val="22"/>
          <w:u w:val="single"/>
          <w:rtl/>
        </w:rPr>
        <w:t xml:space="preserve"> </w:t>
      </w:r>
      <w:r w:rsidRPr="00A31A2E">
        <w:rPr>
          <w:rFonts w:ascii="Arial" w:hAnsi="Arial" w:hint="cs"/>
          <w:b/>
          <w:bCs/>
          <w:sz w:val="22"/>
          <w:szCs w:val="22"/>
          <w:u w:val="single"/>
          <w:rtl/>
        </w:rPr>
        <w:t>من جدول</w:t>
      </w:r>
      <w:r>
        <w:rPr>
          <w:rFonts w:ascii="Arial" w:hAnsi="Arial" w:hint="cs"/>
          <w:b/>
          <w:bCs/>
          <w:sz w:val="22"/>
          <w:szCs w:val="22"/>
          <w:u w:val="single"/>
          <w:rtl/>
        </w:rPr>
        <w:t xml:space="preserve"> الأعمال المؤقت</w:t>
      </w:r>
      <w:r w:rsidR="00287AAB" w:rsidRPr="00287AAB">
        <w:rPr>
          <w:rFonts w:ascii="Arial" w:hAnsi="Arial"/>
          <w:b/>
          <w:bCs/>
          <w:sz w:val="22"/>
          <w:szCs w:val="22"/>
          <w:rtl/>
        </w:rPr>
        <w:t>:</w:t>
      </w:r>
    </w:p>
    <w:p w14:paraId="5EAF5ABB" w14:textId="3E9DE76D" w:rsidR="002F312A" w:rsidRPr="00414643" w:rsidRDefault="00177BAF" w:rsidP="002F312A">
      <w:pPr>
        <w:pStyle w:val="Sansinterligne2"/>
        <w:bidi/>
        <w:spacing w:after="1200"/>
        <w:jc w:val="center"/>
        <w:rPr>
          <w:rFonts w:ascii="Arial" w:hAnsi="Arial" w:cs="Arial"/>
          <w:b/>
          <w:sz w:val="22"/>
          <w:szCs w:val="22"/>
          <w:rtl/>
        </w:rPr>
      </w:pPr>
      <w:r>
        <w:rPr>
          <w:rFonts w:ascii="Arial" w:hAnsi="Arial" w:hint="cs"/>
          <w:b/>
          <w:bCs/>
          <w:sz w:val="22"/>
          <w:szCs w:val="22"/>
          <w:rtl/>
        </w:rPr>
        <w:t>استخدام موارد صندوق التراث الثقافي غير المادي</w:t>
      </w:r>
    </w:p>
    <w:tbl>
      <w:tblPr>
        <w:bidiVisual/>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177BAF" w14:paraId="796B6D01" w14:textId="77777777" w:rsidTr="002F312A">
        <w:trPr>
          <w:jc w:val="center"/>
        </w:trPr>
        <w:tc>
          <w:tcPr>
            <w:tcW w:w="5670" w:type="dxa"/>
            <w:vAlign w:val="center"/>
          </w:tcPr>
          <w:p w14:paraId="08389200" w14:textId="0CB27946" w:rsidR="0057439C" w:rsidRDefault="0057439C" w:rsidP="005B7A35">
            <w:pPr>
              <w:pStyle w:val="Sansinterligne1"/>
              <w:bidi/>
              <w:spacing w:before="200" w:after="200"/>
              <w:jc w:val="center"/>
              <w:rPr>
                <w:rFonts w:ascii="Arial" w:hAnsi="Arial" w:cs="Arial"/>
                <w:b/>
                <w:sz w:val="22"/>
                <w:szCs w:val="22"/>
                <w:rtl/>
              </w:rPr>
            </w:pPr>
            <w:r>
              <w:rPr>
                <w:rFonts w:ascii="Arial" w:hAnsi="Arial" w:hint="cs"/>
                <w:b/>
                <w:bCs/>
                <w:sz w:val="22"/>
                <w:szCs w:val="22"/>
                <w:rtl/>
              </w:rPr>
              <w:t xml:space="preserve"> ملخص</w:t>
            </w:r>
          </w:p>
          <w:p w14:paraId="35E324D2" w14:textId="643FF175" w:rsidR="00177BAF" w:rsidRPr="00177BAF" w:rsidRDefault="009046E5" w:rsidP="00177BAF">
            <w:pPr>
              <w:pStyle w:val="Sansinterligne1"/>
              <w:bidi/>
              <w:spacing w:before="200" w:after="200"/>
              <w:jc w:val="both"/>
              <w:rPr>
                <w:rFonts w:ascii="Arial" w:hAnsi="Arial" w:cs="Arial"/>
                <w:bCs/>
                <w:sz w:val="22"/>
                <w:szCs w:val="22"/>
                <w:rtl/>
              </w:rPr>
            </w:pPr>
            <w:r w:rsidRPr="00F368F4">
              <w:rPr>
                <w:rFonts w:ascii="Arial" w:hAnsi="Arial"/>
                <w:sz w:val="22"/>
                <w:szCs w:val="22"/>
                <w:rtl/>
              </w:rPr>
              <w:t xml:space="preserve">تقضي المادة 7 (جـ) من الاتفاقية بأن تتولّى اللجنة إعداد مشروع خطة لاستخدام موارد الصندوق وعرضه على الجمعية العامة لإقراره. وتعرض هذه الوثيقة مشروع الخطة الذي أوصت به اللجنة لفترة العامين </w:t>
            </w:r>
            <w:r w:rsidR="00177BAF">
              <w:rPr>
                <w:rFonts w:ascii="Arial" w:hAnsi="Arial" w:hint="cs"/>
                <w:sz w:val="22"/>
                <w:szCs w:val="22"/>
                <w:rtl/>
              </w:rPr>
              <w:t>2022-2023 والفصل الأول من عام 2024 (</w:t>
            </w:r>
            <w:r w:rsidRPr="00F368F4">
              <w:rPr>
                <w:rFonts w:ascii="Arial" w:hAnsi="Arial"/>
                <w:sz w:val="22"/>
                <w:szCs w:val="22"/>
                <w:rtl/>
              </w:rPr>
              <w:t>الملحق</w:t>
            </w:r>
            <w:r w:rsidR="00177BAF" w:rsidRPr="006B55AD">
              <w:rPr>
                <w:rFonts w:ascii="Arial" w:hAnsi="Arial" w:hint="cs"/>
                <w:sz w:val="22"/>
                <w:szCs w:val="22"/>
                <w:rtl/>
              </w:rPr>
              <w:t>).</w:t>
            </w:r>
          </w:p>
          <w:p w14:paraId="7D45CA36" w14:textId="741D6987" w:rsidR="00655736" w:rsidRPr="00414643" w:rsidRDefault="00FB6630" w:rsidP="005B7A35">
            <w:pPr>
              <w:pStyle w:val="Sansinterligne2"/>
              <w:bidi/>
              <w:spacing w:after="120"/>
              <w:jc w:val="both"/>
              <w:rPr>
                <w:rFonts w:ascii="Arial" w:hAnsi="Arial" w:cs="Arial"/>
                <w:b/>
                <w:sz w:val="22"/>
                <w:szCs w:val="22"/>
                <w:rtl/>
              </w:rPr>
            </w:pPr>
            <w:r>
              <w:rPr>
                <w:rFonts w:ascii="Arial" w:hAnsi="Arial" w:hint="cs"/>
                <w:b/>
                <w:bCs/>
                <w:sz w:val="22"/>
                <w:szCs w:val="22"/>
                <w:rtl/>
              </w:rPr>
              <w:t xml:space="preserve">المقرر </w:t>
            </w:r>
            <w:r w:rsidRPr="00A31A2E">
              <w:rPr>
                <w:rFonts w:ascii="Arial" w:hAnsi="Arial" w:hint="cs"/>
                <w:b/>
                <w:bCs/>
                <w:sz w:val="22"/>
                <w:szCs w:val="22"/>
                <w:rtl/>
              </w:rPr>
              <w:t xml:space="preserve">المطلوب: </w:t>
            </w:r>
            <w:r w:rsidRPr="00A31A2E">
              <w:rPr>
                <w:rFonts w:ascii="Arial" w:hAnsi="Arial" w:hint="cs"/>
                <w:sz w:val="22"/>
                <w:szCs w:val="22"/>
                <w:rtl/>
              </w:rPr>
              <w:t>الفقرة 40</w:t>
            </w:r>
          </w:p>
        </w:tc>
      </w:tr>
    </w:tbl>
    <w:p w14:paraId="2941B514" w14:textId="77777777" w:rsidR="00176720" w:rsidRDefault="00655736" w:rsidP="00176720">
      <w:pPr>
        <w:pStyle w:val="GAPara"/>
        <w:numPr>
          <w:ilvl w:val="0"/>
          <w:numId w:val="0"/>
        </w:numPr>
        <w:bidi/>
        <w:jc w:val="both"/>
        <w:rPr>
          <w:rtl/>
        </w:rPr>
      </w:pPr>
      <w:r>
        <w:rPr>
          <w:rFonts w:hint="cs"/>
          <w:rtl/>
        </w:rPr>
        <w:br w:type="page"/>
      </w:r>
    </w:p>
    <w:p w14:paraId="0166CB49" w14:textId="27665130" w:rsidR="00386714" w:rsidRDefault="00386714" w:rsidP="00691388">
      <w:pPr>
        <w:pStyle w:val="Heading4"/>
        <w:numPr>
          <w:ilvl w:val="0"/>
          <w:numId w:val="0"/>
        </w:numPr>
        <w:bidi/>
        <w:spacing w:after="120"/>
        <w:ind w:left="567"/>
        <w:rPr>
          <w:rtl/>
        </w:rPr>
      </w:pPr>
      <w:r>
        <w:rPr>
          <w:rFonts w:hint="cs"/>
          <w:rtl/>
        </w:rPr>
        <w:lastRenderedPageBreak/>
        <w:t>الخلفية</w:t>
      </w:r>
    </w:p>
    <w:p w14:paraId="58CC8187" w14:textId="7A63D4E1" w:rsidR="00176720" w:rsidRPr="00A31A2E" w:rsidRDefault="009046E5" w:rsidP="00C42C66">
      <w:pPr>
        <w:pStyle w:val="GAPara"/>
        <w:numPr>
          <w:ilvl w:val="0"/>
          <w:numId w:val="19"/>
        </w:numPr>
        <w:bidi/>
        <w:ind w:left="567" w:hanging="567"/>
        <w:jc w:val="both"/>
        <w:rPr>
          <w:rtl/>
        </w:rPr>
      </w:pPr>
      <w:r w:rsidRPr="00F368F4">
        <w:rPr>
          <w:rtl/>
        </w:rPr>
        <w:t xml:space="preserve">تقضي المادة 7 (جـ) من الاتفاقية بأن تتولّى اللجنة "إعداد مشروع لاستخدام موارد صندوق </w:t>
      </w:r>
      <w:r w:rsidRPr="00F368F4">
        <w:t>]</w:t>
      </w:r>
      <w:r w:rsidRPr="00F368F4">
        <w:rPr>
          <w:rtl/>
        </w:rPr>
        <w:t>التراث الثقافي غير المادي (المشار إليه فيما يلي بالصندوق)</w:t>
      </w:r>
      <w:r w:rsidRPr="00F368F4">
        <w:t>[</w:t>
      </w:r>
      <w:r w:rsidRPr="00F368F4">
        <w:rPr>
          <w:rtl/>
        </w:rPr>
        <w:t xml:space="preserve">، </w:t>
      </w:r>
      <w:r w:rsidRPr="00A31A2E">
        <w:rPr>
          <w:rtl/>
        </w:rPr>
        <w:t>وعرضه على الجمعية العامة لإقراره وفقاً للمادة 25"</w:t>
      </w:r>
      <w:r w:rsidRPr="00A31A2E">
        <w:t xml:space="preserve"> </w:t>
      </w:r>
      <w:r w:rsidRPr="00A31A2E">
        <w:rPr>
          <w:rtl/>
        </w:rPr>
        <w:t>من الاتفاقية. وقد أعِدَّ مشروع الخطة (المشار إليه فيما يلي بالخطة) الذي قدّمته اللجنة وفقاً</w:t>
      </w:r>
      <w:r w:rsidRPr="00A31A2E">
        <w:t xml:space="preserve"> </w:t>
      </w:r>
      <w:hyperlink r:id="rId8" w:history="1">
        <w:r w:rsidRPr="00A31A2E">
          <w:rPr>
            <w:rtl/>
          </w:rPr>
          <w:t>لقرار</w:t>
        </w:r>
      </w:hyperlink>
      <w:r w:rsidRPr="00A31A2E">
        <w:rPr>
          <w:sz w:val="28"/>
          <w:szCs w:val="28"/>
          <w:rtl/>
        </w:rPr>
        <w:t xml:space="preserve"> </w:t>
      </w:r>
      <w:hyperlink r:id="rId9" w:history="1">
        <w:r w:rsidR="006421D7" w:rsidRPr="00A31A2E">
          <w:rPr>
            <w:rStyle w:val="Hyperlink"/>
          </w:rPr>
          <w:t>16.</w:t>
        </w:r>
        <w:r w:rsidR="00D83AF2" w:rsidRPr="00A31A2E">
          <w:rPr>
            <w:rStyle w:val="Hyperlink"/>
          </w:rPr>
          <w:t>COM</w:t>
        </w:r>
        <w:r w:rsidR="00D83AF2">
          <w:rPr>
            <w:rStyle w:val="Hyperlink"/>
          </w:rPr>
          <w:t> </w:t>
        </w:r>
        <w:r w:rsidR="006421D7" w:rsidRPr="00A31A2E">
          <w:rPr>
            <w:rStyle w:val="Hyperlink"/>
          </w:rPr>
          <w:t>13</w:t>
        </w:r>
      </w:hyperlink>
      <w:r w:rsidR="006421D7" w:rsidRPr="00A31A2E">
        <w:rPr>
          <w:rFonts w:hint="cs"/>
          <w:rtl/>
        </w:rPr>
        <w:t xml:space="preserve"> والمرفق بهذه الوثيقة، وفقًا للمبادئ التوجيهية الواردة في الفقرتين 66 و67 من التوجيهات التنفيذية واستنادًا إلى تجربة تنفيذ الخطة </w:t>
      </w:r>
      <w:r w:rsidRPr="00A31A2E">
        <w:rPr>
          <w:rtl/>
        </w:rPr>
        <w:t>الخاصة</w:t>
      </w:r>
      <w:r w:rsidRPr="00A31A2E">
        <w:rPr>
          <w:rFonts w:hint="cs"/>
          <w:rtl/>
        </w:rPr>
        <w:t xml:space="preserve"> ب</w:t>
      </w:r>
      <w:r w:rsidR="006421D7" w:rsidRPr="00A31A2E">
        <w:rPr>
          <w:rFonts w:hint="cs"/>
          <w:rtl/>
        </w:rPr>
        <w:t>فترات السنتين السابقة. و</w:t>
      </w:r>
      <w:r w:rsidRPr="00A31A2E">
        <w:rPr>
          <w:rtl/>
        </w:rPr>
        <w:t>يرد</w:t>
      </w:r>
      <w:r w:rsidRPr="00A31A2E">
        <w:t xml:space="preserve"> </w:t>
      </w:r>
      <w:r w:rsidR="006421D7" w:rsidRPr="00A31A2E">
        <w:rPr>
          <w:rFonts w:hint="cs"/>
          <w:rtl/>
        </w:rPr>
        <w:t xml:space="preserve">التقرير السردي والمالي للفترة من 1 كانون الثاني/يناير 2020 إلى 31 كانون الأول/ديسمبر 2021، على النحو المطلوب بموجب المادة 10 من النظام المالي للصندوق، متاح في الوثيقة </w:t>
      </w:r>
      <w:hyperlink r:id="rId10" w:history="1">
        <w:r w:rsidR="006421D7" w:rsidRPr="00A31A2E">
          <w:rPr>
            <w:rStyle w:val="Hyperlink"/>
          </w:rPr>
          <w:t>LHE/22/9.GA/INF</w:t>
        </w:r>
        <w:r w:rsidR="006421D7" w:rsidRPr="00A31A2E">
          <w:rPr>
            <w:rStyle w:val="Hyperlink"/>
            <w:rFonts w:hint="cs"/>
          </w:rPr>
          <w:t>.10</w:t>
        </w:r>
      </w:hyperlink>
      <w:r w:rsidR="006421D7" w:rsidRPr="00A31A2E">
        <w:rPr>
          <w:rFonts w:hint="cs"/>
          <w:rtl/>
        </w:rPr>
        <w:t>.</w:t>
      </w:r>
    </w:p>
    <w:p w14:paraId="3891F9E6" w14:textId="62EAAE14" w:rsidR="00C42C66" w:rsidRPr="00637D32" w:rsidRDefault="009046E5" w:rsidP="0058266C">
      <w:pPr>
        <w:pStyle w:val="GAPara"/>
        <w:numPr>
          <w:ilvl w:val="0"/>
          <w:numId w:val="19"/>
        </w:numPr>
        <w:bidi/>
        <w:ind w:left="567" w:hanging="567"/>
        <w:jc w:val="both"/>
        <w:rPr>
          <w:rtl/>
        </w:rPr>
      </w:pPr>
      <w:r w:rsidRPr="00A31A2E">
        <w:rPr>
          <w:rtl/>
        </w:rPr>
        <w:t>وفقاً</w:t>
      </w:r>
      <w:r w:rsidRPr="00A31A2E" w:rsidDel="009046E5">
        <w:rPr>
          <w:rFonts w:hint="cs"/>
          <w:rtl/>
        </w:rPr>
        <w:t xml:space="preserve"> </w:t>
      </w:r>
      <w:r w:rsidRPr="00A31A2E">
        <w:rPr>
          <w:rtl/>
        </w:rPr>
        <w:t>للمادة</w:t>
      </w:r>
      <w:r w:rsidDel="009046E5">
        <w:rPr>
          <w:rFonts w:hint="cs"/>
          <w:rtl/>
        </w:rPr>
        <w:t xml:space="preserve"> </w:t>
      </w:r>
      <w:r w:rsidR="006421D7">
        <w:rPr>
          <w:rFonts w:hint="cs"/>
          <w:rtl/>
        </w:rPr>
        <w:t xml:space="preserve">2 من النظام المالي للصندوق على أنه: </w:t>
      </w:r>
      <w:r w:rsidR="006C0F2F" w:rsidRPr="00F368F4">
        <w:rPr>
          <w:rtl/>
        </w:rPr>
        <w:t>"</w:t>
      </w:r>
      <w:r w:rsidR="00DA4BAE" w:rsidRPr="00F368F4">
        <w:rPr>
          <w:rtl/>
        </w:rPr>
        <w:t>تقديرات الميزانية سنتان تقويميتان متتاليتان تنطلقان بسنة زوجية</w:t>
      </w:r>
      <w:r w:rsidR="00DA4BAE" w:rsidRPr="00F368F4">
        <w:t>.</w:t>
      </w:r>
      <w:r w:rsidR="006C0F2F" w:rsidRPr="00F368F4">
        <w:rPr>
          <w:rtl/>
        </w:rPr>
        <w:t>". غير أنّ الجمعية العامة للدول الأطراف في الاتفاقية تجتمع في دورات عادية خلال السنوات الزوجية، أي بعد بداية الفترة المالية بستة أشهر تقريباً. لذا يُطلب</w:t>
      </w:r>
      <w:r w:rsidR="006C0F2F" w:rsidRPr="006C0F2F">
        <w:rPr>
          <w:rFonts w:hint="cs"/>
          <w:rtl/>
        </w:rPr>
        <w:t xml:space="preserve"> </w:t>
      </w:r>
      <w:r w:rsidR="006C0F2F">
        <w:rPr>
          <w:rFonts w:hint="cs"/>
          <w:rtl/>
        </w:rPr>
        <w:t>إلى الدورة الحالية</w:t>
      </w:r>
      <w:r w:rsidR="006C0F2F" w:rsidRPr="00F368F4">
        <w:rPr>
          <w:rtl/>
        </w:rPr>
        <w:t xml:space="preserve"> </w:t>
      </w:r>
      <w:r w:rsidR="006C0F2F">
        <w:rPr>
          <w:rFonts w:hint="cs"/>
          <w:rtl/>
        </w:rPr>
        <w:t>للجمعية</w:t>
      </w:r>
      <w:r w:rsidR="006C0F2F" w:rsidRPr="00F368F4">
        <w:rPr>
          <w:rtl/>
        </w:rPr>
        <w:t xml:space="preserve"> أن توافق على خطة للفترة الممتدّة من </w:t>
      </w:r>
      <w:r w:rsidR="006421D7">
        <w:rPr>
          <w:rFonts w:hint="cs"/>
          <w:rtl/>
        </w:rPr>
        <w:t xml:space="preserve">1 كانون الثاني/يناير 2022 إلى 31 كانون الأول/ديسمبر 2023، </w:t>
      </w:r>
      <w:r w:rsidR="006C0F2F" w:rsidRPr="00F368F4">
        <w:rPr>
          <w:rtl/>
        </w:rPr>
        <w:t xml:space="preserve">كما تشمل على أساس مؤقت الأشهر الستة الأولى من الفترة المالية التالية، أي الفترة الممتدة </w:t>
      </w:r>
      <w:r w:rsidR="006421D7">
        <w:rPr>
          <w:rFonts w:hint="cs"/>
          <w:rtl/>
        </w:rPr>
        <w:t xml:space="preserve">من 1 كانون الثاني/يناير 2024 إلى 30 حزيران/يونيو 2024. وستحل هذه الخطة محل الميزانية المؤقتة للفصل الأول من عام 2022 التي اعتمدتها الدورة الثامنة للجمعية العامة (القرار </w:t>
      </w:r>
      <w:hyperlink r:id="rId11" w:history="1">
        <w:r w:rsidR="006421D7" w:rsidRPr="00601665">
          <w:rPr>
            <w:rStyle w:val="Hyperlink"/>
            <w:rFonts w:hint="cs"/>
          </w:rPr>
          <w:t>8.</w:t>
        </w:r>
        <w:r w:rsidR="00D83AF2" w:rsidRPr="00601665">
          <w:rPr>
            <w:rStyle w:val="Hyperlink"/>
          </w:rPr>
          <w:t>GA</w:t>
        </w:r>
        <w:r w:rsidR="00D83AF2">
          <w:rPr>
            <w:rStyle w:val="Hyperlink"/>
          </w:rPr>
          <w:t> </w:t>
        </w:r>
        <w:r w:rsidR="006421D7" w:rsidRPr="00601665">
          <w:rPr>
            <w:rStyle w:val="Hyperlink"/>
          </w:rPr>
          <w:t>7</w:t>
        </w:r>
      </w:hyperlink>
      <w:r w:rsidR="006421D7">
        <w:rPr>
          <w:rFonts w:hint="cs"/>
          <w:rtl/>
        </w:rPr>
        <w:t>) بمجرد أن تعتمدها الدورة الحالية للجمعية العامة.</w:t>
      </w:r>
    </w:p>
    <w:p w14:paraId="54F0E3DF" w14:textId="483BB46A" w:rsidR="00154871" w:rsidRPr="00A25ADB" w:rsidRDefault="00154871" w:rsidP="00154871">
      <w:pPr>
        <w:pStyle w:val="COMPara"/>
        <w:numPr>
          <w:ilvl w:val="0"/>
          <w:numId w:val="19"/>
        </w:numPr>
        <w:tabs>
          <w:tab w:val="left" w:pos="567"/>
        </w:tabs>
        <w:bidi/>
        <w:ind w:left="567" w:hanging="567"/>
        <w:jc w:val="both"/>
        <w:rPr>
          <w:bCs/>
          <w:rtl/>
        </w:rPr>
      </w:pPr>
      <w:r>
        <w:rPr>
          <w:rFonts w:hint="cs"/>
          <w:rtl/>
        </w:rPr>
        <w:t>وفي نهاية عام 2021، بلغ رصيد الصندوق المتاح لأنشطة البرنامج</w:t>
      </w:r>
      <w:r w:rsidR="004D0007">
        <w:t xml:space="preserve">653 </w:t>
      </w:r>
      <w:r w:rsidR="004D0007">
        <w:rPr>
          <w:rFonts w:hint="cs"/>
          <w:rtl/>
        </w:rPr>
        <w:t>،</w:t>
      </w:r>
      <w:r w:rsidR="004D0007">
        <w:t>732</w:t>
      </w:r>
      <w:r w:rsidR="004D0007">
        <w:rPr>
          <w:rFonts w:hint="cs"/>
          <w:rtl/>
        </w:rPr>
        <w:t>،</w:t>
      </w:r>
      <w:r w:rsidR="004D0007">
        <w:t>8</w:t>
      </w:r>
      <w:r>
        <w:rPr>
          <w:rFonts w:hint="cs"/>
          <w:rtl/>
        </w:rPr>
        <w:t xml:space="preserve"> </w:t>
      </w:r>
      <w:r w:rsidR="004D0007" w:rsidRPr="009028B3">
        <w:rPr>
          <w:rtl/>
        </w:rPr>
        <w:t>دولاراً أمريكياً</w:t>
      </w:r>
      <w:r>
        <w:rPr>
          <w:rFonts w:hint="cs"/>
          <w:rtl/>
        </w:rPr>
        <w:t xml:space="preserve">، </w:t>
      </w:r>
      <w:r w:rsidR="006C0F2F" w:rsidRPr="00F368F4">
        <w:rPr>
          <w:rFonts w:hint="eastAsia"/>
          <w:rtl/>
        </w:rPr>
        <w:t>باستثناء</w:t>
      </w:r>
      <w:r w:rsidR="006C0F2F" w:rsidRPr="00F368F4">
        <w:rPr>
          <w:rtl/>
        </w:rPr>
        <w:t xml:space="preserve"> </w:t>
      </w:r>
      <w:r w:rsidR="006C0F2F" w:rsidRPr="00F368F4">
        <w:rPr>
          <w:rFonts w:hint="eastAsia"/>
          <w:rtl/>
        </w:rPr>
        <w:t>صندوق</w:t>
      </w:r>
      <w:r w:rsidR="006C0F2F" w:rsidRPr="00F368F4">
        <w:rPr>
          <w:rtl/>
        </w:rPr>
        <w:t xml:space="preserve"> </w:t>
      </w:r>
      <w:r w:rsidR="006C0F2F" w:rsidRPr="00F368F4">
        <w:rPr>
          <w:rFonts w:hint="eastAsia"/>
          <w:rtl/>
        </w:rPr>
        <w:t>الاحتياطي</w:t>
      </w:r>
      <w:r w:rsidR="006C0F2F" w:rsidRPr="00F368F4">
        <w:t>.</w:t>
      </w:r>
      <w:r w:rsidR="006C0F2F" w:rsidRPr="00F368F4">
        <w:rPr>
          <w:rtl/>
        </w:rPr>
        <w:t xml:space="preserve"> يُقترح أن تخصص الجمعية العامة</w:t>
      </w:r>
      <w:r w:rsidR="006C0F2F" w:rsidRPr="00F368F4" w:rsidDel="003614E5">
        <w:rPr>
          <w:rtl/>
        </w:rPr>
        <w:t xml:space="preserve"> </w:t>
      </w:r>
      <w:r w:rsidR="006C0F2F" w:rsidRPr="00F368F4">
        <w:rPr>
          <w:rtl/>
        </w:rPr>
        <w:t xml:space="preserve">الأموال في كل بند بحسب النسب المئوية للموارد الإجمالية المتوافرة، لا بحسب الأرقام المطلقة. </w:t>
      </w:r>
      <w:r w:rsidR="006C0F2F" w:rsidRPr="00F368F4">
        <w:rPr>
          <w:rFonts w:hint="eastAsia"/>
          <w:rtl/>
        </w:rPr>
        <w:t>وسيسمح</w:t>
      </w:r>
      <w:r w:rsidR="006C0F2F" w:rsidRPr="00F368F4">
        <w:rPr>
          <w:rtl/>
        </w:rPr>
        <w:t xml:space="preserve"> </w:t>
      </w:r>
      <w:r w:rsidR="006C0F2F" w:rsidRPr="00F368F4">
        <w:rPr>
          <w:rFonts w:hint="eastAsia"/>
          <w:rtl/>
        </w:rPr>
        <w:t>ذلك،</w:t>
      </w:r>
      <w:r w:rsidR="006C0F2F" w:rsidRPr="00F368F4">
        <w:rPr>
          <w:rtl/>
        </w:rPr>
        <w:t xml:space="preserve"> </w:t>
      </w:r>
      <w:r w:rsidR="006C0F2F" w:rsidRPr="00F368F4">
        <w:rPr>
          <w:rFonts w:hint="eastAsia"/>
          <w:rtl/>
        </w:rPr>
        <w:t>عند</w:t>
      </w:r>
      <w:r w:rsidR="006C0F2F" w:rsidRPr="00F368F4">
        <w:rPr>
          <w:rtl/>
        </w:rPr>
        <w:t xml:space="preserve"> </w:t>
      </w:r>
      <w:r w:rsidR="006C0F2F" w:rsidRPr="00F368F4">
        <w:rPr>
          <w:rFonts w:hint="eastAsia"/>
          <w:rtl/>
        </w:rPr>
        <w:t>الضرورة،</w:t>
      </w:r>
      <w:r w:rsidR="006C0F2F" w:rsidRPr="00F368F4">
        <w:rPr>
          <w:rtl/>
        </w:rPr>
        <w:t xml:space="preserve"> </w:t>
      </w:r>
      <w:r w:rsidR="006C0F2F" w:rsidRPr="00F368F4">
        <w:rPr>
          <w:rFonts w:hint="eastAsia"/>
          <w:rtl/>
        </w:rPr>
        <w:t>بتخصيص</w:t>
      </w:r>
      <w:r w:rsidR="006C0F2F" w:rsidRPr="00F368F4">
        <w:rPr>
          <w:rtl/>
        </w:rPr>
        <w:t xml:space="preserve"> المساهمات المقرّرة </w:t>
      </w:r>
      <w:r w:rsidR="006C0F2F" w:rsidRPr="00F368F4">
        <w:rPr>
          <w:rFonts w:hint="eastAsia"/>
          <w:rtl/>
        </w:rPr>
        <w:t>المستلمة</w:t>
      </w:r>
      <w:r w:rsidR="006C0F2F" w:rsidRPr="00F368F4">
        <w:rPr>
          <w:rtl/>
        </w:rPr>
        <w:t xml:space="preserve"> </w:t>
      </w:r>
      <w:r w:rsidR="006C0F2F" w:rsidRPr="00F368F4">
        <w:rPr>
          <w:rFonts w:hint="eastAsia"/>
          <w:rtl/>
        </w:rPr>
        <w:t>خلال</w:t>
      </w:r>
      <w:r w:rsidR="006C0F2F" w:rsidRPr="00F368F4">
        <w:rPr>
          <w:rtl/>
        </w:rPr>
        <w:t xml:space="preserve"> </w:t>
      </w:r>
      <w:r w:rsidR="006C0F2F" w:rsidRPr="00F368F4">
        <w:rPr>
          <w:rFonts w:hint="eastAsia"/>
          <w:rtl/>
        </w:rPr>
        <w:t>فترة</w:t>
      </w:r>
      <w:r w:rsidR="006C0F2F" w:rsidRPr="00F368F4">
        <w:rPr>
          <w:rtl/>
        </w:rPr>
        <w:t xml:space="preserve"> </w:t>
      </w:r>
      <w:r w:rsidR="006C0F2F" w:rsidRPr="00F368F4">
        <w:rPr>
          <w:rFonts w:hint="eastAsia"/>
          <w:rtl/>
        </w:rPr>
        <w:t>السنتين</w:t>
      </w:r>
      <w:r w:rsidR="006C0F2F" w:rsidRPr="00F368F4">
        <w:rPr>
          <w:rtl/>
        </w:rPr>
        <w:t xml:space="preserve"> </w:t>
      </w:r>
      <w:r w:rsidR="006C0F2F" w:rsidRPr="00F368F4">
        <w:rPr>
          <w:rFonts w:hint="eastAsia"/>
          <w:rtl/>
        </w:rPr>
        <w:t>لكل</w:t>
      </w:r>
      <w:r w:rsidR="006C0F2F" w:rsidRPr="00F368F4">
        <w:rPr>
          <w:rtl/>
        </w:rPr>
        <w:t xml:space="preserve"> </w:t>
      </w:r>
      <w:r w:rsidR="006C0F2F" w:rsidRPr="00F368F4">
        <w:rPr>
          <w:rFonts w:hint="eastAsia"/>
          <w:rtl/>
        </w:rPr>
        <w:t>بند</w:t>
      </w:r>
      <w:r w:rsidR="006C0F2F" w:rsidRPr="00F368F4">
        <w:rPr>
          <w:rtl/>
        </w:rPr>
        <w:t xml:space="preserve"> </w:t>
      </w:r>
      <w:r w:rsidR="006C0F2F" w:rsidRPr="00F368F4">
        <w:rPr>
          <w:rFonts w:hint="eastAsia"/>
          <w:rtl/>
        </w:rPr>
        <w:t>من</w:t>
      </w:r>
      <w:r w:rsidR="006C0F2F" w:rsidRPr="00F368F4">
        <w:rPr>
          <w:rtl/>
        </w:rPr>
        <w:t xml:space="preserve"> </w:t>
      </w:r>
      <w:r w:rsidR="006C0F2F" w:rsidRPr="00F368F4">
        <w:rPr>
          <w:rFonts w:hint="eastAsia"/>
          <w:rtl/>
        </w:rPr>
        <w:t>بنود</w:t>
      </w:r>
      <w:r w:rsidR="006C0F2F" w:rsidRPr="00F368F4">
        <w:rPr>
          <w:rtl/>
        </w:rPr>
        <w:t xml:space="preserve"> </w:t>
      </w:r>
      <w:r w:rsidR="006C0F2F" w:rsidRPr="00F368F4">
        <w:rPr>
          <w:rFonts w:hint="eastAsia"/>
          <w:rtl/>
        </w:rPr>
        <w:t>الميزانية</w:t>
      </w:r>
      <w:r w:rsidR="006C0F2F" w:rsidRPr="00F368F4">
        <w:rPr>
          <w:rtl/>
        </w:rPr>
        <w:t xml:space="preserve"> </w:t>
      </w:r>
      <w:r w:rsidR="006C0F2F" w:rsidRPr="00F368F4">
        <w:rPr>
          <w:rFonts w:hint="eastAsia"/>
          <w:rtl/>
        </w:rPr>
        <w:t>باتباع</w:t>
      </w:r>
      <w:r w:rsidR="006C0F2F" w:rsidRPr="00F368F4">
        <w:rPr>
          <w:rtl/>
        </w:rPr>
        <w:t xml:space="preserve"> </w:t>
      </w:r>
      <w:r w:rsidR="006C0F2F" w:rsidRPr="00F368F4">
        <w:rPr>
          <w:rFonts w:hint="eastAsia"/>
          <w:rtl/>
        </w:rPr>
        <w:t>النسب</w:t>
      </w:r>
      <w:r w:rsidR="006C0F2F" w:rsidRPr="00F368F4">
        <w:rPr>
          <w:rtl/>
        </w:rPr>
        <w:t xml:space="preserve"> </w:t>
      </w:r>
      <w:r w:rsidR="006C0F2F" w:rsidRPr="00F368F4">
        <w:rPr>
          <w:rFonts w:hint="eastAsia"/>
          <w:rtl/>
        </w:rPr>
        <w:t>المئوية</w:t>
      </w:r>
      <w:r w:rsidR="006C0F2F" w:rsidRPr="00F368F4">
        <w:rPr>
          <w:rtl/>
        </w:rPr>
        <w:t xml:space="preserve"> </w:t>
      </w:r>
      <w:r w:rsidR="006C0F2F" w:rsidRPr="00F368F4">
        <w:rPr>
          <w:rFonts w:hint="eastAsia"/>
          <w:rtl/>
        </w:rPr>
        <w:t>المعتمدة</w:t>
      </w:r>
      <w:r w:rsidR="006C0F2F" w:rsidRPr="00F368F4">
        <w:t>.</w:t>
      </w:r>
      <w:r w:rsidR="006C0F2F" w:rsidRPr="00F368F4">
        <w:rPr>
          <w:rtl/>
        </w:rPr>
        <w:t xml:space="preserve"> والغرض من ذلك هو تمكين اللجنة من استخدام أية مساهمات طوعية إضافية كبيرة غير مقيّدة بأغراض محدّدة (وفقاً لما تنص عليه المادة 27) قد يتم إيداعها في الصندوق خلال فترة العامين. كما يُقترح في الآن ذاته أن تأذن الجمعية العامة للجنة، مثلما فعلت في دوراتها السابقة، بأن تستخدم أية مساهمات من هذا النوع فور تلقيها، وذلك وفقاً للنسب المئوية المبينة في الخطة</w:t>
      </w:r>
      <w:r>
        <w:rPr>
          <w:rFonts w:hint="cs"/>
          <w:rtl/>
        </w:rPr>
        <w:t>.</w:t>
      </w:r>
    </w:p>
    <w:p w14:paraId="4498D7EA" w14:textId="6025164C" w:rsidR="00154871" w:rsidRPr="00A31A2E" w:rsidRDefault="006C0F2F" w:rsidP="00154871">
      <w:pPr>
        <w:pStyle w:val="COMPara"/>
        <w:numPr>
          <w:ilvl w:val="0"/>
          <w:numId w:val="19"/>
        </w:numPr>
        <w:tabs>
          <w:tab w:val="left" w:pos="567"/>
        </w:tabs>
        <w:bidi/>
        <w:ind w:left="567" w:hanging="567"/>
        <w:jc w:val="both"/>
        <w:rPr>
          <w:rtl/>
        </w:rPr>
      </w:pPr>
      <w:r w:rsidRPr="00F368F4">
        <w:rPr>
          <w:rtl/>
        </w:rPr>
        <w:t xml:space="preserve">ويُطلب كذلك أن تأذن الجمعية العامة للجنة بأن تستخدم أية مساهمات متعلّقة بمشاريع محدّدة فور تلقيها، شريطة أن </w:t>
      </w:r>
      <w:r w:rsidRPr="00A31A2E">
        <w:rPr>
          <w:rtl/>
        </w:rPr>
        <w:t>تكون هذه المشاريع ضمن نطاق أولويتي التمويل اللتين وافقت عليهما اللجنة</w:t>
      </w:r>
      <w:r w:rsidRPr="00A31A2E">
        <w:rPr>
          <w:sz w:val="28"/>
          <w:szCs w:val="28"/>
          <w:rtl/>
        </w:rPr>
        <w:t xml:space="preserve"> </w:t>
      </w:r>
      <w:r w:rsidR="00154871" w:rsidRPr="00A31A2E">
        <w:rPr>
          <w:rFonts w:hint="cs"/>
          <w:rtl/>
        </w:rPr>
        <w:t>للفترة 2022-2025 (</w:t>
      </w:r>
      <w:hyperlink r:id="rId12" w:history="1">
        <w:r w:rsidR="00C14305" w:rsidRPr="00A31A2E">
          <w:rPr>
            <w:rtl/>
          </w:rPr>
          <w:t>القرار</w:t>
        </w:r>
      </w:hyperlink>
      <w:r w:rsidR="00154871" w:rsidRPr="00A31A2E">
        <w:rPr>
          <w:rFonts w:hint="cs"/>
          <w:rtl/>
        </w:rPr>
        <w:t xml:space="preserve"> </w:t>
      </w:r>
      <w:hyperlink r:id="rId13" w:history="1">
        <w:r w:rsidR="00154871" w:rsidRPr="00A31A2E">
          <w:rPr>
            <w:rStyle w:val="Hyperlink"/>
          </w:rPr>
          <w:t>‎16.</w:t>
        </w:r>
        <w:r w:rsidR="00D83AF2" w:rsidRPr="00A31A2E">
          <w:rPr>
            <w:rStyle w:val="Hyperlink"/>
          </w:rPr>
          <w:t>COM </w:t>
        </w:r>
        <w:r w:rsidR="00154871" w:rsidRPr="00A31A2E">
          <w:rPr>
            <w:rStyle w:val="Hyperlink"/>
          </w:rPr>
          <w:t>12</w:t>
        </w:r>
      </w:hyperlink>
      <w:r w:rsidR="00154871" w:rsidRPr="00A31A2E">
        <w:rPr>
          <w:rtl/>
        </w:rPr>
        <w:t>):</w:t>
      </w:r>
      <w:r w:rsidR="00C14305" w:rsidRPr="00A31A2E">
        <w:rPr>
          <w:rtl/>
        </w:rPr>
        <w:t xml:space="preserve"> "تعزيز القدرات لصون التراث الثقافي غير المادي</w:t>
      </w:r>
      <w:r w:rsidR="004D0007" w:rsidRPr="00A31A2E">
        <w:t xml:space="preserve"> </w:t>
      </w:r>
      <w:r w:rsidR="004D0007" w:rsidRPr="00A31A2E">
        <w:rPr>
          <w:rFonts w:hint="eastAsia"/>
          <w:rtl/>
        </w:rPr>
        <w:t>باستخدام</w:t>
      </w:r>
      <w:r w:rsidR="004D0007" w:rsidRPr="00A31A2E">
        <w:rPr>
          <w:rtl/>
        </w:rPr>
        <w:t xml:space="preserve"> </w:t>
      </w:r>
      <w:r w:rsidR="004D0007" w:rsidRPr="00A31A2E">
        <w:rPr>
          <w:rFonts w:hint="eastAsia"/>
          <w:rtl/>
        </w:rPr>
        <w:t>نهج</w:t>
      </w:r>
      <w:r w:rsidR="004D0007" w:rsidRPr="00A31A2E">
        <w:rPr>
          <w:rtl/>
        </w:rPr>
        <w:t xml:space="preserve"> </w:t>
      </w:r>
      <w:r w:rsidR="004D0007" w:rsidRPr="00A31A2E">
        <w:rPr>
          <w:rFonts w:hint="eastAsia"/>
          <w:rtl/>
        </w:rPr>
        <w:t>متعددة</w:t>
      </w:r>
      <w:r w:rsidR="004D0007" w:rsidRPr="00A31A2E">
        <w:rPr>
          <w:rtl/>
        </w:rPr>
        <w:t xml:space="preserve"> </w:t>
      </w:r>
      <w:r w:rsidR="004D0007" w:rsidRPr="00A31A2E">
        <w:rPr>
          <w:rFonts w:hint="eastAsia"/>
          <w:rtl/>
        </w:rPr>
        <w:t>الوسائط</w:t>
      </w:r>
      <w:r w:rsidR="004D0007" w:rsidRPr="00A31A2E">
        <w:rPr>
          <w:rtl/>
        </w:rPr>
        <w:t xml:space="preserve"> </w:t>
      </w:r>
      <w:r w:rsidR="00C14305" w:rsidRPr="00A31A2E">
        <w:rPr>
          <w:rtl/>
        </w:rPr>
        <w:t>والمساهمة في التنمية المستدامة</w:t>
      </w:r>
      <w:r w:rsidR="00C14305" w:rsidRPr="00A31A2E">
        <w:t>"</w:t>
      </w:r>
      <w:r w:rsidR="00C14305" w:rsidRPr="00A31A2E">
        <w:rPr>
          <w:rtl/>
        </w:rPr>
        <w:t xml:space="preserve"> و</w:t>
      </w:r>
      <w:r w:rsidR="00C14305" w:rsidRPr="00A31A2E">
        <w:t>"</w:t>
      </w:r>
      <w:r w:rsidR="00C14305" w:rsidRPr="00A31A2E">
        <w:rPr>
          <w:rtl/>
        </w:rPr>
        <w:t>صون التراث الثقافي غير المادي في التعليم الرسمي وغير الرسمي</w:t>
      </w:r>
      <w:r w:rsidR="00C14305" w:rsidRPr="00A31A2E">
        <w:t>".</w:t>
      </w:r>
      <w:r w:rsidR="00C14305" w:rsidRPr="00A31A2E">
        <w:rPr>
          <w:rtl/>
        </w:rPr>
        <w:t xml:space="preserve"> وترد قائمة المساهمات، بالإضافة إلى المساهمات الطوعية الإضافية الأخرى والمانحين، في وثيقة المعلومات</w:t>
      </w:r>
      <w:r w:rsidR="00C14305" w:rsidRPr="00A31A2E">
        <w:rPr>
          <w:sz w:val="28"/>
          <w:szCs w:val="28"/>
          <w:rtl/>
        </w:rPr>
        <w:t xml:space="preserve"> </w:t>
      </w:r>
      <w:hyperlink r:id="rId14" w:history="1">
        <w:r w:rsidR="00154871" w:rsidRPr="00A31A2E">
          <w:rPr>
            <w:rStyle w:val="Hyperlink"/>
          </w:rPr>
          <w:t>LHE/22/9.GA/INF.10</w:t>
        </w:r>
      </w:hyperlink>
      <w:r w:rsidR="00601665" w:rsidRPr="00A31A2E">
        <w:rPr>
          <w:rFonts w:hint="cs"/>
          <w:rtl/>
        </w:rPr>
        <w:t>.</w:t>
      </w:r>
    </w:p>
    <w:p w14:paraId="532CCEEF" w14:textId="529E26E7" w:rsidR="00C42C66" w:rsidRDefault="00154871" w:rsidP="00154871">
      <w:pPr>
        <w:pStyle w:val="GAPara"/>
        <w:numPr>
          <w:ilvl w:val="0"/>
          <w:numId w:val="19"/>
        </w:numPr>
        <w:bidi/>
        <w:ind w:left="567" w:hanging="567"/>
        <w:jc w:val="both"/>
        <w:rPr>
          <w:rtl/>
        </w:rPr>
      </w:pPr>
      <w:r w:rsidRPr="00A31A2E">
        <w:rPr>
          <w:rFonts w:hint="cs"/>
          <w:rtl/>
        </w:rPr>
        <w:t>وتستهل هذه الوثيقة محتواها بتقديم لمحة عامة عن وضع الصندوق والاتجاهات الحالية، بما في ذلك معلومات مستكملة عن الصندوق</w:t>
      </w:r>
      <w:r>
        <w:rPr>
          <w:rFonts w:hint="cs"/>
          <w:rtl/>
        </w:rPr>
        <w:t xml:space="preserve"> الفرعي لتعزيز الموارد البشرية للأمانة منذ أن أعادت الجمعية العامة تقييم الهدف السنوي في عام 2020 (الجزء الأول</w:t>
      </w:r>
      <w:r w:rsidRPr="006B55AD">
        <w:rPr>
          <w:rFonts w:hint="cs"/>
          <w:rtl/>
          <w:lang w:bidi="ar-SA"/>
        </w:rPr>
        <w:t>).</w:t>
      </w:r>
      <w:r>
        <w:rPr>
          <w:rFonts w:hint="cs"/>
          <w:rtl/>
        </w:rPr>
        <w:t xml:space="preserve"> ثم تُعرض الخطة المقترحة لاستخدام موارد الصندوق للفترة 2022-2023 مع تقديم أساس المنطقي الموضَح لكل بند من بنود الميزانية (الجزء الثاني</w:t>
      </w:r>
      <w:r w:rsidRPr="006B55AD">
        <w:rPr>
          <w:rFonts w:hint="cs"/>
          <w:rtl/>
          <w:lang w:bidi="ar-SA"/>
        </w:rPr>
        <w:t>).</w:t>
      </w:r>
    </w:p>
    <w:p w14:paraId="5409B1E8" w14:textId="1522FEC8" w:rsidR="00733930" w:rsidRPr="00733930" w:rsidRDefault="00154871" w:rsidP="007670BA">
      <w:pPr>
        <w:pStyle w:val="Heading4"/>
        <w:bidi/>
        <w:spacing w:before="240" w:after="120"/>
        <w:ind w:left="567" w:hanging="425"/>
        <w:rPr>
          <w:rtl/>
        </w:rPr>
      </w:pPr>
      <w:r>
        <w:rPr>
          <w:rFonts w:hint="cs"/>
          <w:rtl/>
        </w:rPr>
        <w:t>الوضع والاتجاهات</w:t>
      </w:r>
    </w:p>
    <w:p w14:paraId="0C06ABA7" w14:textId="18476049" w:rsidR="00223669" w:rsidRPr="00DB375D" w:rsidRDefault="00223669" w:rsidP="00223669">
      <w:pPr>
        <w:pStyle w:val="GAPara"/>
        <w:numPr>
          <w:ilvl w:val="0"/>
          <w:numId w:val="19"/>
        </w:numPr>
        <w:bidi/>
        <w:ind w:left="567" w:hanging="567"/>
        <w:jc w:val="both"/>
        <w:rPr>
          <w:rtl/>
        </w:rPr>
      </w:pPr>
      <w:r>
        <w:rPr>
          <w:rFonts w:hint="cs"/>
          <w:rtl/>
        </w:rPr>
        <w:t xml:space="preserve">استنادًا إلى التقرير المذكور أعلاه للفترة من 1 كانون الثاني/يناير 2020 إلى 31 كانون الأول/ديسمبر 2021 وبعد تحليل الاتجاهات المبينة في الوثيقة </w:t>
      </w:r>
      <w:hyperlink r:id="rId15" w:history="1">
        <w:r>
          <w:rPr>
            <w:rStyle w:val="Hyperlink"/>
          </w:rPr>
          <w:t>LHE/21/16.COM/13</w:t>
        </w:r>
      </w:hyperlink>
      <w:r>
        <w:rPr>
          <w:rFonts w:hint="cs"/>
          <w:rtl/>
        </w:rPr>
        <w:t xml:space="preserve">، يصف هذا القسم تطور نفقات الصندوق </w:t>
      </w:r>
      <w:r w:rsidRPr="006F74CC">
        <w:rPr>
          <w:rFonts w:hint="cs"/>
          <w:rtl/>
        </w:rPr>
        <w:t>و</w:t>
      </w:r>
      <w:r w:rsidR="001115E9" w:rsidRPr="001115E9">
        <w:rPr>
          <w:rtl/>
        </w:rPr>
        <w:t>المساهمات</w:t>
      </w:r>
      <w:r>
        <w:rPr>
          <w:rFonts w:hint="cs"/>
          <w:rtl/>
        </w:rPr>
        <w:t xml:space="preserve"> المقررة حتى 31 كانون الأول/ديسمبر 2021.</w:t>
      </w:r>
    </w:p>
    <w:p w14:paraId="4DE98BC7" w14:textId="51F6BC1C" w:rsidR="00161372" w:rsidRPr="00116ABD" w:rsidRDefault="00161372" w:rsidP="007670BA">
      <w:pPr>
        <w:pStyle w:val="GAPara"/>
        <w:keepNext/>
        <w:numPr>
          <w:ilvl w:val="0"/>
          <w:numId w:val="0"/>
        </w:numPr>
        <w:bidi/>
        <w:spacing w:before="240"/>
        <w:ind w:firstLine="567"/>
        <w:jc w:val="both"/>
        <w:rPr>
          <w:rtl/>
        </w:rPr>
      </w:pPr>
      <w:r>
        <w:rPr>
          <w:rFonts w:hint="cs"/>
          <w:b/>
          <w:bCs/>
          <w:rtl/>
        </w:rPr>
        <w:t>النفقات</w:t>
      </w:r>
    </w:p>
    <w:p w14:paraId="323F889A" w14:textId="77D6867C" w:rsidR="009C6BA5" w:rsidRPr="007670BA" w:rsidRDefault="000A3903" w:rsidP="00B83D8C">
      <w:pPr>
        <w:pStyle w:val="GAPara"/>
        <w:numPr>
          <w:ilvl w:val="0"/>
          <w:numId w:val="19"/>
        </w:numPr>
        <w:bidi/>
        <w:ind w:left="567" w:hanging="567"/>
        <w:jc w:val="both"/>
        <w:rPr>
          <w:rtl/>
        </w:rPr>
      </w:pPr>
      <w:r>
        <w:rPr>
          <w:rFonts w:hint="cs"/>
          <w:rtl/>
        </w:rPr>
        <w:t xml:space="preserve">بعد ثلاث فترات متعاقبة من الفترات التي تمتد كلُ منها لسنتين شهدت خلالها نموًا مستمرًا، انخفضت النفقات من 5.4 ملايين </w:t>
      </w:r>
      <w:r w:rsidR="004D0007" w:rsidRPr="009028B3">
        <w:rPr>
          <w:rtl/>
        </w:rPr>
        <w:t>دولاراً أمريكياً</w:t>
      </w:r>
      <w:r>
        <w:rPr>
          <w:rFonts w:hint="cs"/>
          <w:rtl/>
        </w:rPr>
        <w:t xml:space="preserve"> في فترة السنتين 2018-2019 (بمعدل إنفاق بلغ </w:t>
      </w:r>
      <w:r w:rsidR="00A77CB5">
        <w:t>62,9</w:t>
      </w:r>
      <w:r>
        <w:rPr>
          <w:rFonts w:hint="cs"/>
          <w:rtl/>
        </w:rPr>
        <w:t xml:space="preserve">%) إلى 3.6 ملايين </w:t>
      </w:r>
      <w:r w:rsidR="004D0007" w:rsidRPr="009028B3">
        <w:rPr>
          <w:rtl/>
        </w:rPr>
        <w:t>دولاراً أمريكياً</w:t>
      </w:r>
      <w:r>
        <w:rPr>
          <w:rFonts w:hint="cs"/>
          <w:rtl/>
        </w:rPr>
        <w:t xml:space="preserve"> في فترة السنتين 2020-2021 (بمعدل إنفاق حقق نسبة </w:t>
      </w:r>
      <w:r w:rsidR="00A77CB5">
        <w:t>46,1</w:t>
      </w:r>
      <w:r>
        <w:rPr>
          <w:rFonts w:hint="cs"/>
          <w:rtl/>
        </w:rPr>
        <w:t>%</w:t>
      </w:r>
      <w:r w:rsidRPr="006B55AD">
        <w:rPr>
          <w:rFonts w:hint="cs"/>
          <w:rtl/>
          <w:lang w:bidi="ar-SA"/>
        </w:rPr>
        <w:t>).</w:t>
      </w:r>
      <w:r>
        <w:rPr>
          <w:rFonts w:hint="cs"/>
          <w:rtl/>
        </w:rPr>
        <w:t xml:space="preserve"> ويناظر ذلك تقريبًا مستوى الإنفاق، سواءً من حيث المعدل أو المبلغ الاسمي، الذي لوحظ خلال فترة السنتين 2017-</w:t>
      </w:r>
      <w:r w:rsidR="00A77CB5">
        <w:t>2016</w:t>
      </w:r>
      <w:r>
        <w:rPr>
          <w:rFonts w:hint="cs"/>
          <w:rtl/>
        </w:rPr>
        <w:t xml:space="preserve"> (انظر الشكل 1 أدناه</w:t>
      </w:r>
      <w:r w:rsidRPr="006B55AD">
        <w:rPr>
          <w:rFonts w:hint="cs"/>
          <w:rtl/>
          <w:lang w:bidi="ar-SA"/>
        </w:rPr>
        <w:t>).</w:t>
      </w:r>
    </w:p>
    <w:p w14:paraId="2A675AD5" w14:textId="4B7931FF" w:rsidR="00C87124" w:rsidRPr="007670BA" w:rsidRDefault="00B83D8C" w:rsidP="00B83D8C">
      <w:pPr>
        <w:pStyle w:val="GAPara"/>
        <w:numPr>
          <w:ilvl w:val="0"/>
          <w:numId w:val="19"/>
        </w:numPr>
        <w:bidi/>
        <w:ind w:left="567" w:hanging="567"/>
        <w:jc w:val="both"/>
        <w:rPr>
          <w:rtl/>
        </w:rPr>
      </w:pPr>
      <w:r>
        <w:rPr>
          <w:rFonts w:hint="cs"/>
          <w:rtl/>
        </w:rPr>
        <w:t xml:space="preserve"> ويرتبط هذا الانخفاض إلى حد كبير بآثار جائحة كوفيد-19، حيث تأثرت عمليات الأمانة وكذلك عمليات الدول الأطراف في جميع أنحاء العالم تأثرًا شديدًا خلال الفترة المشمولة بالتقرير. وتقود أزمة الصحة العالمية، </w:t>
      </w:r>
      <w:r w:rsidRPr="00F368F4">
        <w:rPr>
          <w:rFonts w:hint="eastAsia"/>
          <w:rtl/>
        </w:rPr>
        <w:t>بين</w:t>
      </w:r>
      <w:r w:rsidRPr="00F368F4">
        <w:rPr>
          <w:rtl/>
        </w:rPr>
        <w:t xml:space="preserve"> </w:t>
      </w:r>
      <w:r w:rsidRPr="00F368F4">
        <w:rPr>
          <w:rFonts w:hint="eastAsia"/>
          <w:rtl/>
        </w:rPr>
        <w:t>أمور</w:t>
      </w:r>
      <w:r w:rsidRPr="00F368F4">
        <w:rPr>
          <w:rtl/>
        </w:rPr>
        <w:t xml:space="preserve"> </w:t>
      </w:r>
      <w:r w:rsidRPr="00F368F4">
        <w:rPr>
          <w:rFonts w:hint="eastAsia"/>
          <w:rtl/>
        </w:rPr>
        <w:t>أخرى</w:t>
      </w:r>
      <w:r>
        <w:rPr>
          <w:rFonts w:hint="cs"/>
          <w:rtl/>
        </w:rPr>
        <w:t xml:space="preserve"> إلى ما يلي:</w:t>
      </w:r>
    </w:p>
    <w:p w14:paraId="60C96E2E" w14:textId="1396D7BC" w:rsidR="00C87124" w:rsidRPr="00A31A2E" w:rsidRDefault="001312F5" w:rsidP="00C87124">
      <w:pPr>
        <w:pStyle w:val="GAPara"/>
        <w:numPr>
          <w:ilvl w:val="0"/>
          <w:numId w:val="30"/>
        </w:numPr>
        <w:bidi/>
        <w:ind w:left="1134" w:hanging="567"/>
        <w:jc w:val="both"/>
        <w:rPr>
          <w:rtl/>
        </w:rPr>
      </w:pPr>
      <w:r>
        <w:rPr>
          <w:rFonts w:hint="cs"/>
          <w:rtl/>
        </w:rPr>
        <w:t xml:space="preserve">انخفاض في عدد طلبات المساعدة الدولية المقدمة من الدول الأطراف إلى جانب التأخير في بدء المشاريع المعتمدة (انظر الوثيقة </w:t>
      </w:r>
      <w:hyperlink r:id="rId16" w:history="1">
        <w:r>
          <w:rPr>
            <w:rStyle w:val="Hyperlink"/>
          </w:rPr>
          <w:t>LHE/21/16.COM/7.d</w:t>
        </w:r>
      </w:hyperlink>
      <w:r>
        <w:rPr>
          <w:rFonts w:hint="cs"/>
          <w:rtl/>
        </w:rPr>
        <w:t xml:space="preserve">)، وما يقابل ذلك من انخفاض في استخدام الأموال المخصصة للمساعدة الدولية في إطار </w:t>
      </w:r>
      <w:r w:rsidRPr="00A31A2E">
        <w:rPr>
          <w:rFonts w:hint="cs"/>
          <w:rtl/>
        </w:rPr>
        <w:t>البندين 1 و2 من الميزانية (انظر الفقرة 9 أدناه</w:t>
      </w:r>
      <w:r w:rsidRPr="00A31A2E">
        <w:rPr>
          <w:rFonts w:hint="cs"/>
          <w:rtl/>
          <w:lang w:bidi="ar-SA"/>
        </w:rPr>
        <w:t>).</w:t>
      </w:r>
    </w:p>
    <w:p w14:paraId="29AAFBDA" w14:textId="07467ADF" w:rsidR="00C87124" w:rsidRPr="007670BA" w:rsidRDefault="00C87124" w:rsidP="00C87124">
      <w:pPr>
        <w:pStyle w:val="GAPara"/>
        <w:numPr>
          <w:ilvl w:val="0"/>
          <w:numId w:val="30"/>
        </w:numPr>
        <w:bidi/>
        <w:ind w:left="1134" w:hanging="567"/>
        <w:jc w:val="both"/>
        <w:rPr>
          <w:rtl/>
        </w:rPr>
      </w:pPr>
      <w:r w:rsidRPr="00A31A2E">
        <w:rPr>
          <w:rFonts w:hint="cs"/>
          <w:rtl/>
        </w:rPr>
        <w:t xml:space="preserve">تأخير أو إرجاء عدة أنشطة مقررة في إطار البند 3 من الميزانية </w:t>
      </w:r>
      <w:r w:rsidRPr="00A31A2E">
        <w:rPr>
          <w:rtl/>
        </w:rPr>
        <w:t>"</w:t>
      </w:r>
      <w:r w:rsidR="004D0007" w:rsidRPr="00A31A2E">
        <w:rPr>
          <w:rFonts w:hint="eastAsia"/>
          <w:rtl/>
        </w:rPr>
        <w:t>ال</w:t>
      </w:r>
      <w:r w:rsidR="001115E9" w:rsidRPr="00A31A2E">
        <w:rPr>
          <w:rtl/>
        </w:rPr>
        <w:t xml:space="preserve">مهام </w:t>
      </w:r>
      <w:r w:rsidR="004D0007" w:rsidRPr="00A31A2E">
        <w:rPr>
          <w:rFonts w:hint="eastAsia"/>
          <w:rtl/>
        </w:rPr>
        <w:t>الأخر</w:t>
      </w:r>
      <w:r w:rsidR="002C12F2" w:rsidRPr="00A31A2E">
        <w:rPr>
          <w:rFonts w:hint="eastAsia"/>
          <w:rtl/>
        </w:rPr>
        <w:t>ى</w:t>
      </w:r>
      <w:r w:rsidR="004D0007" w:rsidRPr="00A31A2E">
        <w:rPr>
          <w:rtl/>
        </w:rPr>
        <w:t xml:space="preserve"> للجن</w:t>
      </w:r>
      <w:r w:rsidR="004D0007" w:rsidRPr="00A31A2E">
        <w:rPr>
          <w:rFonts w:hint="eastAsia"/>
          <w:rtl/>
        </w:rPr>
        <w:t>ة</w:t>
      </w:r>
      <w:r w:rsidRPr="00A31A2E">
        <w:rPr>
          <w:rtl/>
        </w:rPr>
        <w:t>"</w:t>
      </w:r>
      <w:r w:rsidRPr="00A31A2E">
        <w:rPr>
          <w:rFonts w:hint="cs"/>
          <w:rtl/>
        </w:rPr>
        <w:t xml:space="preserve"> (انظر المرفق </w:t>
      </w:r>
      <w:r w:rsidR="002C12F2" w:rsidRPr="00A31A2E">
        <w:t>V</w:t>
      </w:r>
      <w:r w:rsidR="002C12F2" w:rsidRPr="00A31A2E">
        <w:rPr>
          <w:rFonts w:hint="cs"/>
          <w:rtl/>
        </w:rPr>
        <w:t xml:space="preserve"> </w:t>
      </w:r>
      <w:r w:rsidRPr="00A31A2E">
        <w:rPr>
          <w:rFonts w:hint="cs"/>
          <w:rtl/>
        </w:rPr>
        <w:t xml:space="preserve">في الوثيقة </w:t>
      </w:r>
      <w:hyperlink r:id="rId17" w:history="1">
        <w:r w:rsidRPr="00A31A2E">
          <w:rPr>
            <w:rStyle w:val="Hyperlink"/>
          </w:rPr>
          <w:t>LHE/22/9.GA/INF.10</w:t>
        </w:r>
      </w:hyperlink>
      <w:r w:rsidR="0017251A" w:rsidRPr="006B55AD">
        <w:rPr>
          <w:rFonts w:hint="cs"/>
          <w:rtl/>
          <w:lang w:bidi="ar-SA"/>
        </w:rPr>
        <w:t>)</w:t>
      </w:r>
      <w:r w:rsidR="0017251A" w:rsidRPr="00FA770D">
        <w:rPr>
          <w:rFonts w:hint="cs"/>
          <w:rtl/>
        </w:rPr>
        <w:t>؛</w:t>
      </w:r>
      <w:r w:rsidR="001115E9">
        <w:rPr>
          <w:lang w:bidi="ar-SA"/>
        </w:rPr>
        <w:t xml:space="preserve"> </w:t>
      </w:r>
      <w:r w:rsidR="001115E9">
        <w:rPr>
          <w:rFonts w:hint="cs"/>
          <w:rtl/>
        </w:rPr>
        <w:t>و</w:t>
      </w:r>
    </w:p>
    <w:p w14:paraId="0B83237E" w14:textId="53DEB3CA" w:rsidR="00B83D8C" w:rsidRDefault="00C87124" w:rsidP="00A31A2E">
      <w:pPr>
        <w:pStyle w:val="GAPara"/>
        <w:keepNext/>
        <w:numPr>
          <w:ilvl w:val="0"/>
          <w:numId w:val="30"/>
        </w:numPr>
        <w:bidi/>
        <w:ind w:left="1134" w:hanging="567"/>
        <w:jc w:val="both"/>
        <w:rPr>
          <w:rtl/>
        </w:rPr>
      </w:pPr>
      <w:r>
        <w:rPr>
          <w:rFonts w:hint="cs"/>
          <w:rtl/>
        </w:rPr>
        <w:lastRenderedPageBreak/>
        <w:t>التحول إلى صيغة إلكترونية لعقد جميع الاجتماعات القانونية للجنة وهيئة التقييم في الفترة ما بين آذار/مارس 2020 وكانون الأول/ديسمبر 2021، مما يعني أن</w:t>
      </w:r>
      <w:r w:rsidR="0017251A">
        <w:rPr>
          <w:rFonts w:hint="cs"/>
          <w:rtl/>
        </w:rPr>
        <w:t>،</w:t>
      </w:r>
      <w:r w:rsidR="0017251A">
        <w:t xml:space="preserve"> </w:t>
      </w:r>
      <w:r w:rsidR="0017251A" w:rsidRPr="00F368F4">
        <w:rPr>
          <w:rFonts w:hint="eastAsia"/>
          <w:rtl/>
        </w:rPr>
        <w:t>بصرف</w:t>
      </w:r>
      <w:r w:rsidR="0017251A" w:rsidRPr="00F368F4">
        <w:rPr>
          <w:rtl/>
        </w:rPr>
        <w:t xml:space="preserve"> </w:t>
      </w:r>
      <w:r w:rsidR="0017251A" w:rsidRPr="00F368F4">
        <w:rPr>
          <w:rFonts w:hint="eastAsia"/>
          <w:rtl/>
        </w:rPr>
        <w:t>النظر</w:t>
      </w:r>
      <w:r w:rsidR="0017251A" w:rsidRPr="00F368F4">
        <w:rPr>
          <w:rtl/>
        </w:rPr>
        <w:t xml:space="preserve"> </w:t>
      </w:r>
      <w:r w:rsidR="0017251A" w:rsidRPr="00F368F4">
        <w:rPr>
          <w:rFonts w:hint="eastAsia"/>
          <w:rtl/>
        </w:rPr>
        <w:t>عن</w:t>
      </w:r>
      <w:r w:rsidR="0017251A" w:rsidRPr="00F368F4">
        <w:rPr>
          <w:rtl/>
        </w:rPr>
        <w:t xml:space="preserve"> </w:t>
      </w:r>
      <w:r w:rsidR="0017251A" w:rsidRPr="00F368F4">
        <w:rPr>
          <w:rFonts w:hint="eastAsia"/>
          <w:rtl/>
        </w:rPr>
        <w:t>التكاليف</w:t>
      </w:r>
      <w:r w:rsidR="0017251A" w:rsidRPr="00F368F4">
        <w:rPr>
          <w:rtl/>
        </w:rPr>
        <w:t xml:space="preserve"> </w:t>
      </w:r>
      <w:r w:rsidR="0017251A" w:rsidRPr="00F368F4">
        <w:rPr>
          <w:rFonts w:hint="eastAsia"/>
          <w:rtl/>
        </w:rPr>
        <w:t>الأخرى</w:t>
      </w:r>
      <w:r w:rsidR="0017251A" w:rsidRPr="00F368F4">
        <w:rPr>
          <w:rtl/>
        </w:rPr>
        <w:t xml:space="preserve"> </w:t>
      </w:r>
      <w:r w:rsidR="0017251A" w:rsidRPr="00F368F4">
        <w:rPr>
          <w:rFonts w:hint="eastAsia"/>
          <w:rtl/>
        </w:rPr>
        <w:t>المتكبدة</w:t>
      </w:r>
      <w:r w:rsidR="0017251A" w:rsidRPr="00F368F4">
        <w:rPr>
          <w:rtl/>
        </w:rPr>
        <w:t xml:space="preserve"> </w:t>
      </w:r>
      <w:r w:rsidR="0017251A" w:rsidRPr="00F368F4">
        <w:rPr>
          <w:rFonts w:hint="eastAsia"/>
          <w:rtl/>
        </w:rPr>
        <w:t>من</w:t>
      </w:r>
      <w:r w:rsidR="0017251A" w:rsidRPr="00F368F4">
        <w:rPr>
          <w:rtl/>
        </w:rPr>
        <w:t xml:space="preserve"> </w:t>
      </w:r>
      <w:r w:rsidR="0017251A" w:rsidRPr="00F368F4">
        <w:rPr>
          <w:rFonts w:hint="eastAsia"/>
          <w:rtl/>
        </w:rPr>
        <w:t>مصادر</w:t>
      </w:r>
      <w:r w:rsidR="0017251A" w:rsidRPr="00F368F4">
        <w:rPr>
          <w:rtl/>
        </w:rPr>
        <w:t xml:space="preserve"> </w:t>
      </w:r>
      <w:r w:rsidR="0017251A" w:rsidRPr="00F368F4">
        <w:rPr>
          <w:rFonts w:hint="eastAsia"/>
          <w:rtl/>
        </w:rPr>
        <w:t>أخرى</w:t>
      </w:r>
      <w:r w:rsidR="0017251A">
        <w:rPr>
          <w:rFonts w:hint="cs"/>
          <w:rtl/>
        </w:rPr>
        <w:t>،</w:t>
      </w:r>
      <w:r>
        <w:rPr>
          <w:rFonts w:hint="cs"/>
          <w:rtl/>
        </w:rPr>
        <w:t xml:space="preserve"> بنود الميزانية المخصصة لتغطية تكاليف سفر المشاركين (بنود الميزانية 4 و5 و6) لم تتأثر تقريبًا.</w:t>
      </w:r>
    </w:p>
    <w:p w14:paraId="2D5E730B" w14:textId="74085EA5" w:rsidR="004E6180" w:rsidRPr="00B83D8C" w:rsidRDefault="002511C9" w:rsidP="00D30FA6">
      <w:pPr>
        <w:pStyle w:val="GAPara"/>
        <w:numPr>
          <w:ilvl w:val="0"/>
          <w:numId w:val="0"/>
        </w:numPr>
        <w:bidi/>
        <w:ind w:left="567"/>
        <w:jc w:val="both"/>
        <w:rPr>
          <w:rtl/>
        </w:rPr>
      </w:pPr>
      <w:r>
        <w:rPr>
          <w:noProof/>
        </w:rPr>
        <w:drawing>
          <wp:inline distT="0" distB="0" distL="0" distR="0" wp14:anchorId="56D1E628" wp14:editId="2D092982">
            <wp:extent cx="5616000" cy="3215884"/>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6000" cy="3215884"/>
                    </a:xfrm>
                    <a:prstGeom prst="rect">
                      <a:avLst/>
                    </a:prstGeom>
                    <a:noFill/>
                  </pic:spPr>
                </pic:pic>
              </a:graphicData>
            </a:graphic>
          </wp:inline>
        </w:drawing>
      </w:r>
      <w:r w:rsidR="00776630">
        <w:rPr>
          <w:noProof/>
        </w:rPr>
        <w:t xml:space="preserve"> </w:t>
      </w:r>
      <w:r w:rsidR="00447095">
        <w:rPr>
          <w:rFonts w:hint="cs"/>
          <w:noProof/>
          <w:sz w:val="24"/>
          <w:szCs w:val="24"/>
          <w:rtl/>
        </w:rPr>
        <mc:AlternateContent>
          <mc:Choice Requires="wps">
            <w:drawing>
              <wp:inline distT="0" distB="0" distL="0" distR="0" wp14:anchorId="783F8C75" wp14:editId="6C8A3AF7">
                <wp:extent cx="5756275" cy="280134"/>
                <wp:effectExtent l="0" t="0" r="0" b="5715"/>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80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E471B" w14:textId="77777777" w:rsidR="00447095" w:rsidRDefault="00447095" w:rsidP="00447095">
                            <w:pPr>
                              <w:bidi/>
                              <w:spacing w:after="120"/>
                              <w:ind w:right="201"/>
                              <w:rPr>
                                <w:rFonts w:ascii="Arial" w:hAnsi="Arial" w:cs="Arial"/>
                                <w:sz w:val="16"/>
                                <w:szCs w:val="16"/>
                                <w:rtl/>
                              </w:rPr>
                            </w:pPr>
                            <w:r>
                              <w:rPr>
                                <w:rFonts w:ascii="Arial" w:hAnsi="Arial" w:hint="cs"/>
                                <w:b/>
                                <w:bCs/>
                                <w:sz w:val="16"/>
                                <w:szCs w:val="16"/>
                                <w:rtl/>
                              </w:rPr>
                              <w:t xml:space="preserve">شكل 1: </w:t>
                            </w:r>
                            <w:r>
                              <w:rPr>
                                <w:rFonts w:ascii="Arial" w:hAnsi="Arial" w:hint="cs"/>
                                <w:sz w:val="16"/>
                                <w:szCs w:val="16"/>
                                <w:rtl/>
                              </w:rPr>
                              <w:t>تطور</w:t>
                            </w:r>
                            <w:r>
                              <w:rPr>
                                <w:rFonts w:ascii="Arial" w:hAnsi="Arial" w:hint="cs"/>
                                <w:b/>
                                <w:bCs/>
                                <w:sz w:val="16"/>
                                <w:szCs w:val="16"/>
                                <w:rtl/>
                              </w:rPr>
                              <w:t xml:space="preserve"> </w:t>
                            </w:r>
                            <w:r>
                              <w:rPr>
                                <w:rFonts w:ascii="Arial" w:hAnsi="Arial" w:hint="cs"/>
                                <w:sz w:val="16"/>
                                <w:szCs w:val="16"/>
                                <w:rtl/>
                              </w:rPr>
                              <w:t>نفقات الصندوق</w:t>
                            </w:r>
                          </w:p>
                        </w:txbxContent>
                      </wps:txbx>
                      <wps:bodyPr rot="0" vert="horz" wrap="square" lIns="91440" tIns="45720" rIns="91440" bIns="45720" anchor="t" anchorCtr="0" upright="1">
                        <a:noAutofit/>
                      </wps:bodyPr>
                    </wps:wsp>
                  </a:graphicData>
                </a:graphic>
              </wp:inline>
            </w:drawing>
          </mc:Choice>
          <mc:Fallback>
            <w:pict>
              <v:shapetype w14:anchorId="783F8C75" id="_x0000_t202" coordsize="21600,21600" o:spt="202" path="m,l,21600r21600,l21600,xe">
                <v:stroke joinstyle="miter"/>
                <v:path gradientshapeok="t" o:connecttype="rect"/>
              </v:shapetype>
              <v:shape id="Zone de texte 10" o:spid="_x0000_s1026" type="#_x0000_t202" style="width:453.2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" stroked="f">
                <v:textbox>
                  <w:txbxContent>
                    <w:p w14:paraId="6F7E471B" w14:textId="77777777" w:rsidR="00447095" w:rsidRDefault="00447095" w:rsidP="00447095">
                      <w:pPr>
                        <w:bidi/>
                        <w:spacing w:after="120"/>
                        <w:ind w:right="201"/>
                        <w:rPr>
                          <w:rFonts w:ascii="Arial" w:hAnsi="Arial" w:cs="Arial"/>
                          <w:sz w:val="16"/>
                          <w:szCs w:val="16"/>
                          <w:rtl/>
                        </w:rPr>
                      </w:pPr>
                      <w:r>
                        <w:rPr>
                          <w:rFonts w:ascii="Arial" w:hAnsi="Arial" w:hint="cs"/>
                          <w:b/>
                          <w:bCs/>
                          <w:sz w:val="16"/>
                          <w:szCs w:val="16"/>
                          <w:rtl/>
                        </w:rPr>
                        <w:t xml:space="preserve">شكل 1: </w:t>
                      </w:r>
                      <w:r>
                        <w:rPr>
                          <w:rFonts w:ascii="Arial" w:hAnsi="Arial" w:hint="cs"/>
                          <w:sz w:val="16"/>
                          <w:szCs w:val="16"/>
                          <w:rtl/>
                        </w:rPr>
                        <w:t>تطور</w:t>
                      </w:r>
                      <w:r>
                        <w:rPr>
                          <w:rFonts w:ascii="Arial" w:hAnsi="Arial" w:hint="cs"/>
                          <w:b/>
                          <w:bCs/>
                          <w:sz w:val="16"/>
                          <w:szCs w:val="16"/>
                          <w:rtl/>
                        </w:rPr>
                        <w:t xml:space="preserve"> </w:t>
                      </w:r>
                      <w:r>
                        <w:rPr>
                          <w:rFonts w:ascii="Arial" w:hAnsi="Arial" w:hint="cs"/>
                          <w:sz w:val="16"/>
                          <w:szCs w:val="16"/>
                          <w:rtl/>
                        </w:rPr>
                        <w:t>نفقات الصندوق</w:t>
                      </w:r>
                    </w:p>
                  </w:txbxContent>
                </v:textbox>
                <w10:anchorlock/>
              </v:shape>
            </w:pict>
          </mc:Fallback>
        </mc:AlternateContent>
      </w:r>
    </w:p>
    <w:p w14:paraId="0226FA42" w14:textId="0FBD2FBE" w:rsidR="0073291C" w:rsidRPr="0069593F" w:rsidRDefault="00347210" w:rsidP="006C7D45">
      <w:pPr>
        <w:pStyle w:val="GAPara"/>
        <w:numPr>
          <w:ilvl w:val="0"/>
          <w:numId w:val="19"/>
        </w:numPr>
        <w:bidi/>
        <w:ind w:left="567" w:hanging="567"/>
        <w:jc w:val="both"/>
        <w:rPr>
          <w:rtl/>
        </w:rPr>
      </w:pPr>
      <w:r>
        <w:rPr>
          <w:rFonts w:hint="cs"/>
          <w:rtl/>
        </w:rPr>
        <w:t xml:space="preserve">يبين الشكل 2 (أدناه) نقصانًا في استغلال الأموال المخصصة للمساعدة الدولية، بما يناظر بنود الميزانية 1 و1-1 و2. وفي نهاية فترة السنتين 40 جيم/5 (2020-2021)، كان معدل الإنفاق لهذه البنود يمثل 44% مقابل 52% لفترة السنتين 2018-2019. وتجدر الإشارة إلى أنه حتى مع هذا الانخفاض، تظل النفقات المرتبطة بالمساعدة الدولية أعلى بكثير مما كانت عليه حتى عام 2017؛ فعلى سبيل المثال، بلغت النفقات 2.2 مليون </w:t>
      </w:r>
      <w:r w:rsidR="00AA31A7" w:rsidRPr="00F368F4">
        <w:rPr>
          <w:rtl/>
        </w:rPr>
        <w:t>دولاراً أمريكياً</w:t>
      </w:r>
      <w:r w:rsidR="00AA31A7" w:rsidRPr="00F644B6">
        <w:rPr>
          <w:sz w:val="28"/>
          <w:szCs w:val="28"/>
          <w:rtl/>
        </w:rPr>
        <w:t xml:space="preserve"> </w:t>
      </w:r>
      <w:r>
        <w:rPr>
          <w:rFonts w:hint="cs"/>
          <w:rtl/>
        </w:rPr>
        <w:t xml:space="preserve"> في الفترة 2020-2021 مقابل 1.3 مليون </w:t>
      </w:r>
      <w:r w:rsidR="00AA31A7" w:rsidRPr="00F368F4">
        <w:rPr>
          <w:rtl/>
        </w:rPr>
        <w:t>دولاراً أمريكياً</w:t>
      </w:r>
      <w:r w:rsidR="00AA31A7" w:rsidRPr="00F644B6">
        <w:rPr>
          <w:sz w:val="28"/>
          <w:szCs w:val="28"/>
          <w:rtl/>
        </w:rPr>
        <w:t xml:space="preserve"> </w:t>
      </w:r>
      <w:r>
        <w:rPr>
          <w:rFonts w:hint="cs"/>
          <w:rtl/>
        </w:rPr>
        <w:t xml:space="preserve"> في الفترة 2016-2017. واتسمت فترة السنتين أيضًا بانخفاض عدد الطلبات المقدمة من الدول الأطراف، من ثمانية وأربعين طلبًا سجلتها وعالجتها الأمانة في عامي 2018 و2019 إلى أربعة وثلاثين طلبًا في الفترة من 1 كانون الثاني/يناير 2020 إلى 31 كانون الأول/ديسمبر 2021. وخلال الفترة المشمولة بالتقرير، وافقت اللجنة ومكتبها على ستة عشر طلبًا للمساعدة الدولية، منها ثمانية في أفريقيا (43% من المبلغ الإجمالي للأموال الممنوحة في الفترة المشمولة بالتقرير) وأربعة في الدول الجزرية الصغيرة النامية.</w:t>
      </w:r>
    </w:p>
    <w:p w14:paraId="73B911C8" w14:textId="09D54412" w:rsidR="00447095" w:rsidRDefault="00853D04" w:rsidP="00A31A2E">
      <w:pPr>
        <w:pStyle w:val="GAPara"/>
        <w:numPr>
          <w:ilvl w:val="0"/>
          <w:numId w:val="0"/>
        </w:numPr>
        <w:bidi/>
        <w:spacing w:after="0"/>
        <w:ind w:left="567"/>
        <w:jc w:val="both"/>
        <w:rPr>
          <w:b/>
          <w:bCs/>
          <w:rtl/>
        </w:rPr>
      </w:pPr>
      <w:r>
        <w:rPr>
          <w:b/>
          <w:bCs/>
          <w:noProof/>
        </w:rPr>
        <w:drawing>
          <wp:anchor distT="0" distB="0" distL="114300" distR="114300" simplePos="0" relativeHeight="251687936" behindDoc="0" locked="0" layoutInCell="1" allowOverlap="1" wp14:anchorId="570D4A01" wp14:editId="704D3599">
            <wp:simplePos x="0" y="0"/>
            <wp:positionH relativeFrom="column">
              <wp:posOffset>2924</wp:posOffset>
            </wp:positionH>
            <wp:positionV relativeFrom="paragraph">
              <wp:posOffset>399</wp:posOffset>
            </wp:positionV>
            <wp:extent cx="6105658" cy="3158254"/>
            <wp:effectExtent l="0" t="0" r="0" b="4445"/>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7661" cy="3159290"/>
                    </a:xfrm>
                    <a:prstGeom prst="rect">
                      <a:avLst/>
                    </a:prstGeom>
                    <a:noFill/>
                  </pic:spPr>
                </pic:pic>
              </a:graphicData>
            </a:graphic>
            <wp14:sizeRelH relativeFrom="margin">
              <wp14:pctWidth>0</wp14:pctWidth>
            </wp14:sizeRelH>
            <wp14:sizeRelV relativeFrom="margin">
              <wp14:pctHeight>0</wp14:pctHeight>
            </wp14:sizeRelV>
          </wp:anchor>
        </w:drawing>
      </w:r>
      <w:r w:rsidR="00687075">
        <w:rPr>
          <w:rFonts w:hint="cs"/>
          <w:noProof/>
          <w:rtl/>
        </w:rPr>
        <mc:AlternateContent>
          <mc:Choice Requires="wps">
            <w:drawing>
              <wp:inline distT="0" distB="0" distL="0" distR="0" wp14:anchorId="6B80DA63" wp14:editId="796E940E">
                <wp:extent cx="5238750" cy="1404620"/>
                <wp:effectExtent l="0" t="0" r="0" b="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04620"/>
                        </a:xfrm>
                        <a:prstGeom prst="rect">
                          <a:avLst/>
                        </a:prstGeom>
                        <a:solidFill>
                          <a:srgbClr val="FFFFFF"/>
                        </a:solidFill>
                        <a:ln w="9525">
                          <a:noFill/>
                          <a:miter lim="800000"/>
                          <a:headEnd/>
                          <a:tailEnd/>
                        </a:ln>
                      </wps:spPr>
                      <wps:txbx>
                        <w:txbxContent>
                          <w:p w14:paraId="6EC82AEF" w14:textId="2A497522" w:rsidR="00447095" w:rsidRPr="000B21E2" w:rsidRDefault="00447095" w:rsidP="007670BA">
                            <w:pPr>
                              <w:bidi/>
                              <w:spacing w:after="120"/>
                              <w:ind w:right="198"/>
                              <w:rPr>
                                <w:rFonts w:ascii="Arial" w:hAnsi="Arial" w:cs="Arial"/>
                                <w:sz w:val="16"/>
                                <w:szCs w:val="16"/>
                                <w:rtl/>
                              </w:rPr>
                            </w:pPr>
                            <w:r>
                              <w:rPr>
                                <w:rFonts w:ascii="Arial" w:hAnsi="Arial" w:hint="cs"/>
                                <w:b/>
                                <w:bCs/>
                                <w:sz w:val="16"/>
                                <w:szCs w:val="16"/>
                                <w:rtl/>
                              </w:rPr>
                              <w:t xml:space="preserve">شكل 2: </w:t>
                            </w:r>
                            <w:r>
                              <w:rPr>
                                <w:rFonts w:ascii="Arial" w:hAnsi="Arial" w:hint="cs"/>
                                <w:sz w:val="16"/>
                                <w:szCs w:val="16"/>
                                <w:rtl/>
                              </w:rPr>
                              <w:t xml:space="preserve">معدل الإنفاق </w:t>
                            </w:r>
                            <w:r w:rsidR="00FA770D">
                              <w:rPr>
                                <w:rFonts w:ascii="Arial" w:hAnsi="Arial" w:hint="cs"/>
                                <w:sz w:val="16"/>
                                <w:szCs w:val="16"/>
                                <w:rtl/>
                              </w:rPr>
                              <w:t>ل</w:t>
                            </w:r>
                            <w:r>
                              <w:rPr>
                                <w:rFonts w:ascii="Arial" w:hAnsi="Arial" w:hint="cs"/>
                                <w:sz w:val="16"/>
                                <w:szCs w:val="16"/>
                                <w:rtl/>
                              </w:rPr>
                              <w:t xml:space="preserve">لمساعدة الدولية </w:t>
                            </w:r>
                            <w:r w:rsidR="00AA31A7">
                              <w:rPr>
                                <w:rFonts w:ascii="Arial" w:hAnsi="Arial" w:hint="cs"/>
                                <w:sz w:val="16"/>
                                <w:szCs w:val="16"/>
                                <w:rtl/>
                              </w:rPr>
                              <w:t>والتمهيدية</w:t>
                            </w:r>
                            <w:r w:rsidR="00AA31A7" w:rsidDel="00AA31A7">
                              <w:rPr>
                                <w:rFonts w:ascii="Arial" w:hAnsi="Arial" w:hint="cs"/>
                                <w:sz w:val="16"/>
                                <w:szCs w:val="16"/>
                                <w:rtl/>
                              </w:rPr>
                              <w:t xml:space="preserve"> </w:t>
                            </w:r>
                          </w:p>
                        </w:txbxContent>
                      </wps:txbx>
                      <wps:bodyPr rot="0" vert="horz" wrap="square" lIns="91440" tIns="45720" rIns="91440" bIns="45720" anchor="t" anchorCtr="0">
                        <a:spAutoFit/>
                      </wps:bodyPr>
                    </wps:wsp>
                  </a:graphicData>
                </a:graphic>
              </wp:inline>
            </w:drawing>
          </mc:Choice>
          <mc:Fallback>
            <w:pict>
              <v:shape w14:anchorId="6B80DA63" id="Zone de texte 2" o:spid="_x0000_s1027" type="#_x0000_t202" style="width:4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" stroked="f">
                <v:textbox style="mso-fit-shape-to-text:t">
                  <w:txbxContent>
                    <w:p w14:paraId="6EC82AEF" w14:textId="2A497522" w:rsidR="00447095" w:rsidRPr="000B21E2" w:rsidRDefault="00447095" w:rsidP="007670BA">
                      <w:pPr>
                        <w:bidi/>
                        <w:spacing w:after="120"/>
                        <w:ind w:right="198"/>
                        <w:rPr>
                          <w:rFonts w:ascii="Arial" w:hAnsi="Arial" w:cs="Arial"/>
                          <w:sz w:val="16"/>
                          <w:szCs w:val="16"/>
                          <w:rtl/>
                        </w:rPr>
                      </w:pPr>
                      <w:r>
                        <w:rPr>
                          <w:rFonts w:ascii="Arial" w:hAnsi="Arial" w:hint="cs"/>
                          <w:b/>
                          <w:bCs/>
                          <w:sz w:val="16"/>
                          <w:szCs w:val="16"/>
                          <w:rtl/>
                        </w:rPr>
                        <w:t xml:space="preserve">شكل 2: </w:t>
                      </w:r>
                      <w:r>
                        <w:rPr>
                          <w:rFonts w:ascii="Arial" w:hAnsi="Arial" w:hint="cs"/>
                          <w:sz w:val="16"/>
                          <w:szCs w:val="16"/>
                          <w:rtl/>
                        </w:rPr>
                        <w:t xml:space="preserve">معدل الإنفاق </w:t>
                      </w:r>
                      <w:r w:rsidR="00FA770D">
                        <w:rPr>
                          <w:rFonts w:ascii="Arial" w:hAnsi="Arial" w:hint="cs"/>
                          <w:sz w:val="16"/>
                          <w:szCs w:val="16"/>
                          <w:rtl/>
                        </w:rPr>
                        <w:t>ل</w:t>
                      </w:r>
                      <w:r>
                        <w:rPr>
                          <w:rFonts w:ascii="Arial" w:hAnsi="Arial" w:hint="cs"/>
                          <w:sz w:val="16"/>
                          <w:szCs w:val="16"/>
                          <w:rtl/>
                        </w:rPr>
                        <w:t xml:space="preserve">لمساعدة الدولية </w:t>
                      </w:r>
                      <w:r w:rsidR="00AA31A7">
                        <w:rPr>
                          <w:rFonts w:ascii="Arial" w:hAnsi="Arial" w:hint="cs"/>
                          <w:sz w:val="16"/>
                          <w:szCs w:val="16"/>
                          <w:rtl/>
                        </w:rPr>
                        <w:t>والتمهيدية</w:t>
                      </w:r>
                      <w:r w:rsidR="00AA31A7" w:rsidDel="00AA31A7">
                        <w:rPr>
                          <w:rFonts w:ascii="Arial" w:hAnsi="Arial" w:hint="cs"/>
                          <w:sz w:val="16"/>
                          <w:szCs w:val="16"/>
                          <w:rtl/>
                        </w:rPr>
                        <w:t xml:space="preserve"> </w:t>
                      </w:r>
                    </w:p>
                  </w:txbxContent>
                </v:textbox>
                <w10:anchorlock/>
              </v:shape>
            </w:pict>
          </mc:Fallback>
        </mc:AlternateContent>
      </w:r>
    </w:p>
    <w:p w14:paraId="107B2C19" w14:textId="382E715C" w:rsidR="00E7528A" w:rsidRPr="0004143A" w:rsidRDefault="00AA31A7" w:rsidP="007670BA">
      <w:pPr>
        <w:pStyle w:val="GAPara"/>
        <w:keepNext/>
        <w:numPr>
          <w:ilvl w:val="0"/>
          <w:numId w:val="0"/>
        </w:numPr>
        <w:bidi/>
        <w:spacing w:before="120"/>
        <w:ind w:firstLine="567"/>
        <w:jc w:val="both"/>
        <w:rPr>
          <w:rtl/>
        </w:rPr>
      </w:pPr>
      <w:r w:rsidRPr="00F368F4">
        <w:rPr>
          <w:b/>
          <w:bCs/>
          <w:rtl/>
        </w:rPr>
        <w:lastRenderedPageBreak/>
        <w:t>المساهمات</w:t>
      </w:r>
      <w:r w:rsidR="00E7528A">
        <w:rPr>
          <w:rFonts w:hint="cs"/>
          <w:b/>
          <w:bCs/>
          <w:rtl/>
        </w:rPr>
        <w:t xml:space="preserve"> المقررة</w:t>
      </w:r>
    </w:p>
    <w:p w14:paraId="09F0F29D" w14:textId="473F7679" w:rsidR="006811BB" w:rsidRDefault="00473021" w:rsidP="00065514">
      <w:pPr>
        <w:pStyle w:val="COMPara"/>
        <w:numPr>
          <w:ilvl w:val="0"/>
          <w:numId w:val="19"/>
        </w:numPr>
        <w:tabs>
          <w:tab w:val="left" w:pos="567"/>
        </w:tabs>
        <w:bidi/>
        <w:spacing w:before="120"/>
        <w:ind w:left="567" w:hanging="567"/>
        <w:jc w:val="both"/>
        <w:rPr>
          <w:rtl/>
        </w:rPr>
      </w:pPr>
      <w:r>
        <w:rPr>
          <w:rFonts w:hint="cs"/>
          <w:rtl/>
        </w:rPr>
        <w:t xml:space="preserve">تجدر الإشارة إلى أن </w:t>
      </w:r>
      <w:r w:rsidR="006F74CC" w:rsidRPr="00F368F4">
        <w:rPr>
          <w:b/>
          <w:bCs/>
          <w:rtl/>
        </w:rPr>
        <w:t>دفع</w:t>
      </w:r>
      <w:r>
        <w:rPr>
          <w:rFonts w:hint="cs"/>
          <w:b/>
          <w:bCs/>
          <w:rtl/>
        </w:rPr>
        <w:t xml:space="preserve"> </w:t>
      </w:r>
      <w:r w:rsidR="006F74CC" w:rsidRPr="00423664">
        <w:rPr>
          <w:b/>
          <w:bCs/>
          <w:rtl/>
        </w:rPr>
        <w:t>المساهمات</w:t>
      </w:r>
      <w:r>
        <w:rPr>
          <w:rFonts w:hint="cs"/>
          <w:rtl/>
        </w:rPr>
        <w:t xml:space="preserve"> التزامٌ يقع على عاتق جميع الدول الأطراف التي صدقت على الاتفاقية، وفقًا للمادة 26 منها. وبما أن الدول الأطراف تباشر حقوقًا وتتمتع بمزايا ممنوحة لها بموجب الاتفاقية، فمن المتوقع منها أيضًا أن تفي بالتزاماتها المقابلة في المقابل. وقد يؤدي عدم توافر النقدية الناجم عن التأخر في دفع </w:t>
      </w:r>
      <w:r w:rsidR="006F74CC" w:rsidRPr="00F368F4">
        <w:rPr>
          <w:rtl/>
        </w:rPr>
        <w:t>المساهمات</w:t>
      </w:r>
      <w:r>
        <w:rPr>
          <w:rFonts w:hint="cs"/>
          <w:rtl/>
        </w:rPr>
        <w:t xml:space="preserve"> المقررة إلى تأخير تنفيذ الأنشطة المتوقعة في الميزانية وبالتالي إلى الإضرار بها.</w:t>
      </w:r>
    </w:p>
    <w:p w14:paraId="0D2F53B6" w14:textId="50FF8BA5" w:rsidR="00473021" w:rsidRPr="00D74F01" w:rsidRDefault="00A81E3F">
      <w:pPr>
        <w:pStyle w:val="COMPara"/>
        <w:numPr>
          <w:ilvl w:val="0"/>
          <w:numId w:val="19"/>
        </w:numPr>
        <w:tabs>
          <w:tab w:val="left" w:pos="567"/>
        </w:tabs>
        <w:bidi/>
        <w:spacing w:before="120"/>
        <w:ind w:left="567" w:hanging="567"/>
        <w:jc w:val="both"/>
        <w:rPr>
          <w:rtl/>
        </w:rPr>
      </w:pPr>
      <w:r w:rsidRPr="00F368F4">
        <w:rPr>
          <w:rFonts w:hint="eastAsia"/>
          <w:rtl/>
        </w:rPr>
        <w:t>على</w:t>
      </w:r>
      <w:r w:rsidRPr="00F368F4">
        <w:rPr>
          <w:rtl/>
        </w:rPr>
        <w:t xml:space="preserve"> </w:t>
      </w:r>
      <w:r w:rsidRPr="00F368F4">
        <w:rPr>
          <w:rFonts w:hint="eastAsia"/>
          <w:rtl/>
        </w:rPr>
        <w:t>النحو</w:t>
      </w:r>
      <w:r w:rsidRPr="00F368F4">
        <w:rPr>
          <w:rtl/>
        </w:rPr>
        <w:t xml:space="preserve"> </w:t>
      </w:r>
      <w:r w:rsidRPr="00F368F4">
        <w:rPr>
          <w:rFonts w:hint="eastAsia"/>
          <w:rtl/>
        </w:rPr>
        <w:t>المبين</w:t>
      </w:r>
      <w:r w:rsidRPr="00F368F4">
        <w:rPr>
          <w:rtl/>
        </w:rPr>
        <w:t xml:space="preserve"> </w:t>
      </w:r>
      <w:r w:rsidRPr="00F368F4">
        <w:rPr>
          <w:rFonts w:hint="eastAsia"/>
          <w:rtl/>
        </w:rPr>
        <w:t>في</w:t>
      </w:r>
      <w:r w:rsidRPr="00F368F4">
        <w:rPr>
          <w:rtl/>
        </w:rPr>
        <w:t xml:space="preserve"> </w:t>
      </w:r>
      <w:hyperlink r:id="rId20" w:history="1">
        <w:r w:rsidRPr="00F368F4">
          <w:rPr>
            <w:rStyle w:val="Hyperlink"/>
            <w:rFonts w:hint="eastAsia"/>
            <w:rtl/>
          </w:rPr>
          <w:t>بيان</w:t>
        </w:r>
        <w:r w:rsidRPr="00F368F4">
          <w:rPr>
            <w:rStyle w:val="Hyperlink"/>
            <w:rtl/>
          </w:rPr>
          <w:t xml:space="preserve"> المساهمات </w:t>
        </w:r>
        <w:r w:rsidRPr="00F368F4">
          <w:rPr>
            <w:rStyle w:val="Hyperlink"/>
            <w:rFonts w:hint="eastAsia"/>
            <w:rtl/>
          </w:rPr>
          <w:t>المقدرة</w:t>
        </w:r>
        <w:r w:rsidRPr="00F368F4">
          <w:rPr>
            <w:rStyle w:val="Hyperlink"/>
            <w:rtl/>
          </w:rPr>
          <w:t xml:space="preserve"> </w:t>
        </w:r>
        <w:r w:rsidRPr="00F368F4">
          <w:rPr>
            <w:rStyle w:val="Hyperlink"/>
            <w:rFonts w:hint="eastAsia"/>
            <w:rtl/>
          </w:rPr>
          <w:t>للفترة</w:t>
        </w:r>
        <w:r w:rsidRPr="00F368F4">
          <w:rPr>
            <w:rStyle w:val="Hyperlink"/>
            <w:rtl/>
          </w:rPr>
          <w:t xml:space="preserve"> </w:t>
        </w:r>
        <w:r w:rsidRPr="00F368F4">
          <w:rPr>
            <w:rStyle w:val="Hyperlink"/>
            <w:rFonts w:hint="eastAsia"/>
            <w:rtl/>
          </w:rPr>
          <w:t>من</w:t>
        </w:r>
        <w:r w:rsidRPr="00F368F4">
          <w:rPr>
            <w:rStyle w:val="Hyperlink"/>
            <w:rtl/>
          </w:rPr>
          <w:t xml:space="preserve"> 1 </w:t>
        </w:r>
        <w:r w:rsidRPr="00F368F4">
          <w:rPr>
            <w:rStyle w:val="Hyperlink"/>
            <w:rFonts w:hint="eastAsia"/>
            <w:rtl/>
          </w:rPr>
          <w:t>كانون</w:t>
        </w:r>
        <w:r w:rsidRPr="00F368F4">
          <w:rPr>
            <w:rStyle w:val="Hyperlink"/>
            <w:rtl/>
          </w:rPr>
          <w:t xml:space="preserve"> </w:t>
        </w:r>
        <w:r w:rsidRPr="00F368F4">
          <w:rPr>
            <w:rStyle w:val="Hyperlink"/>
            <w:rFonts w:hint="eastAsia"/>
            <w:rtl/>
          </w:rPr>
          <w:t>الثاني</w:t>
        </w:r>
        <w:r w:rsidRPr="00F47297">
          <w:rPr>
            <w:rStyle w:val="Hyperlink"/>
          </w:rPr>
          <w:t>/</w:t>
        </w:r>
        <w:r w:rsidRPr="00F368F4">
          <w:rPr>
            <w:rStyle w:val="Hyperlink"/>
            <w:rFonts w:hint="eastAsia"/>
            <w:rtl/>
          </w:rPr>
          <w:t>يناير</w:t>
        </w:r>
        <w:r w:rsidRPr="00F368F4">
          <w:rPr>
            <w:rStyle w:val="Hyperlink"/>
            <w:rtl/>
          </w:rPr>
          <w:t xml:space="preserve"> 2020 </w:t>
        </w:r>
        <w:r w:rsidRPr="00F368F4">
          <w:rPr>
            <w:rStyle w:val="Hyperlink"/>
            <w:rFonts w:hint="eastAsia"/>
            <w:rtl/>
          </w:rPr>
          <w:t>إلى</w:t>
        </w:r>
        <w:r w:rsidRPr="00F368F4">
          <w:rPr>
            <w:rStyle w:val="Hyperlink"/>
            <w:rtl/>
          </w:rPr>
          <w:t xml:space="preserve"> 31 </w:t>
        </w:r>
        <w:r w:rsidRPr="00F368F4">
          <w:rPr>
            <w:rStyle w:val="Hyperlink"/>
            <w:rFonts w:hint="eastAsia"/>
            <w:rtl/>
          </w:rPr>
          <w:t>كانون</w:t>
        </w:r>
        <w:r w:rsidRPr="00F368F4">
          <w:rPr>
            <w:rStyle w:val="Hyperlink"/>
            <w:rtl/>
          </w:rPr>
          <w:t xml:space="preserve"> </w:t>
        </w:r>
        <w:r w:rsidRPr="00F368F4">
          <w:rPr>
            <w:rStyle w:val="Hyperlink"/>
            <w:rFonts w:hint="eastAsia"/>
            <w:rtl/>
          </w:rPr>
          <w:t>الأول</w:t>
        </w:r>
        <w:r w:rsidRPr="00F47297">
          <w:rPr>
            <w:rStyle w:val="Hyperlink"/>
          </w:rPr>
          <w:t>/</w:t>
        </w:r>
        <w:r w:rsidRPr="00F368F4">
          <w:rPr>
            <w:rStyle w:val="Hyperlink"/>
            <w:rFonts w:hint="eastAsia"/>
            <w:rtl/>
          </w:rPr>
          <w:t>ديسمبر</w:t>
        </w:r>
        <w:r w:rsidRPr="00F368F4">
          <w:rPr>
            <w:rStyle w:val="Hyperlink"/>
            <w:rtl/>
          </w:rPr>
          <w:t xml:space="preserve"> 2021</w:t>
        </w:r>
      </w:hyperlink>
      <w:r w:rsidR="00473021">
        <w:rPr>
          <w:rFonts w:hint="cs"/>
          <w:rtl/>
        </w:rPr>
        <w:t xml:space="preserve">، بلغت </w:t>
      </w:r>
      <w:r w:rsidR="006F74CC" w:rsidRPr="00423664">
        <w:rPr>
          <w:b/>
          <w:bCs/>
          <w:rtl/>
        </w:rPr>
        <w:t>المساهمات</w:t>
      </w:r>
      <w:r w:rsidR="00473021">
        <w:rPr>
          <w:rFonts w:hint="cs"/>
          <w:b/>
          <w:bCs/>
          <w:rtl/>
        </w:rPr>
        <w:t xml:space="preserve"> المقررة الإلزامية</w:t>
      </w:r>
      <w:r w:rsidR="00473021">
        <w:rPr>
          <w:rFonts w:hint="cs"/>
          <w:rtl/>
        </w:rPr>
        <w:t xml:space="preserve"> غير المسددة</w:t>
      </w:r>
      <w:r>
        <w:t xml:space="preserve"> </w:t>
      </w:r>
      <w:r w:rsidRPr="009028B3">
        <w:rPr>
          <w:rtl/>
        </w:rPr>
        <w:t>حتى 31 كانون الأول</w:t>
      </w:r>
      <w:r>
        <w:t>/</w:t>
      </w:r>
      <w:r w:rsidRPr="009028B3">
        <w:rPr>
          <w:rtl/>
        </w:rPr>
        <w:t>ديسمبر 2021</w:t>
      </w:r>
      <w:r>
        <w:rPr>
          <w:rFonts w:hint="cs"/>
          <w:rtl/>
        </w:rPr>
        <w:t>،</w:t>
      </w:r>
      <w:r w:rsidR="00473021">
        <w:rPr>
          <w:rFonts w:hint="cs"/>
          <w:rtl/>
        </w:rPr>
        <w:t xml:space="preserve"> 409</w:t>
      </w:r>
      <w:r w:rsidR="00FA770D">
        <w:rPr>
          <w:rFonts w:hint="cs"/>
          <w:rtl/>
        </w:rPr>
        <w:t>،</w:t>
      </w:r>
      <w:r w:rsidR="00473021">
        <w:rPr>
          <w:rFonts w:hint="cs"/>
          <w:rtl/>
        </w:rPr>
        <w:t>948</w:t>
      </w:r>
      <w:r w:rsidRPr="00F368F4">
        <w:rPr>
          <w:rtl/>
        </w:rPr>
        <w:t xml:space="preserve"> </w:t>
      </w:r>
      <w:r w:rsidR="00473021">
        <w:rPr>
          <w:rFonts w:hint="cs"/>
          <w:rtl/>
        </w:rPr>
        <w:t>دولارًا أمريكيًا (مقابل</w:t>
      </w:r>
      <w:r>
        <w:t>138</w:t>
      </w:r>
      <w:r w:rsidR="00E96CD9">
        <w:t xml:space="preserve"> </w:t>
      </w:r>
      <w:r>
        <w:rPr>
          <w:rFonts w:hint="cs"/>
          <w:rtl/>
        </w:rPr>
        <w:t>،</w:t>
      </w:r>
      <w:r w:rsidR="00E96CD9">
        <w:t>435</w:t>
      </w:r>
      <w:r w:rsidR="00473021">
        <w:rPr>
          <w:rFonts w:hint="cs"/>
          <w:rtl/>
        </w:rPr>
        <w:t xml:space="preserve"> دولارًا أمريكيًا في 31 كانون الأول/ديسمبر 2019)، منها </w:t>
      </w:r>
      <w:r w:rsidR="00FA770D">
        <w:t>869</w:t>
      </w:r>
      <w:r w:rsidR="00FA770D">
        <w:rPr>
          <w:rFonts w:hint="cs"/>
          <w:rtl/>
        </w:rPr>
        <w:t>،</w:t>
      </w:r>
      <w:r w:rsidR="00FA770D">
        <w:t>171</w:t>
      </w:r>
      <w:r w:rsidR="00473021">
        <w:rPr>
          <w:rFonts w:hint="cs"/>
          <w:rtl/>
        </w:rPr>
        <w:t xml:space="preserve"> دولار</w:t>
      </w:r>
      <w:r w:rsidR="00C326F4" w:rsidRPr="00C326F4">
        <w:rPr>
          <w:rFonts w:hint="cs"/>
          <w:rtl/>
        </w:rPr>
        <w:t xml:space="preserve"> </w:t>
      </w:r>
      <w:r w:rsidR="00C326F4">
        <w:rPr>
          <w:rFonts w:hint="cs"/>
          <w:rtl/>
        </w:rPr>
        <w:t>أمريكيًا</w:t>
      </w:r>
      <w:r w:rsidR="00473021">
        <w:rPr>
          <w:rFonts w:hint="cs"/>
          <w:rtl/>
        </w:rPr>
        <w:t xml:space="preserve"> تقابل </w:t>
      </w:r>
      <w:r w:rsidR="00EF1A00" w:rsidRPr="00423664">
        <w:rPr>
          <w:rtl/>
        </w:rPr>
        <w:t>مساهمات</w:t>
      </w:r>
      <w:r w:rsidR="00473021">
        <w:rPr>
          <w:rFonts w:hint="cs"/>
          <w:rtl/>
        </w:rPr>
        <w:t xml:space="preserve"> غير مسددة في </w:t>
      </w:r>
      <w:r w:rsidR="00E96CD9" w:rsidRPr="00F368F4">
        <w:rPr>
          <w:rFonts w:hint="eastAsia"/>
          <w:rtl/>
        </w:rPr>
        <w:t>لسنوات</w:t>
      </w:r>
      <w:r w:rsidR="00E96CD9" w:rsidRPr="00F368F4">
        <w:rPr>
          <w:rtl/>
        </w:rPr>
        <w:t xml:space="preserve"> </w:t>
      </w:r>
      <w:r w:rsidR="00E96CD9" w:rsidRPr="00F368F4">
        <w:rPr>
          <w:rFonts w:hint="eastAsia"/>
          <w:rtl/>
        </w:rPr>
        <w:t>قبل</w:t>
      </w:r>
      <w:r w:rsidR="00E96CD9" w:rsidRPr="00F368F4">
        <w:rPr>
          <w:rtl/>
        </w:rPr>
        <w:t xml:space="preserve"> 2020</w:t>
      </w:r>
      <w:r w:rsidR="00473021">
        <w:rPr>
          <w:rFonts w:hint="cs"/>
          <w:rtl/>
        </w:rPr>
        <w:t>. وحتى 31 كانون الأول/ديسمبر 2021، لم تكن 74 دولة طرفًا (42% من جميع الدول الأطراف</w:t>
      </w:r>
      <w:r w:rsidR="00EF1A00">
        <w:t xml:space="preserve"> </w:t>
      </w:r>
      <w:r w:rsidR="00EF1A00" w:rsidRPr="00F368F4">
        <w:rPr>
          <w:rtl/>
        </w:rPr>
        <w:t>ملزمة بالمادة 26.1 من الاتفاقية</w:t>
      </w:r>
      <w:r w:rsidR="00473021">
        <w:rPr>
          <w:rFonts w:hint="cs"/>
          <w:rtl/>
        </w:rPr>
        <w:t xml:space="preserve">) قد سددت </w:t>
      </w:r>
      <w:r w:rsidR="00EF1A00" w:rsidRPr="00423664">
        <w:rPr>
          <w:rtl/>
        </w:rPr>
        <w:t>مساهما</w:t>
      </w:r>
      <w:r w:rsidR="00473021">
        <w:rPr>
          <w:rFonts w:hint="cs"/>
          <w:rtl/>
        </w:rPr>
        <w:t xml:space="preserve">تها </w:t>
      </w:r>
      <w:r w:rsidR="00E96CD9" w:rsidRPr="009028B3">
        <w:rPr>
          <w:rtl/>
        </w:rPr>
        <w:t>لسنوات</w:t>
      </w:r>
      <w:r w:rsidR="00E96CD9">
        <w:t xml:space="preserve"> </w:t>
      </w:r>
      <w:r w:rsidR="00E96CD9" w:rsidRPr="009028B3">
        <w:rPr>
          <w:rtl/>
        </w:rPr>
        <w:t>2020</w:t>
      </w:r>
      <w:r w:rsidR="00E96CD9">
        <w:t>2021-</w:t>
      </w:r>
      <w:r w:rsidR="00473021">
        <w:rPr>
          <w:rFonts w:hint="cs"/>
          <w:rtl/>
        </w:rPr>
        <w:t xml:space="preserve">. ومن بين هذه الدول، هناك </w:t>
      </w:r>
      <w:r w:rsidR="00E96CD9">
        <w:t>27</w:t>
      </w:r>
      <w:r w:rsidR="00E96CD9">
        <w:rPr>
          <w:rFonts w:hint="cs"/>
          <w:rtl/>
        </w:rPr>
        <w:t xml:space="preserve"> </w:t>
      </w:r>
      <w:r w:rsidR="00473021">
        <w:rPr>
          <w:rFonts w:hint="cs"/>
          <w:rtl/>
        </w:rPr>
        <w:t>دولة طرفًا (</w:t>
      </w:r>
      <w:r w:rsidR="00E96CD9">
        <w:t>15</w:t>
      </w:r>
      <w:r w:rsidR="00473021">
        <w:rPr>
          <w:rFonts w:hint="cs"/>
          <w:rtl/>
        </w:rPr>
        <w:t xml:space="preserve">%) لم تسدد </w:t>
      </w:r>
      <w:r w:rsidR="00EF1A00" w:rsidRPr="00423664">
        <w:rPr>
          <w:rtl/>
        </w:rPr>
        <w:t>مساهما</w:t>
      </w:r>
      <w:r w:rsidR="00EF1A00">
        <w:rPr>
          <w:rFonts w:hint="cs"/>
          <w:rtl/>
        </w:rPr>
        <w:t>تها</w:t>
      </w:r>
      <w:r w:rsidR="00473021">
        <w:rPr>
          <w:rFonts w:hint="cs"/>
          <w:rtl/>
        </w:rPr>
        <w:t xml:space="preserve"> عن السنوات السابقة لعام</w:t>
      </w:r>
      <w:r w:rsidR="00E96CD9">
        <w:t xml:space="preserve"> </w:t>
      </w:r>
      <w:r w:rsidR="00E96CD9" w:rsidRPr="009028B3">
        <w:rPr>
          <w:rtl/>
        </w:rPr>
        <w:t>2020</w:t>
      </w:r>
      <w:bookmarkStart w:id="0" w:name="_Ref46843650"/>
      <w:r w:rsidR="00473021" w:rsidRPr="006B55AD">
        <w:rPr>
          <w:rFonts w:hint="cs"/>
          <w:rtl/>
          <w:lang w:bidi="ar-SA"/>
        </w:rPr>
        <w:t>.</w:t>
      </w:r>
      <w:bookmarkEnd w:id="0"/>
      <w:r w:rsidR="00473021">
        <w:rPr>
          <w:rFonts w:hint="cs"/>
          <w:rtl/>
        </w:rPr>
        <w:t xml:space="preserve"> مدفوعات </w:t>
      </w:r>
      <w:r w:rsidR="00EF1A00" w:rsidRPr="00423664">
        <w:rPr>
          <w:b/>
          <w:bCs/>
          <w:rtl/>
        </w:rPr>
        <w:t>المساهمات</w:t>
      </w:r>
      <w:r w:rsidR="00473021">
        <w:rPr>
          <w:rFonts w:hint="cs"/>
          <w:b/>
          <w:bCs/>
          <w:rtl/>
        </w:rPr>
        <w:t xml:space="preserve"> المقررة الطوعية</w:t>
      </w:r>
      <w:r w:rsidR="00473021">
        <w:rPr>
          <w:rFonts w:hint="cs"/>
          <w:rtl/>
        </w:rPr>
        <w:t xml:space="preserve"> من قبل الدول الأطراف وفقًا للمادة 26.2 من الاتفاقية، في فترة السنتين 2020-2021 كانت</w:t>
      </w:r>
      <w:r w:rsidR="00E906CD">
        <w:t xml:space="preserve"> </w:t>
      </w:r>
      <w:r w:rsidR="00E906CD" w:rsidRPr="00F368F4">
        <w:rPr>
          <w:rtl/>
        </w:rPr>
        <w:t>في المتوسط 76</w:t>
      </w:r>
      <w:r w:rsidR="00E906CD">
        <w:rPr>
          <w:rFonts w:hint="cs"/>
          <w:rtl/>
        </w:rPr>
        <w:t>%</w:t>
      </w:r>
      <w:r w:rsidR="00E906CD" w:rsidRPr="00F368F4">
        <w:rPr>
          <w:rtl/>
        </w:rPr>
        <w:t xml:space="preserve"> من المبالغ </w:t>
      </w:r>
      <w:r w:rsidR="00E906CD" w:rsidRPr="00F368F4">
        <w:rPr>
          <w:rFonts w:hint="eastAsia"/>
          <w:rtl/>
        </w:rPr>
        <w:t>المقررة</w:t>
      </w:r>
      <w:r w:rsidR="00473021">
        <w:rPr>
          <w:rFonts w:hint="cs"/>
          <w:rtl/>
        </w:rPr>
        <w:t>، وهو ما يعادل فترة السنتين السابقة وأعلى مقارنة بفترة السنتين الثلاث الماضية (63% في المتوسط</w:t>
      </w:r>
      <w:r w:rsidR="00473021" w:rsidRPr="006B55AD">
        <w:rPr>
          <w:rFonts w:hint="cs"/>
          <w:rtl/>
          <w:lang w:bidi="ar-SA"/>
        </w:rPr>
        <w:t>).</w:t>
      </w:r>
    </w:p>
    <w:p w14:paraId="29A73C75" w14:textId="769D11F4" w:rsidR="00A80CD0" w:rsidRPr="007670BA" w:rsidRDefault="00A80CD0" w:rsidP="007670BA">
      <w:pPr>
        <w:pStyle w:val="GAPara"/>
        <w:keepNext/>
        <w:numPr>
          <w:ilvl w:val="0"/>
          <w:numId w:val="0"/>
        </w:numPr>
        <w:bidi/>
        <w:spacing w:before="240"/>
        <w:ind w:firstLine="567"/>
        <w:jc w:val="both"/>
        <w:rPr>
          <w:b/>
          <w:bCs/>
          <w:rtl/>
        </w:rPr>
      </w:pPr>
      <w:r>
        <w:rPr>
          <w:rFonts w:hint="cs"/>
          <w:b/>
          <w:bCs/>
          <w:rtl/>
        </w:rPr>
        <w:t xml:space="preserve">آفاق دورات الميزانية </w:t>
      </w:r>
      <w:r w:rsidR="00C326F4" w:rsidRPr="00F368F4">
        <w:rPr>
          <w:b/>
          <w:bCs/>
          <w:rtl/>
        </w:rPr>
        <w:t>المستقبلية</w:t>
      </w:r>
      <w:r w:rsidR="00C326F4" w:rsidDel="00C326F4">
        <w:rPr>
          <w:rFonts w:hint="cs"/>
          <w:b/>
          <w:bCs/>
          <w:rtl/>
        </w:rPr>
        <w:t xml:space="preserve"> </w:t>
      </w:r>
    </w:p>
    <w:p w14:paraId="0FC728BA" w14:textId="55A10D93" w:rsidR="00A80CD0" w:rsidRPr="00D20486" w:rsidRDefault="00C015F9" w:rsidP="00A80CD0">
      <w:pPr>
        <w:pStyle w:val="GAPara"/>
        <w:numPr>
          <w:ilvl w:val="0"/>
          <w:numId w:val="19"/>
        </w:numPr>
        <w:bidi/>
        <w:ind w:left="567" w:hanging="567"/>
        <w:jc w:val="both"/>
        <w:rPr>
          <w:rtl/>
        </w:rPr>
      </w:pPr>
      <w:r>
        <w:rPr>
          <w:rFonts w:hint="cs"/>
          <w:rtl/>
        </w:rPr>
        <w:t xml:space="preserve">في سياق أزمة الصحة العالمية التي شهدتها فترة السنتين 2020-2021، عاد رصيد الصندوق في نهاية السنة إلى مستواه في نهاية فترة السنتين 2016-2017. ومع ذلك، ونظرًا لتطور الجائحة في الآونة الأخيرة، فإن الآمال معقودة على مباشرة تنفيذ الأنشطة بوتيرة "أكثر اعتيادًا"، مما يزيد من الإنفاق لفترة السنتين لدورات الميزانية الحالية والمقبلة على النحو المتوخى في الخطة المقدمة إلى الدورة الثامنة للجمعية العامة في عام 2020 (الوثيقة </w:t>
      </w:r>
      <w:hyperlink r:id="rId21" w:history="1">
        <w:r>
          <w:rPr>
            <w:rStyle w:val="Hyperlink"/>
          </w:rPr>
          <w:t>LHE/20/8.GA/</w:t>
        </w:r>
        <w:r w:rsidR="006F6468">
          <w:rPr>
            <w:rStyle w:val="Hyperlink"/>
          </w:rPr>
          <w:t>7 </w:t>
        </w:r>
        <w:r>
          <w:rPr>
            <w:rStyle w:val="Hyperlink"/>
          </w:rPr>
          <w:t>Rev.‎</w:t>
        </w:r>
      </w:hyperlink>
      <w:r w:rsidR="006B55AD" w:rsidRPr="006B55AD">
        <w:rPr>
          <w:rFonts w:hint="cs"/>
          <w:rtl/>
          <w:lang w:bidi="ar-SA"/>
        </w:rPr>
        <w:t>).</w:t>
      </w:r>
      <w:r>
        <w:rPr>
          <w:rFonts w:hint="cs"/>
          <w:rtl/>
        </w:rPr>
        <w:t xml:space="preserve"> وفي الوقت نفسه، لا يزال الصندوق في حالة جيدة بدرجة كبيرة؛ وهو الآن في وضع يمكنه من الاستجابة لاحتياجات الدول الأطراف والجم</w:t>
      </w:r>
      <w:r w:rsidR="00DB0555">
        <w:rPr>
          <w:rFonts w:hint="cs"/>
          <w:rtl/>
        </w:rPr>
        <w:t>ا</w:t>
      </w:r>
      <w:r>
        <w:rPr>
          <w:rFonts w:hint="cs"/>
          <w:rtl/>
        </w:rPr>
        <w:t xml:space="preserve">عات، بما في ذلك الاحتياجات الناشئة عن الجائحة و/أو التي تفاقمت بسببها. وعلاوة على ذلك، فإن التفكير </w:t>
      </w:r>
      <w:r w:rsidR="00DB0555">
        <w:rPr>
          <w:rFonts w:hint="cs"/>
          <w:rtl/>
        </w:rPr>
        <w:t>ال</w:t>
      </w:r>
      <w:r w:rsidR="00DB0555" w:rsidRPr="00205800">
        <w:rPr>
          <w:rtl/>
        </w:rPr>
        <w:t>شامل</w:t>
      </w:r>
      <w:r>
        <w:rPr>
          <w:rFonts w:hint="cs"/>
          <w:rtl/>
        </w:rPr>
        <w:t xml:space="preserve"> في آليات الإدراج في اتفاقية عام 2003 قد يخلق قنوات إضافية لطلبات الدول الأطراف للحصول على المساعدة الدولية (</w:t>
      </w:r>
      <w:r w:rsidRPr="00A31A2E">
        <w:rPr>
          <w:rFonts w:hint="cs"/>
          <w:rtl/>
        </w:rPr>
        <w:t xml:space="preserve">من خلال الإجراءات المقترحة لنقل العناصر من قائمة إلى أخرى والتسجيل على أساس موسّع أو مقلّص)، مع تيسير معالجتها والتعجيل بها بتفويض مكتب اللجنة بالنظر في جميع طلبات المساعدة الدولية. وإذا ما اعتمدت الجمعية العامة نتائج التفكير </w:t>
      </w:r>
      <w:r w:rsidR="00DB0555" w:rsidRPr="00A31A2E">
        <w:rPr>
          <w:rFonts w:hint="cs"/>
          <w:rtl/>
        </w:rPr>
        <w:t>ال</w:t>
      </w:r>
      <w:r w:rsidR="00DB0555" w:rsidRPr="00A31A2E">
        <w:rPr>
          <w:rtl/>
        </w:rPr>
        <w:t>شامل</w:t>
      </w:r>
      <w:r w:rsidRPr="00A31A2E">
        <w:rPr>
          <w:rFonts w:hint="cs"/>
          <w:rtl/>
        </w:rPr>
        <w:t xml:space="preserve"> </w:t>
      </w:r>
      <w:r w:rsidRPr="00A31A2E">
        <w:rPr>
          <w:rtl/>
        </w:rPr>
        <w:t xml:space="preserve">(الوثيقة </w:t>
      </w:r>
      <w:r w:rsidR="002C12F2" w:rsidRPr="00A31A2E">
        <w:t>(</w:t>
      </w:r>
      <w:hyperlink r:id="rId22" w:history="1">
        <w:r w:rsidRPr="00A31A2E">
          <w:rPr>
            <w:rStyle w:val="Hyperlink"/>
          </w:rPr>
          <w:t>LHE/22/9.GA/</w:t>
        </w:r>
        <w:r w:rsidR="00DB0555" w:rsidRPr="00A31A2E">
          <w:rPr>
            <w:rStyle w:val="Hyperlink"/>
          </w:rPr>
          <w:t>9</w:t>
        </w:r>
      </w:hyperlink>
      <w:r w:rsidRPr="00A31A2E">
        <w:rPr>
          <w:rFonts w:hint="cs"/>
          <w:rtl/>
        </w:rPr>
        <w:t>، فإن</w:t>
      </w:r>
      <w:r>
        <w:rPr>
          <w:rFonts w:hint="cs"/>
          <w:rtl/>
        </w:rPr>
        <w:t xml:space="preserve"> الصندوق في وضع يمكنه من الاستجابة للطلبات التي قد ترغب الدول الأطراف في تقديمها.</w:t>
      </w:r>
    </w:p>
    <w:p w14:paraId="6C8AE584" w14:textId="30333AAF" w:rsidR="006F15DB" w:rsidRPr="007670BA" w:rsidRDefault="00AE7841" w:rsidP="007670BA">
      <w:pPr>
        <w:pStyle w:val="GAPara"/>
        <w:keepNext/>
        <w:numPr>
          <w:ilvl w:val="0"/>
          <w:numId w:val="0"/>
        </w:numPr>
        <w:bidi/>
        <w:spacing w:before="240"/>
        <w:ind w:firstLine="567"/>
        <w:jc w:val="both"/>
        <w:rPr>
          <w:rtl/>
        </w:rPr>
      </w:pPr>
      <w:r>
        <w:rPr>
          <w:rFonts w:hint="cs"/>
          <w:b/>
          <w:bCs/>
          <w:rtl/>
        </w:rPr>
        <w:t>معلومات مستكملة عن الصندوق الفرعي لتعزيز الموارد البشرية للأمانة</w:t>
      </w:r>
    </w:p>
    <w:p w14:paraId="2793F3D6" w14:textId="7CDA4429" w:rsidR="006F15DB" w:rsidRDefault="006F15DB" w:rsidP="006F15DB">
      <w:pPr>
        <w:pStyle w:val="COMPara"/>
        <w:numPr>
          <w:ilvl w:val="0"/>
          <w:numId w:val="19"/>
        </w:numPr>
        <w:tabs>
          <w:tab w:val="left" w:pos="567"/>
        </w:tabs>
        <w:bidi/>
        <w:spacing w:before="120"/>
        <w:ind w:left="567" w:hanging="567"/>
        <w:jc w:val="both"/>
        <w:rPr>
          <w:rtl/>
        </w:rPr>
      </w:pPr>
      <w:r>
        <w:rPr>
          <w:rFonts w:hint="cs"/>
          <w:rtl/>
        </w:rPr>
        <w:t>وأنشأت الجمعية العامة الصندوق الفرعي لتعزيز الموارد البشرية للأمانة في حزيران/يونيو 2010 (</w:t>
      </w:r>
      <w:hyperlink r:id="rId23" w:history="1">
        <w:r w:rsidR="00DB0555" w:rsidRPr="00423664">
          <w:rPr>
            <w:rtl/>
          </w:rPr>
          <w:t>القرار</w:t>
        </w:r>
      </w:hyperlink>
      <w:hyperlink r:id="rId24" w:history="1">
        <w:r>
          <w:rPr>
            <w:rStyle w:val="Hyperlink"/>
          </w:rPr>
          <w:t>‎</w:t>
        </w:r>
        <w:r w:rsidRPr="00601665">
          <w:rPr>
            <w:rStyle w:val="Hyperlink"/>
          </w:rPr>
          <w:t>3.</w:t>
        </w:r>
        <w:r w:rsidR="006F6468" w:rsidRPr="00601665">
          <w:rPr>
            <w:rStyle w:val="Hyperlink"/>
          </w:rPr>
          <w:t>GA</w:t>
        </w:r>
        <w:r w:rsidR="006F6468">
          <w:rPr>
            <w:rStyle w:val="Hyperlink"/>
          </w:rPr>
          <w:t> </w:t>
        </w:r>
        <w:r w:rsidRPr="00601665">
          <w:rPr>
            <w:rStyle w:val="Hyperlink"/>
          </w:rPr>
          <w:t>9</w:t>
        </w:r>
      </w:hyperlink>
      <w:r>
        <w:rPr>
          <w:rFonts w:hint="cs"/>
          <w:rtl/>
        </w:rPr>
        <w:t xml:space="preserve">) لدعم الأمانة على أساس دائم وتمكينها من الاستجابة للاحتياجات التي أعربت عنها الدول الأطراف. وقد أعادت الدورة الثامنة للجمعية العامة في عام 2020 تقييم الهدف السنوي للصندوق الفرعي الذي حُدد في البداية بنحو 1.1 مليون </w:t>
      </w:r>
      <w:r w:rsidR="00DB0555">
        <w:rPr>
          <w:rFonts w:hint="cs"/>
          <w:rtl/>
        </w:rPr>
        <w:t>دولارًا أمريكيًا</w:t>
      </w:r>
      <w:r>
        <w:rPr>
          <w:rFonts w:hint="cs"/>
          <w:rtl/>
        </w:rPr>
        <w:t xml:space="preserve"> في عام 2010 بمبلغ </w:t>
      </w:r>
      <w:r w:rsidR="00DB0555">
        <w:t>000</w:t>
      </w:r>
      <w:r w:rsidR="00DB0555">
        <w:rPr>
          <w:rFonts w:hint="cs"/>
          <w:rtl/>
        </w:rPr>
        <w:t>،</w:t>
      </w:r>
      <w:r w:rsidR="00DB0555">
        <w:t>950</w:t>
      </w:r>
      <w:r>
        <w:rPr>
          <w:rFonts w:hint="cs"/>
          <w:rtl/>
        </w:rPr>
        <w:t xml:space="preserve"> </w:t>
      </w:r>
      <w:r w:rsidR="00DB0555">
        <w:rPr>
          <w:rFonts w:hint="cs"/>
          <w:rtl/>
        </w:rPr>
        <w:t>دولارًا أمريكيًا</w:t>
      </w:r>
      <w:r>
        <w:rPr>
          <w:rFonts w:hint="cs"/>
          <w:rtl/>
        </w:rPr>
        <w:t xml:space="preserve"> في السنة (</w:t>
      </w:r>
      <w:hyperlink r:id="rId25" w:history="1">
        <w:r w:rsidR="00DB0555" w:rsidRPr="00423664">
          <w:rPr>
            <w:rtl/>
          </w:rPr>
          <w:t>القرار</w:t>
        </w:r>
      </w:hyperlink>
      <w:hyperlink r:id="rId26" w:history="1">
        <w:r>
          <w:rPr>
            <w:rStyle w:val="Hyperlink"/>
          </w:rPr>
          <w:t>‎</w:t>
        </w:r>
        <w:r w:rsidRPr="00601665">
          <w:rPr>
            <w:rStyle w:val="Hyperlink"/>
          </w:rPr>
          <w:t>8.</w:t>
        </w:r>
        <w:r w:rsidR="006F6468" w:rsidRPr="00601665">
          <w:rPr>
            <w:rStyle w:val="Hyperlink"/>
          </w:rPr>
          <w:t>GA</w:t>
        </w:r>
        <w:r w:rsidR="006F6468">
          <w:rPr>
            <w:rStyle w:val="Hyperlink"/>
          </w:rPr>
          <w:t> </w:t>
        </w:r>
        <w:r w:rsidRPr="00601665">
          <w:rPr>
            <w:rStyle w:val="Hyperlink"/>
          </w:rPr>
          <w:t>7</w:t>
        </w:r>
      </w:hyperlink>
      <w:r w:rsidR="006B55AD" w:rsidRPr="006B55AD">
        <w:rPr>
          <w:rFonts w:hint="cs"/>
          <w:rtl/>
          <w:lang w:bidi="ar-SA"/>
        </w:rPr>
        <w:t>).</w:t>
      </w:r>
      <w:r>
        <w:rPr>
          <w:rFonts w:hint="cs"/>
          <w:rtl/>
        </w:rPr>
        <w:t xml:space="preserve"> وخلال فترة السنتين 2020-2021، وردت ثمانية تبرعات من ليتوانيا، وموناكو (مرتين)، وفلسطين، وسلوفاكيا (ثلاث مرات)، ومؤسسة متحف كمان أنطونيو ستراديفاري (إيطاليا) بمبلغ إجمالي قدره</w:t>
      </w:r>
      <w:r w:rsidR="00293FD2">
        <w:rPr>
          <w:rFonts w:hint="cs"/>
          <w:rtl/>
        </w:rPr>
        <w:t xml:space="preserve"> </w:t>
      </w:r>
      <w:r w:rsidR="002C12F2">
        <w:t>62</w:t>
      </w:r>
      <w:r w:rsidR="006878AB">
        <w:rPr>
          <w:rFonts w:hint="cs"/>
          <w:rtl/>
        </w:rPr>
        <w:t>.</w:t>
      </w:r>
      <w:r w:rsidR="002C12F2">
        <w:t>597</w:t>
      </w:r>
      <w:r w:rsidR="002C12F2">
        <w:rPr>
          <w:rFonts w:hint="cs"/>
          <w:rtl/>
        </w:rPr>
        <w:t>،</w:t>
      </w:r>
      <w:r w:rsidR="002C12F2">
        <w:t xml:space="preserve"> 65</w:t>
      </w:r>
      <w:r>
        <w:rPr>
          <w:rFonts w:hint="cs"/>
          <w:rtl/>
        </w:rPr>
        <w:t>دولارًا أمريكيًا. ويمثل هذا المبلغ الإجمالي 3.5% من الهدف الذي أقرته الجمعية العامة في عام 2020.</w:t>
      </w:r>
    </w:p>
    <w:p w14:paraId="45508365" w14:textId="361E8F80" w:rsidR="00CA6400" w:rsidRPr="0069593F" w:rsidRDefault="006F15DB" w:rsidP="006F15DB">
      <w:pPr>
        <w:pStyle w:val="COMPara"/>
        <w:numPr>
          <w:ilvl w:val="0"/>
          <w:numId w:val="19"/>
        </w:numPr>
        <w:tabs>
          <w:tab w:val="left" w:pos="567"/>
        </w:tabs>
        <w:bidi/>
        <w:ind w:left="567" w:hanging="567"/>
        <w:jc w:val="both"/>
        <w:rPr>
          <w:rtl/>
        </w:rPr>
      </w:pPr>
      <w:r>
        <w:rPr>
          <w:rFonts w:hint="cs"/>
          <w:rtl/>
        </w:rPr>
        <w:t xml:space="preserve">وفي السنوات الأخيرة، شهدت الاتفاقية توسعًا جغرافيًا متزامنًا (بما يشمل 180 دولة طرفًا في 31 كانون الأول/ديسمبر 2021)، فضلاً عن تطوير مبادرات مواضيعية. وتشمل هذه التدابير إجراءات بشأن "صون التراث الثقافي غير المادي في التعليم الرسمي وغير الرسمي"، و"التراث الثقافي غير المادي في حالات الطوارئ"، والإصلاح الأخير لآلية الإبلاغ الدوري، والتفكير الذي أطلقته اللجنة بشأن آليات الإدراج في الاتفاقية. وتدل هذه التطورات الأخيرة على استمرار أهمية الاتفاقية؛ وهي تطورات إيجابية بالنسبة لحاضر ومستقبل تنفيذها. غير أنه ينبغي أن يوضع في الاعتبار أن هذه المبادرات تتطلب دعمًا مستمرًا من جانب الأمانة. وقد تم التأكيد على ذلك مؤخرًا في تقييم عمل اليونسكو في إطار اتفاقية عام 2003 لصون التراث الثقافي غير المادي الذي قامت به خدمات الإشراف الداخلي (والتي كانت تسمى سابقًا مرفق الإشراف الداخلي) في عام 2021 (الوثيقة </w:t>
      </w:r>
      <w:hyperlink r:id="rId27" w:history="1">
        <w:r>
          <w:rPr>
            <w:rStyle w:val="Hyperlink"/>
          </w:rPr>
          <w:t>LHE/21/16.COM/INF.10</w:t>
        </w:r>
      </w:hyperlink>
      <w:r>
        <w:rPr>
          <w:rFonts w:hint="cs"/>
          <w:rtl/>
        </w:rPr>
        <w:t>، المشار إليها فيما بعد باسم "</w:t>
      </w:r>
      <w:r w:rsidRPr="00B07E6E">
        <w:rPr>
          <w:rFonts w:hint="eastAsia"/>
          <w:rtl/>
        </w:rPr>
        <w:t>تقييم</w:t>
      </w:r>
      <w:r w:rsidRPr="00B07E6E">
        <w:rPr>
          <w:rtl/>
        </w:rPr>
        <w:t xml:space="preserve"> </w:t>
      </w:r>
      <w:r w:rsidR="002C12F2" w:rsidRPr="00B07E6E">
        <w:rPr>
          <w:rFonts w:hint="eastAsia"/>
          <w:rtl/>
        </w:rPr>
        <w:t>خدمات</w:t>
      </w:r>
      <w:r w:rsidRPr="00B07E6E">
        <w:rPr>
          <w:rtl/>
        </w:rPr>
        <w:t xml:space="preserve"> الإشراف الداخلي")،</w:t>
      </w:r>
      <w:r>
        <w:rPr>
          <w:rFonts w:hint="cs"/>
          <w:rtl/>
        </w:rPr>
        <w:t xml:space="preserve"> والذي يشير إلى أن "الموارد البشرية الإضافية والمستقرة [في الأمانة...] ستكون مطلوبة لتلبية المطالب المتزايدة للدول الأطراف والقدرة على الوفاء بما يتجاوز الالتزامات القانونية".</w:t>
      </w:r>
    </w:p>
    <w:p w14:paraId="71FE2E62" w14:textId="30313038" w:rsidR="006F15DB" w:rsidRPr="0069593F" w:rsidRDefault="006F15DB" w:rsidP="006F15DB">
      <w:pPr>
        <w:pStyle w:val="COMPara"/>
        <w:numPr>
          <w:ilvl w:val="0"/>
          <w:numId w:val="19"/>
        </w:numPr>
        <w:tabs>
          <w:tab w:val="left" w:pos="567"/>
        </w:tabs>
        <w:bidi/>
        <w:ind w:left="567" w:hanging="567"/>
        <w:jc w:val="both"/>
        <w:rPr>
          <w:rtl/>
        </w:rPr>
      </w:pPr>
      <w:r>
        <w:rPr>
          <w:rFonts w:hint="cs"/>
          <w:rtl/>
        </w:rPr>
        <w:t xml:space="preserve"> ولهذا الغرض، فقد ترغب الجمعية العامة في مراعاة الآثار المترتبة من حيث الموارد البشرية لضمان أن تكون الأمانة مجهزة لتقديم الدعم الكافي لهذه الإجراءات الجديدة. وبخلاف ذلك، سيتعين تعليق بعض هذه المبادرات على أساس الأولويات التي تحددها </w:t>
      </w:r>
      <w:r w:rsidR="00605182" w:rsidRPr="00F368F4">
        <w:rPr>
          <w:rFonts w:hint="eastAsia"/>
          <w:rtl/>
        </w:rPr>
        <w:t>الهيئات</w:t>
      </w:r>
      <w:r w:rsidR="00605182" w:rsidRPr="00F368F4">
        <w:rPr>
          <w:rtl/>
        </w:rPr>
        <w:t xml:space="preserve"> </w:t>
      </w:r>
      <w:r w:rsidR="00605182" w:rsidRPr="00F368F4">
        <w:rPr>
          <w:rFonts w:hint="eastAsia"/>
          <w:rtl/>
        </w:rPr>
        <w:t>الرئاسية</w:t>
      </w:r>
      <w:r>
        <w:rPr>
          <w:rFonts w:hint="cs"/>
          <w:rtl/>
        </w:rPr>
        <w:t xml:space="preserve">. وفي هذا الصدد، تجدر الإشارة إلى أن الهدف الذي حددته الجمعية العامة منذ إنشاء الصندوق الفرعي في عام 2010 لم يتحقق قط. والواقع أن </w:t>
      </w:r>
      <w:r w:rsidR="00605182" w:rsidRPr="00423664">
        <w:rPr>
          <w:rtl/>
        </w:rPr>
        <w:t>المساهمات</w:t>
      </w:r>
      <w:r>
        <w:rPr>
          <w:rFonts w:hint="cs"/>
          <w:rtl/>
        </w:rPr>
        <w:t xml:space="preserve"> في الصندوق الفرعي شهدت انخفاضًا واضحًا منذ عام 2010 حيث بلغ متوسطها 13% من الهدف في كل فترة سنتين، من 511</w:t>
      </w:r>
      <w:r w:rsidR="00A84375">
        <w:rPr>
          <w:rFonts w:hint="cs"/>
          <w:rtl/>
        </w:rPr>
        <w:t>،</w:t>
      </w:r>
      <w:r>
        <w:rPr>
          <w:rFonts w:hint="cs"/>
          <w:rtl/>
        </w:rPr>
        <w:t xml:space="preserve">885 دولارًا </w:t>
      </w:r>
      <w:r w:rsidR="00B07E6E">
        <w:rPr>
          <w:rFonts w:hint="cs"/>
          <w:rtl/>
        </w:rPr>
        <w:t xml:space="preserve">أمريكيًا </w:t>
      </w:r>
      <w:r>
        <w:rPr>
          <w:rFonts w:hint="cs"/>
          <w:rtl/>
        </w:rPr>
        <w:t>في الفترة 2010-2011 (23% من الهدف، وهو أعلى معدل تحقق على الإطلاق) إلى 65</w:t>
      </w:r>
      <w:r w:rsidR="00A84375">
        <w:rPr>
          <w:rFonts w:hint="cs"/>
          <w:rtl/>
        </w:rPr>
        <w:t>،</w:t>
      </w:r>
      <w:r>
        <w:rPr>
          <w:rFonts w:hint="cs"/>
          <w:rtl/>
        </w:rPr>
        <w:t>598 دولارًا أمريكيًا في الفترة 2020-2021 (3.5% من الهدف، وهو أدنى معدل تحقق على الإطلاق</w:t>
      </w:r>
      <w:r w:rsidRPr="006B55AD">
        <w:rPr>
          <w:rFonts w:hint="cs"/>
          <w:rtl/>
          <w:lang w:bidi="ar-SA"/>
        </w:rPr>
        <w:t>).</w:t>
      </w:r>
    </w:p>
    <w:p w14:paraId="0A97724E" w14:textId="10576C2B" w:rsidR="00CC229F" w:rsidRDefault="004A07D4" w:rsidP="007670BA">
      <w:pPr>
        <w:pStyle w:val="Heading4"/>
        <w:bidi/>
        <w:spacing w:before="240" w:after="120"/>
        <w:ind w:left="567" w:hanging="425"/>
        <w:rPr>
          <w:rtl/>
        </w:rPr>
      </w:pPr>
      <w:r>
        <w:rPr>
          <w:rFonts w:hint="cs"/>
          <w:rtl/>
        </w:rPr>
        <w:lastRenderedPageBreak/>
        <w:t xml:space="preserve"> بنود الميزانية والمخصصات للبند 41 جيم/5 (2022-2023)</w:t>
      </w:r>
    </w:p>
    <w:p w14:paraId="2D0013EF" w14:textId="36C7703C" w:rsidR="00CC229F" w:rsidRPr="00E22116" w:rsidRDefault="00CC229F" w:rsidP="00A31A2E">
      <w:pPr>
        <w:pStyle w:val="GAPara"/>
        <w:keepLines/>
        <w:numPr>
          <w:ilvl w:val="0"/>
          <w:numId w:val="19"/>
        </w:numPr>
        <w:bidi/>
        <w:ind w:left="567" w:hanging="567"/>
        <w:jc w:val="both"/>
        <w:rPr>
          <w:rtl/>
        </w:rPr>
      </w:pPr>
      <w:r>
        <w:rPr>
          <w:rFonts w:hint="cs"/>
          <w:rtl/>
        </w:rPr>
        <w:t xml:space="preserve">يتبع اقتراح تخصيص الأموال لـ </w:t>
      </w:r>
      <w:bookmarkStart w:id="1" w:name="_Hlk100226655"/>
      <w:r>
        <w:rPr>
          <w:rFonts w:hint="cs"/>
          <w:rtl/>
        </w:rPr>
        <w:t>41</w:t>
      </w:r>
      <w:r>
        <w:rPr>
          <w:rFonts w:hint="cs"/>
          <w:b/>
          <w:bCs/>
          <w:rtl/>
        </w:rPr>
        <w:t xml:space="preserve"> </w:t>
      </w:r>
      <w:r>
        <w:rPr>
          <w:rFonts w:hint="cs"/>
          <w:rtl/>
        </w:rPr>
        <w:t xml:space="preserve">جيم/5 (2022-2023) </w:t>
      </w:r>
      <w:bookmarkEnd w:id="1"/>
      <w:r>
        <w:rPr>
          <w:rFonts w:hint="cs"/>
          <w:rtl/>
        </w:rPr>
        <w:t xml:space="preserve">الهيكل القائم على بنود الميزانية، والذي اُستخدم في العمليات المماثلة السابقة. ويمكن تقسيم بنود الميزانية هذه إلى ثلاث فئات، هي النفقات المتصلة بما يلي: (أ) المساعدة الدولية؛ و(ب) "المهام الأخرى" للجنة بالمعنى الوارد في المادة </w:t>
      </w:r>
      <w:r w:rsidR="00601665">
        <w:rPr>
          <w:rFonts w:hint="cs"/>
          <w:rtl/>
        </w:rPr>
        <w:t>7</w:t>
      </w:r>
      <w:r>
        <w:rPr>
          <w:rFonts w:hint="cs"/>
          <w:rtl/>
        </w:rPr>
        <w:t xml:space="preserve"> من الاتفاقية؛ و(جـ) المشاركة في اجتماعات </w:t>
      </w:r>
      <w:r w:rsidR="005E6239" w:rsidRPr="00423664">
        <w:rPr>
          <w:rtl/>
        </w:rPr>
        <w:t>الهيئات الرئاسية</w:t>
      </w:r>
      <w:r w:rsidR="005E6239">
        <w:t xml:space="preserve"> </w:t>
      </w:r>
      <w:r>
        <w:rPr>
          <w:rFonts w:hint="cs"/>
          <w:rtl/>
        </w:rPr>
        <w:t xml:space="preserve">والخدمات الاستشارية للجنة. كما أن النسبة المئوية للمخصصات المنصوص عليها في كل بند من بنود الميزانية المقترحة في هذه المناسبة تتبع إلى حد كبير التناسب نفسه الذي كانت عليه في فترة السنتين السابقة، مع مراعاة التغيرات التي طرأت على زيادة الأموال المتاحة بنسبة 11.4% </w:t>
      </w:r>
      <w:r w:rsidR="00811B4F" w:rsidRPr="00F368F4">
        <w:rPr>
          <w:rFonts w:hint="eastAsia"/>
          <w:rtl/>
        </w:rPr>
        <w:t>لأنشطة</w:t>
      </w:r>
      <w:r w:rsidR="00811B4F" w:rsidRPr="00F368F4">
        <w:rPr>
          <w:rtl/>
        </w:rPr>
        <w:t xml:space="preserve"> </w:t>
      </w:r>
      <w:r w:rsidR="00811B4F" w:rsidRPr="00F368F4">
        <w:rPr>
          <w:rFonts w:hint="eastAsia"/>
          <w:rtl/>
        </w:rPr>
        <w:t>البرنامج</w:t>
      </w:r>
      <w:r w:rsidR="00811B4F" w:rsidRPr="00F368F4">
        <w:rPr>
          <w:rtl/>
        </w:rPr>
        <w:t xml:space="preserve"> (</w:t>
      </w:r>
      <w:r w:rsidR="00811B4F" w:rsidRPr="00F368F4">
        <w:rPr>
          <w:rFonts w:hint="eastAsia"/>
          <w:rtl/>
        </w:rPr>
        <w:t>باستثناء</w:t>
      </w:r>
      <w:r w:rsidR="00811B4F" w:rsidRPr="00F368F4">
        <w:rPr>
          <w:rtl/>
        </w:rPr>
        <w:t xml:space="preserve"> </w:t>
      </w:r>
      <w:r w:rsidR="00811B4F" w:rsidRPr="00F368F4">
        <w:rPr>
          <w:rFonts w:hint="eastAsia"/>
          <w:rtl/>
        </w:rPr>
        <w:t>الصندوق</w:t>
      </w:r>
      <w:r w:rsidR="00811B4F" w:rsidRPr="00F368F4">
        <w:rPr>
          <w:rtl/>
        </w:rPr>
        <w:t xml:space="preserve"> </w:t>
      </w:r>
      <w:r w:rsidR="00811B4F" w:rsidRPr="00F368F4">
        <w:rPr>
          <w:rFonts w:hint="eastAsia"/>
          <w:rtl/>
        </w:rPr>
        <w:t>الاحتياطي</w:t>
      </w:r>
      <w:r w:rsidR="00811B4F" w:rsidRPr="00F368F4">
        <w:rPr>
          <w:rtl/>
        </w:rPr>
        <w:t>)</w:t>
      </w:r>
      <w:r w:rsidR="00811B4F">
        <w:rPr>
          <w:rFonts w:hint="cs"/>
          <w:rtl/>
        </w:rPr>
        <w:t xml:space="preserve"> </w:t>
      </w:r>
      <w:r>
        <w:rPr>
          <w:rFonts w:hint="cs"/>
          <w:rtl/>
        </w:rPr>
        <w:t xml:space="preserve">في نهاية فترة السنتين 2020-2021 (8.7 مليون </w:t>
      </w:r>
      <w:r w:rsidR="00EE02D8">
        <w:rPr>
          <w:rFonts w:hint="cs"/>
          <w:rtl/>
        </w:rPr>
        <w:t>دولارًا أمريكيًا</w:t>
      </w:r>
      <w:r>
        <w:rPr>
          <w:rFonts w:hint="cs"/>
          <w:rtl/>
        </w:rPr>
        <w:t xml:space="preserve">) مقارنة بنهاية فترة السنتين 2018-2019 (7.8 مليون </w:t>
      </w:r>
      <w:r w:rsidR="00EE02D8">
        <w:rPr>
          <w:rFonts w:hint="cs"/>
          <w:rtl/>
        </w:rPr>
        <w:t>دولارًا أمريكيًا</w:t>
      </w:r>
      <w:r>
        <w:rPr>
          <w:rFonts w:hint="cs"/>
          <w:rtl/>
        </w:rPr>
        <w:t>):</w:t>
      </w:r>
    </w:p>
    <w:p w14:paraId="51AAC112" w14:textId="7203107F" w:rsidR="00D31F41" w:rsidRPr="00E22116" w:rsidRDefault="000B583C" w:rsidP="00A31A2E">
      <w:pPr>
        <w:keepLines/>
        <w:bidi/>
        <w:spacing w:after="120"/>
        <w:ind w:left="851" w:hanging="284"/>
        <w:jc w:val="both"/>
        <w:rPr>
          <w:rFonts w:ascii="Arial" w:hAnsi="Arial" w:cs="Arial"/>
          <w:snapToGrid w:val="0"/>
          <w:sz w:val="22"/>
          <w:szCs w:val="22"/>
          <w:rtl/>
        </w:rPr>
      </w:pPr>
      <w:r>
        <w:rPr>
          <w:rFonts w:ascii="Arial" w:hAnsi="Arial" w:hint="cs"/>
          <w:snapToGrid w:val="0"/>
          <w:sz w:val="22"/>
          <w:szCs w:val="22"/>
          <w:rtl/>
        </w:rPr>
        <w:t>•</w:t>
      </w:r>
      <w:r>
        <w:rPr>
          <w:rFonts w:ascii="Arial" w:hAnsi="Arial" w:hint="cs"/>
          <w:snapToGrid w:val="0"/>
          <w:sz w:val="22"/>
          <w:szCs w:val="22"/>
          <w:rtl/>
        </w:rPr>
        <w:tab/>
        <w:t xml:space="preserve">زيادة في بنود </w:t>
      </w:r>
      <w:r w:rsidRPr="00A31A2E">
        <w:rPr>
          <w:rFonts w:ascii="Arial" w:hAnsi="Arial" w:hint="cs"/>
          <w:snapToGrid w:val="0"/>
          <w:sz w:val="22"/>
          <w:szCs w:val="22"/>
          <w:rtl/>
        </w:rPr>
        <w:t xml:space="preserve">الميزانية 2 (المساعدة </w:t>
      </w:r>
      <w:r w:rsidR="00EE02D8" w:rsidRPr="00A31A2E">
        <w:rPr>
          <w:rFonts w:ascii="Arial" w:hAnsi="Arial"/>
          <w:snapToGrid w:val="0"/>
          <w:sz w:val="22"/>
          <w:szCs w:val="22"/>
          <w:rtl/>
        </w:rPr>
        <w:t>التمهيدية</w:t>
      </w:r>
      <w:r w:rsidRPr="00A31A2E">
        <w:rPr>
          <w:rFonts w:ascii="Arial" w:hAnsi="Arial" w:hint="cs"/>
          <w:snapToGrid w:val="0"/>
          <w:sz w:val="22"/>
          <w:szCs w:val="22"/>
          <w:rtl/>
        </w:rPr>
        <w:t xml:space="preserve">) من 2% إلى 2.6% و7 (الخدمات الاستشارية المقدمة إلى اللجنة) من 6% إلى 7.7% من أجل التنبؤ بالتكاليف الإضافية التي يمكن تكبدها في تنفيذ نتائج التفكير </w:t>
      </w:r>
      <w:r w:rsidR="00EE02D8" w:rsidRPr="00A31A2E">
        <w:rPr>
          <w:rFonts w:ascii="Arial" w:hAnsi="Arial" w:hint="cs"/>
          <w:snapToGrid w:val="0"/>
          <w:sz w:val="22"/>
          <w:szCs w:val="22"/>
          <w:rtl/>
        </w:rPr>
        <w:t>ال</w:t>
      </w:r>
      <w:r w:rsidR="00EE02D8" w:rsidRPr="00A31A2E">
        <w:rPr>
          <w:rFonts w:ascii="Arial" w:hAnsi="Arial"/>
          <w:snapToGrid w:val="0"/>
          <w:sz w:val="22"/>
          <w:szCs w:val="22"/>
          <w:rtl/>
        </w:rPr>
        <w:t>شامل</w:t>
      </w:r>
      <w:r w:rsidRPr="00A31A2E">
        <w:rPr>
          <w:rFonts w:ascii="Arial" w:hAnsi="Arial" w:hint="cs"/>
          <w:snapToGrid w:val="0"/>
          <w:sz w:val="22"/>
          <w:szCs w:val="22"/>
          <w:rtl/>
        </w:rPr>
        <w:t xml:space="preserve"> في آليات الإدراج في اتفاقية عام 2003 (الوثيقة </w:t>
      </w:r>
      <w:hyperlink r:id="rId28" w:history="1">
        <w:r w:rsidRPr="00A31A2E">
          <w:rPr>
            <w:rStyle w:val="Hyperlink"/>
            <w:rFonts w:ascii="Arial" w:hAnsi="Arial"/>
            <w:snapToGrid w:val="0"/>
            <w:sz w:val="22"/>
            <w:szCs w:val="22"/>
          </w:rPr>
          <w:t>LHE/22/9.GA/</w:t>
        </w:r>
        <w:r w:rsidRPr="00A31A2E">
          <w:rPr>
            <w:rStyle w:val="Hyperlink"/>
            <w:rFonts w:ascii="Arial" w:hAnsi="Arial" w:hint="cs"/>
            <w:snapToGrid w:val="0"/>
            <w:sz w:val="22"/>
            <w:szCs w:val="22"/>
          </w:rPr>
          <w:t>9</w:t>
        </w:r>
      </w:hyperlink>
      <w:r w:rsidRPr="00A31A2E">
        <w:rPr>
          <w:rFonts w:ascii="Arial" w:hAnsi="Arial" w:hint="cs"/>
          <w:snapToGrid w:val="0"/>
          <w:sz w:val="22"/>
          <w:szCs w:val="22"/>
          <w:rtl/>
        </w:rPr>
        <w:t>)، إذا وافقت الدورة الحالية للجمعية العامة على الإجراءات المقترحة مؤخرًا لنقل العناصر المسجلة وإزالته</w:t>
      </w:r>
      <w:r>
        <w:rPr>
          <w:rFonts w:ascii="Arial" w:hAnsi="Arial" w:hint="cs"/>
          <w:snapToGrid w:val="0"/>
          <w:sz w:val="22"/>
          <w:szCs w:val="22"/>
          <w:rtl/>
        </w:rPr>
        <w:t>ا وتسجيلها على أساس موسع/مُقلّص (</w:t>
      </w:r>
      <w:r w:rsidRPr="00B07E6E">
        <w:rPr>
          <w:rFonts w:ascii="Arial" w:hAnsi="Arial" w:hint="eastAsia"/>
          <w:snapToGrid w:val="0"/>
          <w:sz w:val="22"/>
          <w:szCs w:val="22"/>
          <w:rtl/>
        </w:rPr>
        <w:t>انظر</w:t>
      </w:r>
      <w:r w:rsidRPr="00B07E6E">
        <w:rPr>
          <w:rFonts w:ascii="Arial" w:hAnsi="Arial"/>
          <w:snapToGrid w:val="0"/>
          <w:sz w:val="22"/>
          <w:szCs w:val="22"/>
          <w:rtl/>
        </w:rPr>
        <w:t xml:space="preserve"> </w:t>
      </w:r>
      <w:r w:rsidRPr="00F368F4">
        <w:rPr>
          <w:rFonts w:ascii="Arial" w:hAnsi="Arial" w:hint="eastAsia"/>
          <w:snapToGrid w:val="0"/>
          <w:sz w:val="22"/>
          <w:szCs w:val="22"/>
          <w:rtl/>
        </w:rPr>
        <w:t>الفقرتين</w:t>
      </w:r>
      <w:r w:rsidRPr="00F368F4">
        <w:rPr>
          <w:rFonts w:ascii="Arial" w:hAnsi="Arial"/>
          <w:snapToGrid w:val="0"/>
          <w:sz w:val="22"/>
          <w:szCs w:val="22"/>
          <w:rtl/>
        </w:rPr>
        <w:t xml:space="preserve"> 22 </w:t>
      </w:r>
      <w:r w:rsidRPr="00F368F4">
        <w:rPr>
          <w:rFonts w:ascii="Arial" w:hAnsi="Arial" w:hint="eastAsia"/>
          <w:snapToGrid w:val="0"/>
          <w:sz w:val="22"/>
          <w:szCs w:val="22"/>
          <w:rtl/>
        </w:rPr>
        <w:t>و</w:t>
      </w:r>
      <w:r w:rsidRPr="00F368F4">
        <w:rPr>
          <w:rFonts w:ascii="Arial" w:hAnsi="Arial"/>
          <w:snapToGrid w:val="0"/>
          <w:sz w:val="22"/>
          <w:szCs w:val="22"/>
          <w:rtl/>
        </w:rPr>
        <w:t>37</w:t>
      </w:r>
      <w:r w:rsidRPr="00B07E6E">
        <w:rPr>
          <w:rFonts w:ascii="Arial" w:hAnsi="Arial"/>
          <w:snapToGrid w:val="0"/>
          <w:sz w:val="22"/>
          <w:szCs w:val="22"/>
          <w:rtl/>
          <w:lang w:bidi="ar-SA"/>
        </w:rPr>
        <w:t>).</w:t>
      </w:r>
      <w:r>
        <w:rPr>
          <w:rFonts w:ascii="Arial" w:hAnsi="Arial" w:hint="cs"/>
          <w:snapToGrid w:val="0"/>
          <w:sz w:val="22"/>
          <w:szCs w:val="22"/>
          <w:rtl/>
        </w:rPr>
        <w:t xml:space="preserve"> ويقابل هذه </w:t>
      </w:r>
      <w:r w:rsidR="00922B14">
        <w:rPr>
          <w:rFonts w:ascii="Arial" w:hAnsi="Arial" w:hint="cs"/>
          <w:snapToGrid w:val="0"/>
          <w:sz w:val="22"/>
          <w:szCs w:val="22"/>
          <w:rtl/>
        </w:rPr>
        <w:t>الزيادة</w:t>
      </w:r>
      <w:r w:rsidR="00922B14" w:rsidRPr="00197DE3">
        <w:rPr>
          <w:rFonts w:ascii="Arial" w:hAnsi="Arial" w:hint="cs"/>
          <w:snapToGrid w:val="0"/>
          <w:sz w:val="22"/>
          <w:szCs w:val="22"/>
          <w:rtl/>
        </w:rPr>
        <w:t xml:space="preserve"> </w:t>
      </w:r>
      <w:r w:rsidR="00811B4F">
        <w:rPr>
          <w:rFonts w:ascii="Arial" w:hAnsi="Arial"/>
          <w:snapToGrid w:val="0"/>
          <w:sz w:val="22"/>
          <w:szCs w:val="22"/>
        </w:rPr>
        <w:t>)</w:t>
      </w:r>
      <w:r w:rsidR="00922B14" w:rsidRPr="00197DE3">
        <w:rPr>
          <w:rFonts w:ascii="Arial" w:hAnsi="Arial" w:hint="cs"/>
          <w:snapToGrid w:val="0"/>
          <w:sz w:val="22"/>
          <w:szCs w:val="22"/>
          <w:rtl/>
        </w:rPr>
        <w:t>وتلك</w:t>
      </w:r>
      <w:r w:rsidR="00922B14" w:rsidRPr="00F368F4">
        <w:rPr>
          <w:rFonts w:ascii="Arial" w:hAnsi="Arial"/>
          <w:snapToGrid w:val="0"/>
          <w:sz w:val="22"/>
          <w:szCs w:val="22"/>
          <w:rtl/>
        </w:rPr>
        <w:t xml:space="preserve"> </w:t>
      </w:r>
      <w:r w:rsidR="00922B14" w:rsidRPr="00F368F4">
        <w:rPr>
          <w:rFonts w:ascii="Arial" w:hAnsi="Arial" w:hint="eastAsia"/>
          <w:snapToGrid w:val="0"/>
          <w:sz w:val="22"/>
          <w:szCs w:val="22"/>
          <w:rtl/>
        </w:rPr>
        <w:t>الخاصة</w:t>
      </w:r>
      <w:r w:rsidR="00922B14" w:rsidRPr="00F368F4">
        <w:rPr>
          <w:rFonts w:ascii="Arial" w:hAnsi="Arial"/>
          <w:snapToGrid w:val="0"/>
          <w:sz w:val="22"/>
          <w:szCs w:val="22"/>
          <w:rtl/>
        </w:rPr>
        <w:t xml:space="preserve"> </w:t>
      </w:r>
      <w:r w:rsidR="00922B14" w:rsidRPr="00F368F4">
        <w:rPr>
          <w:rFonts w:ascii="Arial" w:hAnsi="Arial" w:hint="eastAsia"/>
          <w:snapToGrid w:val="0"/>
          <w:sz w:val="22"/>
          <w:szCs w:val="22"/>
          <w:rtl/>
        </w:rPr>
        <w:t>ببند</w:t>
      </w:r>
      <w:r w:rsidR="00922B14" w:rsidRPr="00F368F4">
        <w:rPr>
          <w:rFonts w:ascii="Arial" w:hAnsi="Arial"/>
          <w:snapToGrid w:val="0"/>
          <w:sz w:val="22"/>
          <w:szCs w:val="22"/>
          <w:rtl/>
        </w:rPr>
        <w:t xml:space="preserve"> </w:t>
      </w:r>
      <w:r w:rsidR="00922B14" w:rsidRPr="00F368F4">
        <w:rPr>
          <w:rFonts w:ascii="Arial" w:hAnsi="Arial" w:hint="eastAsia"/>
          <w:snapToGrid w:val="0"/>
          <w:sz w:val="22"/>
          <w:szCs w:val="22"/>
          <w:rtl/>
        </w:rPr>
        <w:t>الميزانية</w:t>
      </w:r>
      <w:r w:rsidR="00922B14" w:rsidRPr="00F368F4">
        <w:rPr>
          <w:rFonts w:ascii="Arial" w:hAnsi="Arial"/>
          <w:snapToGrid w:val="0"/>
          <w:sz w:val="22"/>
          <w:szCs w:val="22"/>
          <w:rtl/>
        </w:rPr>
        <w:t xml:space="preserve"> 4 </w:t>
      </w:r>
      <w:r w:rsidR="00922B14" w:rsidRPr="00F368F4">
        <w:rPr>
          <w:rFonts w:ascii="Arial" w:hAnsi="Arial" w:hint="eastAsia"/>
          <w:snapToGrid w:val="0"/>
          <w:sz w:val="22"/>
          <w:szCs w:val="22"/>
          <w:rtl/>
        </w:rPr>
        <w:t>من</w:t>
      </w:r>
      <w:r w:rsidR="00922B14" w:rsidRPr="00F368F4">
        <w:rPr>
          <w:rFonts w:ascii="Arial" w:hAnsi="Arial"/>
          <w:snapToGrid w:val="0"/>
          <w:sz w:val="22"/>
          <w:szCs w:val="22"/>
          <w:rtl/>
        </w:rPr>
        <w:t xml:space="preserve"> 2.63</w:t>
      </w:r>
      <w:r w:rsidR="00922B14">
        <w:rPr>
          <w:rFonts w:ascii="Arial" w:hAnsi="Arial" w:hint="cs"/>
          <w:snapToGrid w:val="0"/>
          <w:sz w:val="22"/>
          <w:szCs w:val="22"/>
          <w:rtl/>
        </w:rPr>
        <w:t>%</w:t>
      </w:r>
      <w:r w:rsidR="00922B14" w:rsidRPr="00F368F4">
        <w:rPr>
          <w:rFonts w:ascii="Arial" w:hAnsi="Arial"/>
          <w:snapToGrid w:val="0"/>
          <w:sz w:val="22"/>
          <w:szCs w:val="22"/>
          <w:rtl/>
        </w:rPr>
        <w:t xml:space="preserve"> </w:t>
      </w:r>
      <w:r w:rsidR="00922B14" w:rsidRPr="00F368F4">
        <w:rPr>
          <w:rFonts w:ascii="Arial" w:hAnsi="Arial" w:hint="eastAsia"/>
          <w:snapToGrid w:val="0"/>
          <w:sz w:val="22"/>
          <w:szCs w:val="22"/>
          <w:rtl/>
        </w:rPr>
        <w:t>إلى</w:t>
      </w:r>
      <w:r w:rsidR="00922B14" w:rsidRPr="00F368F4">
        <w:rPr>
          <w:rFonts w:ascii="Arial" w:hAnsi="Arial"/>
          <w:snapToGrid w:val="0"/>
          <w:sz w:val="22"/>
          <w:szCs w:val="22"/>
          <w:rtl/>
        </w:rPr>
        <w:t xml:space="preserve"> 3.10</w:t>
      </w:r>
      <w:r w:rsidR="00922B14">
        <w:rPr>
          <w:rFonts w:ascii="Arial" w:hAnsi="Arial" w:hint="cs"/>
          <w:snapToGrid w:val="0"/>
          <w:sz w:val="22"/>
          <w:szCs w:val="22"/>
          <w:rtl/>
        </w:rPr>
        <w:t>%</w:t>
      </w:r>
      <w:r w:rsidR="00922B14">
        <w:rPr>
          <w:rFonts w:ascii="Arial" w:hAnsi="Arial"/>
          <w:snapToGrid w:val="0"/>
          <w:sz w:val="22"/>
          <w:szCs w:val="22"/>
        </w:rPr>
        <w:t xml:space="preserve"> (</w:t>
      </w:r>
      <w:r>
        <w:rPr>
          <w:rFonts w:ascii="Arial" w:hAnsi="Arial" w:hint="cs"/>
          <w:snapToGrid w:val="0"/>
          <w:sz w:val="22"/>
          <w:szCs w:val="22"/>
          <w:rtl/>
        </w:rPr>
        <w:t>انخفاضٌ بنسبة 1.96% في البند 1 من الميزانية (المساعدة الدولية) وانخفاض بنسبة 0.79% في البند 1-1 من الميزانية (الموارد البشرية لتحسين آليات المساعدة الدولية</w:t>
      </w:r>
      <w:r w:rsidRPr="006B55AD">
        <w:rPr>
          <w:rFonts w:ascii="Arial" w:hAnsi="Arial" w:hint="cs"/>
          <w:snapToGrid w:val="0"/>
          <w:sz w:val="22"/>
          <w:szCs w:val="22"/>
          <w:rtl/>
          <w:lang w:bidi="ar-SA"/>
        </w:rPr>
        <w:t>).</w:t>
      </w:r>
      <w:r>
        <w:rPr>
          <w:rFonts w:ascii="Arial" w:hAnsi="Arial" w:hint="cs"/>
          <w:snapToGrid w:val="0"/>
          <w:sz w:val="22"/>
          <w:szCs w:val="22"/>
          <w:rtl/>
        </w:rPr>
        <w:t xml:space="preserve"> وفي حين أن البندين 1 و1-1 من الميزانية سينقصان بنسب مئوية، فإن المبالغ الاسمية لهذين البندين ستزيد زيادة طفيفة، لأن الميزانية الإجمالية أعلى مما كانت عليه في فترة السنتين السابقة.</w:t>
      </w:r>
    </w:p>
    <w:p w14:paraId="3BEF7A2F" w14:textId="3693F53C" w:rsidR="00D31F41" w:rsidRDefault="000B583C" w:rsidP="007670BA">
      <w:pPr>
        <w:bidi/>
        <w:spacing w:after="120"/>
        <w:ind w:left="851" w:hanging="284"/>
        <w:jc w:val="both"/>
        <w:rPr>
          <w:rFonts w:ascii="Arial" w:hAnsi="Arial" w:cs="Arial"/>
          <w:snapToGrid w:val="0"/>
          <w:sz w:val="22"/>
          <w:szCs w:val="22"/>
          <w:rtl/>
        </w:rPr>
      </w:pPr>
      <w:r>
        <w:rPr>
          <w:rFonts w:ascii="Arial" w:hAnsi="Arial" w:hint="cs"/>
          <w:snapToGrid w:val="0"/>
          <w:sz w:val="22"/>
          <w:szCs w:val="22"/>
          <w:rtl/>
        </w:rPr>
        <w:t>•</w:t>
      </w:r>
      <w:r>
        <w:rPr>
          <w:rFonts w:ascii="Arial" w:hAnsi="Arial" w:hint="cs"/>
          <w:snapToGrid w:val="0"/>
          <w:sz w:val="22"/>
          <w:szCs w:val="22"/>
          <w:rtl/>
        </w:rPr>
        <w:tab/>
        <w:t xml:space="preserve">مع مراعاة نتائج الذي أجراه مكتب خدمات الإشراف الداخلي، يُقترح توظيف جزء من الأموال في إطار البند 1 من الميزانية لتغطية تكاليف رصد وتقييم المشاريع من أجل تحسين دعم الدول الأطراف في تنفيذ برامج </w:t>
      </w:r>
      <w:r w:rsidR="00494B68" w:rsidRPr="00F368F4">
        <w:rPr>
          <w:rFonts w:ascii="Arial" w:hAnsi="Arial" w:hint="eastAsia"/>
          <w:snapToGrid w:val="0"/>
          <w:sz w:val="22"/>
          <w:szCs w:val="22"/>
          <w:rtl/>
        </w:rPr>
        <w:t>الصون</w:t>
      </w:r>
      <w:r>
        <w:rPr>
          <w:rFonts w:ascii="Arial" w:hAnsi="Arial" w:hint="cs"/>
          <w:snapToGrid w:val="0"/>
          <w:sz w:val="22"/>
          <w:szCs w:val="22"/>
          <w:rtl/>
        </w:rPr>
        <w:t xml:space="preserve"> وقياس مساهمة مشاريع المساعدة الدولية في جهود </w:t>
      </w:r>
      <w:r w:rsidR="00494B68" w:rsidRPr="00423664">
        <w:rPr>
          <w:rFonts w:ascii="Arial" w:hAnsi="Arial"/>
          <w:snapToGrid w:val="0"/>
          <w:sz w:val="22"/>
          <w:szCs w:val="22"/>
          <w:rtl/>
        </w:rPr>
        <w:t>الصون</w:t>
      </w:r>
      <w:r>
        <w:rPr>
          <w:rFonts w:ascii="Arial" w:hAnsi="Arial" w:hint="cs"/>
          <w:snapToGrid w:val="0"/>
          <w:sz w:val="22"/>
          <w:szCs w:val="22"/>
          <w:rtl/>
        </w:rPr>
        <w:t xml:space="preserve"> الوطنية.</w:t>
      </w:r>
    </w:p>
    <w:p w14:paraId="5F651AFF" w14:textId="77777777" w:rsidR="00E7528A" w:rsidRPr="00825A9A" w:rsidRDefault="00E7528A" w:rsidP="007670BA">
      <w:pPr>
        <w:pStyle w:val="GAPara"/>
        <w:keepNext/>
        <w:numPr>
          <w:ilvl w:val="0"/>
          <w:numId w:val="0"/>
        </w:numPr>
        <w:bidi/>
        <w:spacing w:before="240"/>
        <w:ind w:firstLine="567"/>
        <w:jc w:val="both"/>
        <w:rPr>
          <w:rtl/>
        </w:rPr>
      </w:pPr>
      <w:r>
        <w:rPr>
          <w:rFonts w:hint="cs"/>
          <w:b/>
          <w:bCs/>
          <w:rtl/>
        </w:rPr>
        <w:t>المساعدة الدولية</w:t>
      </w:r>
    </w:p>
    <w:p w14:paraId="5364056D" w14:textId="46E916C6" w:rsidR="000B583C" w:rsidRPr="00E64197" w:rsidRDefault="000B583C" w:rsidP="000B583C">
      <w:pPr>
        <w:pStyle w:val="GAPara"/>
        <w:numPr>
          <w:ilvl w:val="0"/>
          <w:numId w:val="19"/>
        </w:numPr>
        <w:bidi/>
        <w:ind w:left="567" w:hanging="567"/>
        <w:jc w:val="both"/>
        <w:rPr>
          <w:rtl/>
        </w:rPr>
      </w:pPr>
      <w:r>
        <w:rPr>
          <w:rFonts w:hint="cs"/>
          <w:rtl/>
        </w:rPr>
        <w:t>تمشيًا مع الأولويات التي حددتها المبادئ التوجيهية لتوظيف موارد الصندوق في الفقرتين 66 و67 من التوجيهات التنفيذية، يُقترح تخصيص أغلبية كبيرة من الموارد (62.6%) لتقديم المساعدة الدولية إلى الدول الأطراف لتكملة جهودها الوطنية الرامية إلى صون التراث الثقافي غير المادي (</w:t>
      </w:r>
      <w:r>
        <w:rPr>
          <w:rFonts w:hint="cs"/>
          <w:b/>
          <w:bCs/>
          <w:rtl/>
        </w:rPr>
        <w:t>بنود الميزانية 1 و1.1 و2</w:t>
      </w:r>
      <w:r w:rsidRPr="006B55AD">
        <w:rPr>
          <w:rFonts w:hint="cs"/>
          <w:rtl/>
          <w:lang w:bidi="ar-SA"/>
        </w:rPr>
        <w:t>).</w:t>
      </w:r>
    </w:p>
    <w:p w14:paraId="179D0CCC" w14:textId="564CF243" w:rsidR="00B30564" w:rsidRPr="00B30564" w:rsidRDefault="00B30564" w:rsidP="00A461F1">
      <w:pPr>
        <w:pStyle w:val="GAPara"/>
        <w:numPr>
          <w:ilvl w:val="0"/>
          <w:numId w:val="19"/>
        </w:numPr>
        <w:bidi/>
        <w:ind w:left="567" w:hanging="567"/>
        <w:jc w:val="both"/>
        <w:rPr>
          <w:rtl/>
        </w:rPr>
      </w:pPr>
      <w:r>
        <w:rPr>
          <w:rFonts w:hint="cs"/>
          <w:rtl/>
        </w:rPr>
        <w:t xml:space="preserve">وكجزء من هذه النسبة المئوية المجمعة، خُصصت أموال إلى </w:t>
      </w:r>
      <w:r>
        <w:rPr>
          <w:rFonts w:hint="cs"/>
          <w:b/>
          <w:bCs/>
          <w:rtl/>
        </w:rPr>
        <w:t>بند الميزانية 1</w:t>
      </w:r>
      <w:r>
        <w:rPr>
          <w:rFonts w:hint="cs"/>
          <w:rtl/>
        </w:rPr>
        <w:t xml:space="preserve"> (50%) يٌتوقع أن يٌقدم الدعم إلى الدول، من خلال آليات المساعدة الدولية، في صون التراث المدرج في قائمة التراث الثقافي غير المادي الذي يحتاج إلى صون عاجل، وإعداد قوائم جرد وغير ذلك من برامج ومشاريع الصون. وعلى الرغم من أن عدد الطلبات قد انخفض خلال فترة السنتين السابقة (</w:t>
      </w:r>
      <w:r w:rsidRPr="005076B6">
        <w:rPr>
          <w:rFonts w:hint="eastAsia"/>
          <w:rtl/>
        </w:rPr>
        <w:t>انظر</w:t>
      </w:r>
      <w:r w:rsidRPr="005076B6">
        <w:rPr>
          <w:rtl/>
        </w:rPr>
        <w:t xml:space="preserve"> </w:t>
      </w:r>
      <w:r w:rsidRPr="00F368F4">
        <w:rPr>
          <w:rFonts w:hint="eastAsia"/>
          <w:rtl/>
        </w:rPr>
        <w:t>الفقرة</w:t>
      </w:r>
      <w:r w:rsidR="006B55AD" w:rsidRPr="00F368F4">
        <w:rPr>
          <w:rtl/>
        </w:rPr>
        <w:t> </w:t>
      </w:r>
      <w:r w:rsidRPr="00F368F4">
        <w:rPr>
          <w:rtl/>
        </w:rPr>
        <w:t>9</w:t>
      </w:r>
      <w:r w:rsidRPr="005076B6">
        <w:rPr>
          <w:rtl/>
        </w:rPr>
        <w:t>)،</w:t>
      </w:r>
      <w:r>
        <w:rPr>
          <w:rFonts w:hint="cs"/>
          <w:rtl/>
        </w:rPr>
        <w:t xml:space="preserve"> فمن المهم الإبقاء على مخصصات البند 1 من الميزانية عند مستوى عال لتمكين الدول الأطراف من تعزيز جهودها في مجال الصون.</w:t>
      </w:r>
    </w:p>
    <w:p w14:paraId="0C7F893B" w14:textId="738FDA52" w:rsidR="00B30564" w:rsidRPr="00E64197" w:rsidRDefault="00B30564" w:rsidP="00B30564">
      <w:pPr>
        <w:pStyle w:val="GAPara"/>
        <w:numPr>
          <w:ilvl w:val="0"/>
          <w:numId w:val="19"/>
        </w:numPr>
        <w:bidi/>
        <w:ind w:left="567" w:hanging="567"/>
        <w:jc w:val="both"/>
        <w:rPr>
          <w:rtl/>
        </w:rPr>
      </w:pPr>
      <w:r>
        <w:rPr>
          <w:rFonts w:hint="cs"/>
          <w:rtl/>
        </w:rPr>
        <w:t xml:space="preserve">وإذ لاحظ </w:t>
      </w:r>
      <w:r w:rsidR="00811B4F">
        <w:rPr>
          <w:rFonts w:hint="cs"/>
          <w:rtl/>
        </w:rPr>
        <w:t>مكتب خدمات الإشراف الداخلي</w:t>
      </w:r>
      <w:r w:rsidR="00811B4F" w:rsidDel="00811B4F">
        <w:rPr>
          <w:rFonts w:hint="cs"/>
          <w:rtl/>
        </w:rPr>
        <w:t xml:space="preserve"> </w:t>
      </w:r>
      <w:r>
        <w:rPr>
          <w:rFonts w:hint="cs"/>
          <w:rtl/>
        </w:rPr>
        <w:t xml:space="preserve">أن المشاريع التي يدعمها صندوق التراث الثقافي غير المادي من خلال آليات المساعدة الدولية تستفيد من "مستوى منخفض نسبيًا من الرصد والتقييم عمومًا"، فقد أوصى </w:t>
      </w:r>
      <w:r w:rsidR="00811B4F">
        <w:rPr>
          <w:rFonts w:hint="cs"/>
          <w:rtl/>
        </w:rPr>
        <w:t>المكتب</w:t>
      </w:r>
      <w:r>
        <w:rPr>
          <w:rFonts w:hint="cs"/>
          <w:rtl/>
        </w:rPr>
        <w:t xml:space="preserve"> بتعزيز نوعية تصميم المشاريع ورصدها والإبلاغ عن نتائجها (التوصية 6 </w:t>
      </w:r>
      <w:r w:rsidR="00811B4F">
        <w:rPr>
          <w:rFonts w:hint="cs"/>
          <w:rtl/>
        </w:rPr>
        <w:t>للمكتب</w:t>
      </w:r>
      <w:r>
        <w:rPr>
          <w:rFonts w:hint="cs"/>
          <w:rtl/>
        </w:rPr>
        <w:t>) وتعزيز "توفير المبادئ التوجيهية والأدوات ذات الصلة لتصميم المشاريع وتنفيذها والإبلاغ عنها" (التوصية 5 ل</w:t>
      </w:r>
      <w:r w:rsidR="00811B4F">
        <w:rPr>
          <w:rFonts w:hint="cs"/>
          <w:rtl/>
        </w:rPr>
        <w:t>لمكتب</w:t>
      </w:r>
      <w:r w:rsidRPr="006B55AD">
        <w:rPr>
          <w:rFonts w:hint="cs"/>
          <w:rtl/>
          <w:lang w:bidi="ar-SA"/>
        </w:rPr>
        <w:t>).</w:t>
      </w:r>
      <w:r>
        <w:rPr>
          <w:rFonts w:hint="cs"/>
          <w:rtl/>
        </w:rPr>
        <w:t xml:space="preserve"> ويتطلب رصد وتقييم فرادى المشاريع موارد كبيرة </w:t>
      </w:r>
      <w:r w:rsidRPr="00B07E6E">
        <w:rPr>
          <w:rFonts w:hint="eastAsia"/>
          <w:rtl/>
        </w:rPr>
        <w:t>للأمانة</w:t>
      </w:r>
      <w:r w:rsidRPr="00B07E6E">
        <w:rPr>
          <w:rtl/>
        </w:rPr>
        <w:t xml:space="preserve"> </w:t>
      </w:r>
      <w:r w:rsidRPr="00B07E6E">
        <w:rPr>
          <w:rFonts w:hint="eastAsia"/>
          <w:rtl/>
        </w:rPr>
        <w:t>والمكاتب</w:t>
      </w:r>
      <w:r w:rsidRPr="00B07E6E">
        <w:rPr>
          <w:rtl/>
        </w:rPr>
        <w:t xml:space="preserve"> </w:t>
      </w:r>
      <w:r w:rsidRPr="00B07E6E">
        <w:rPr>
          <w:rFonts w:hint="eastAsia"/>
          <w:rtl/>
        </w:rPr>
        <w:t>الميدانية</w:t>
      </w:r>
      <w:r>
        <w:rPr>
          <w:rFonts w:hint="cs"/>
          <w:rtl/>
        </w:rPr>
        <w:t xml:space="preserve"> المشاركة في تنفيذ المشاريع المعنية، وسوف تستفيد في بعض الحالات من مساعدة الخبراء الخارجيين، ولا سيما من أجل توفير تقييم مستقل للمشاريع. وتحقيقًا لهذه الغاية، أذنت اللجنة للأمانة – على أساس تجريبي – باستخدام أموال في إطار البند 1 من الميزانية بمبلغ لا يتجاوز 10%</w:t>
      </w:r>
      <w:r w:rsidR="00BC151F">
        <w:rPr>
          <w:rStyle w:val="FootnoteReference"/>
        </w:rPr>
        <w:footnoteReference w:id="1"/>
      </w:r>
      <w:r>
        <w:rPr>
          <w:rFonts w:hint="cs"/>
          <w:rtl/>
        </w:rPr>
        <w:t xml:space="preserve"> من الميزانية لكل مشروع معتمد من مشاريع المساعدة الدولية، لتمويل توفير الخبرة، على النحو المبين في المادة 21 من الاتفاقية، لرصد وتقييم مشاريع المساعدة الدولية الجارية والتي أُنجزت مؤخرًا. وستخصص هذه الأموال الإضافية، المنفصلة عن المنح المخصصة للمستفيدين، لتقييم المشاريع ورصدها وستتولى الأمانة إدارتها مباشرة. وسُتنفذ إجراءات الرصد والتقييم باستخدام المنهجيات التي ستوضع في إطار استراتيجية رصد المساعدة الدولية ويمكن أن تتخذ شكل بعثات رصد وعقود مع فرادى الخبراء يتم التخطيط لها بالتعاون مع الدولة الطرف المعنية ووفقًا لاحتياجات ومتطلبات كل مشروع.</w:t>
      </w:r>
    </w:p>
    <w:p w14:paraId="3CC88F74" w14:textId="308680DC" w:rsidR="00386714" w:rsidRDefault="00B30564" w:rsidP="00386714">
      <w:pPr>
        <w:pStyle w:val="COMPara"/>
        <w:numPr>
          <w:ilvl w:val="0"/>
          <w:numId w:val="19"/>
        </w:numPr>
        <w:tabs>
          <w:tab w:val="left" w:pos="567"/>
        </w:tabs>
        <w:bidi/>
        <w:ind w:left="567" w:hanging="567"/>
        <w:jc w:val="both"/>
        <w:rPr>
          <w:rtl/>
        </w:rPr>
      </w:pPr>
      <w:r>
        <w:rPr>
          <w:rFonts w:hint="cs"/>
          <w:rtl/>
        </w:rPr>
        <w:t>وافقت الجمعية العامة في دورتها السابعة المعقودة في حزيران/يونيو 2018 على إنشاء ثلاث وظائف محددة المدة خارج الميزانية (</w:t>
      </w:r>
      <w:hyperlink r:id="rId29" w:history="1">
        <w:r w:rsidR="00BF7820" w:rsidRPr="00423664">
          <w:rPr>
            <w:rtl/>
          </w:rPr>
          <w:t>القرار</w:t>
        </w:r>
      </w:hyperlink>
      <w:hyperlink r:id="rId30" w:history="1">
        <w:r>
          <w:rPr>
            <w:rStyle w:val="Hyperlink"/>
          </w:rPr>
          <w:t>‎7.</w:t>
        </w:r>
        <w:r w:rsidR="00457336">
          <w:rPr>
            <w:rStyle w:val="Hyperlink"/>
          </w:rPr>
          <w:t>GA </w:t>
        </w:r>
        <w:r>
          <w:rPr>
            <w:rStyle w:val="Hyperlink"/>
          </w:rPr>
          <w:t>8</w:t>
        </w:r>
      </w:hyperlink>
      <w:r>
        <w:rPr>
          <w:rFonts w:hint="cs"/>
          <w:rtl/>
        </w:rPr>
        <w:t>) لتشكيل فريق مخصص لتفعيل تنفيذ آليات المساعدة الدولية. ويُقترح تخصيص نحو 10% من موارد الصندوق لتغطية تكاليف هذه الوظائف الثلاث (</w:t>
      </w:r>
      <w:r>
        <w:rPr>
          <w:rFonts w:hint="cs"/>
          <w:b/>
          <w:bCs/>
          <w:rtl/>
        </w:rPr>
        <w:t>بند الميزانية 1.1</w:t>
      </w:r>
      <w:r w:rsidRPr="006B55AD">
        <w:rPr>
          <w:rFonts w:hint="cs"/>
          <w:rtl/>
          <w:lang w:bidi="ar-SA"/>
        </w:rPr>
        <w:t>).</w:t>
      </w:r>
    </w:p>
    <w:p w14:paraId="3166F2A5" w14:textId="21750D0C" w:rsidR="00BC151F" w:rsidRPr="00386714" w:rsidRDefault="00BC151F" w:rsidP="00386714">
      <w:pPr>
        <w:pStyle w:val="COMPara"/>
        <w:numPr>
          <w:ilvl w:val="0"/>
          <w:numId w:val="19"/>
        </w:numPr>
        <w:tabs>
          <w:tab w:val="left" w:pos="567"/>
        </w:tabs>
        <w:bidi/>
        <w:ind w:left="567" w:hanging="567"/>
        <w:jc w:val="both"/>
        <w:rPr>
          <w:rtl/>
        </w:rPr>
      </w:pPr>
      <w:r>
        <w:rPr>
          <w:rFonts w:hint="cs"/>
          <w:rtl/>
        </w:rPr>
        <w:t xml:space="preserve">وعلاوة على ذلك، يُقترح تخصيص نسبة 2.6% من الأموال في الميزانية لمنح المساعدة </w:t>
      </w:r>
      <w:r w:rsidR="008E2011" w:rsidRPr="00423664">
        <w:rPr>
          <w:rFonts w:cs="Times New Roman" w:hint="cs"/>
          <w:snapToGrid/>
          <w:rtl/>
          <w:lang w:eastAsia="fr-FR"/>
        </w:rPr>
        <w:t>التمهيدية</w:t>
      </w:r>
      <w:r>
        <w:rPr>
          <w:rFonts w:hint="cs"/>
          <w:rtl/>
        </w:rPr>
        <w:t xml:space="preserve"> (</w:t>
      </w:r>
      <w:r>
        <w:rPr>
          <w:rFonts w:hint="cs"/>
          <w:b/>
          <w:bCs/>
          <w:rtl/>
        </w:rPr>
        <w:t>بند الميزانية 2</w:t>
      </w:r>
      <w:r>
        <w:rPr>
          <w:rFonts w:hint="cs"/>
          <w:rtl/>
        </w:rPr>
        <w:t>)، مما يمثل زيادة طفيفة مقارنة بفترة السنتين الحالية (2%</w:t>
      </w:r>
      <w:r w:rsidRPr="006B55AD">
        <w:rPr>
          <w:rFonts w:hint="cs"/>
          <w:rtl/>
          <w:lang w:bidi="ar-SA"/>
        </w:rPr>
        <w:t>).</w:t>
      </w:r>
      <w:r>
        <w:rPr>
          <w:rFonts w:hint="cs"/>
          <w:rtl/>
        </w:rPr>
        <w:t xml:space="preserve"> وبالإضافة إلى المساعدة </w:t>
      </w:r>
      <w:r w:rsidR="008E2011" w:rsidRPr="00423664">
        <w:rPr>
          <w:rFonts w:cs="Times New Roman" w:hint="cs"/>
          <w:snapToGrid/>
          <w:rtl/>
          <w:lang w:eastAsia="fr-FR"/>
        </w:rPr>
        <w:t>التمهيدية</w:t>
      </w:r>
      <w:r>
        <w:rPr>
          <w:rFonts w:hint="cs"/>
          <w:rtl/>
        </w:rPr>
        <w:t xml:space="preserve"> لملفات الترشيح، يغطي هذا البند من الميزانية التكاليف المتكبدة لتقديم المساعدة التقنية إلى الدول الأطراف لإعداد طلبات المساعدة الدولية</w:t>
      </w:r>
      <w:r w:rsidRPr="007670BA">
        <w:rPr>
          <w:vertAlign w:val="superscript"/>
        </w:rPr>
        <w:footnoteReference w:id="2"/>
      </w:r>
      <w:r>
        <w:rPr>
          <w:rFonts w:hint="cs"/>
          <w:rtl/>
        </w:rPr>
        <w:t>.</w:t>
      </w:r>
    </w:p>
    <w:p w14:paraId="2517DE05" w14:textId="330A57FB" w:rsidR="006F6BDA" w:rsidRDefault="00D1599C" w:rsidP="00A31A2E">
      <w:pPr>
        <w:pStyle w:val="COMPara"/>
        <w:keepLines/>
        <w:numPr>
          <w:ilvl w:val="0"/>
          <w:numId w:val="19"/>
        </w:numPr>
        <w:tabs>
          <w:tab w:val="left" w:pos="567"/>
        </w:tabs>
        <w:bidi/>
        <w:ind w:left="567" w:hanging="567"/>
        <w:jc w:val="both"/>
        <w:rPr>
          <w:rtl/>
        </w:rPr>
      </w:pPr>
      <w:r>
        <w:rPr>
          <w:rFonts w:hint="cs"/>
          <w:rtl/>
        </w:rPr>
        <w:lastRenderedPageBreak/>
        <w:t xml:space="preserve">وعلاوة على ذلك، يُقترح – من خلال هذه الخطة – استخدام البند 2 من الميزانية أيضًا لمنح المساعدة </w:t>
      </w:r>
      <w:r w:rsidR="00ED2085" w:rsidRPr="00423664">
        <w:rPr>
          <w:rFonts w:cs="Times New Roman" w:hint="cs"/>
          <w:snapToGrid/>
          <w:rtl/>
          <w:lang w:eastAsia="fr-FR"/>
        </w:rPr>
        <w:t>التمهيدية</w:t>
      </w:r>
      <w:r>
        <w:rPr>
          <w:rFonts w:hint="cs"/>
          <w:rtl/>
        </w:rPr>
        <w:t xml:space="preserve"> لطلبات نقل العناصر المسجلة بين قائمتي الاتفاقية، وكذلك لتسجيل العناصر على أساس موُسّع أو مُقلّص. ويتعلق ذلك </w:t>
      </w:r>
      <w:hyperlink r:id="rId31" w:history="1">
        <w:r>
          <w:rPr>
            <w:rStyle w:val="Hyperlink"/>
            <w:rFonts w:hint="cs"/>
            <w:rtl/>
          </w:rPr>
          <w:t>بتوصية الفريق العامل الحكومي الدولي المفتوح العضوية في إطار التفكير ال</w:t>
        </w:r>
        <w:r w:rsidR="00A57AB4" w:rsidRPr="00A57AB4">
          <w:rPr>
            <w:rStyle w:val="Hyperlink"/>
            <w:rtl/>
          </w:rPr>
          <w:t>شامل</w:t>
        </w:r>
        <w:r>
          <w:rPr>
            <w:rStyle w:val="Hyperlink"/>
            <w:rFonts w:hint="cs"/>
            <w:rtl/>
          </w:rPr>
          <w:t xml:space="preserve"> في آليات الإدراج في اتفاقية عام 2003</w:t>
        </w:r>
      </w:hyperlink>
      <w:r>
        <w:rPr>
          <w:rFonts w:hint="cs"/>
          <w:rtl/>
        </w:rPr>
        <w:t xml:space="preserve"> (الجزء الأول والجزء الثاني) فيما يتعلق باستحداث إجراءات محددة لنقل العناصر المسجلة بين قائمتي الاتفاقية، وكذلك لتسجيل العناصر على أساس موُسّع أو مُقلّص؛ وقد قدمت الدورة السادسة عشرة للجنة هذه التوصية إلى الدورة الح</w:t>
      </w:r>
      <w:r w:rsidRPr="00A31A2E">
        <w:rPr>
          <w:rFonts w:hint="cs"/>
          <w:rtl/>
        </w:rPr>
        <w:t xml:space="preserve">الية للجمعية العامة للنظر فيها في </w:t>
      </w:r>
      <w:r w:rsidRPr="00A31A2E">
        <w:rPr>
          <w:rFonts w:hint="eastAsia"/>
          <w:rtl/>
        </w:rPr>
        <w:t>إطار</w:t>
      </w:r>
      <w:r w:rsidRPr="00A31A2E">
        <w:rPr>
          <w:rtl/>
        </w:rPr>
        <w:t xml:space="preserve"> </w:t>
      </w:r>
      <w:r w:rsidRPr="00A31A2E">
        <w:rPr>
          <w:rFonts w:hint="eastAsia"/>
          <w:rtl/>
        </w:rPr>
        <w:t>البند</w:t>
      </w:r>
      <w:r w:rsidRPr="00A31A2E">
        <w:rPr>
          <w:rtl/>
        </w:rPr>
        <w:t xml:space="preserve"> 9 جدول</w:t>
      </w:r>
      <w:r w:rsidRPr="00A31A2E">
        <w:rPr>
          <w:rFonts w:hint="cs"/>
          <w:rtl/>
        </w:rPr>
        <w:t xml:space="preserve"> الأعمال المؤقت (انظر </w:t>
      </w:r>
      <w:hyperlink r:id="rId32" w:history="1">
        <w:r w:rsidR="00A57AB4" w:rsidRPr="00A31A2E">
          <w:rPr>
            <w:rtl/>
          </w:rPr>
          <w:t>القرار</w:t>
        </w:r>
      </w:hyperlink>
      <w:r w:rsidRPr="00A31A2E">
        <w:rPr>
          <w:rFonts w:hint="cs"/>
          <w:rtl/>
        </w:rPr>
        <w:t xml:space="preserve"> </w:t>
      </w:r>
      <w:hyperlink r:id="rId33" w:history="1">
        <w:r w:rsidRPr="00A31A2E">
          <w:rPr>
            <w:rStyle w:val="Hyperlink"/>
          </w:rPr>
          <w:t>‎16.</w:t>
        </w:r>
        <w:r w:rsidR="00661B32" w:rsidRPr="00A31A2E">
          <w:rPr>
            <w:rStyle w:val="Hyperlink"/>
          </w:rPr>
          <w:t>COM</w:t>
        </w:r>
        <w:r w:rsidR="00661B32">
          <w:rPr>
            <w:rStyle w:val="Hyperlink"/>
          </w:rPr>
          <w:t> </w:t>
        </w:r>
        <w:r w:rsidRPr="00A31A2E">
          <w:rPr>
            <w:rStyle w:val="Hyperlink"/>
          </w:rPr>
          <w:t>14</w:t>
        </w:r>
      </w:hyperlink>
      <w:r w:rsidRPr="00A31A2E">
        <w:rPr>
          <w:rFonts w:hint="cs"/>
          <w:rtl/>
        </w:rPr>
        <w:t xml:space="preserve"> ووثيقة </w:t>
      </w:r>
      <w:hyperlink r:id="rId34" w:history="1">
        <w:r w:rsidRPr="00A31A2E">
          <w:rPr>
            <w:rStyle w:val="Hyperlink"/>
          </w:rPr>
          <w:t>LHE/22/9.GA/9</w:t>
        </w:r>
      </w:hyperlink>
      <w:r w:rsidRPr="006B55AD">
        <w:rPr>
          <w:rtl/>
          <w:lang w:bidi="ar-SA"/>
        </w:rPr>
        <w:t>).</w:t>
      </w:r>
    </w:p>
    <w:p w14:paraId="0BA245EA" w14:textId="4B81DFEC" w:rsidR="00810A9E" w:rsidRDefault="00BC151F" w:rsidP="006F6BDA">
      <w:pPr>
        <w:pStyle w:val="COMPara"/>
        <w:numPr>
          <w:ilvl w:val="0"/>
          <w:numId w:val="19"/>
        </w:numPr>
        <w:tabs>
          <w:tab w:val="left" w:pos="567"/>
        </w:tabs>
        <w:bidi/>
        <w:ind w:left="567" w:hanging="567"/>
        <w:jc w:val="both"/>
        <w:rPr>
          <w:rtl/>
        </w:rPr>
      </w:pPr>
      <w:r>
        <w:rPr>
          <w:rFonts w:hint="cs"/>
          <w:rtl/>
        </w:rPr>
        <w:t>وكجزء من الإجراءات المقترحة، ستتاح للدول الأطراف والجم</w:t>
      </w:r>
      <w:r w:rsidR="00A05004">
        <w:rPr>
          <w:rFonts w:hint="cs"/>
          <w:rtl/>
        </w:rPr>
        <w:t>ا</w:t>
      </w:r>
      <w:r>
        <w:rPr>
          <w:rFonts w:hint="cs"/>
          <w:rtl/>
        </w:rPr>
        <w:t>عات المعنية إمكانية طلب مشورة الخبراء قبل تقديم طلب النقل أو التسجيل على أساس موُسّع أو مُقلّص ("الإجراءات السابقة لتقديم الطلب"</w:t>
      </w:r>
      <w:r w:rsidRPr="006B55AD">
        <w:rPr>
          <w:rFonts w:hint="cs"/>
          <w:rtl/>
          <w:lang w:bidi="ar-SA"/>
        </w:rPr>
        <w:t>).</w:t>
      </w:r>
      <w:r>
        <w:rPr>
          <w:rFonts w:hint="cs"/>
          <w:rtl/>
        </w:rPr>
        <w:t xml:space="preserve"> وبالاستجابة إلى رسالة موجهة من جانب الدولة الطرف تلتمس فيها المساعدة، فإنه يمكن للأمانة أن تتخذ الترتيبات اللازمة لتوفير الخبرة اللازمة – على النحو المبين في المادة 21 من الاتفاقية – لمساعدة الدولة </w:t>
      </w:r>
      <w:r w:rsidR="00234013">
        <w:rPr>
          <w:rFonts w:hint="cs"/>
          <w:rtl/>
        </w:rPr>
        <w:t>والجماعات</w:t>
      </w:r>
      <w:r w:rsidR="00234013" w:rsidDel="00234013">
        <w:rPr>
          <w:rFonts w:hint="cs"/>
          <w:rtl/>
        </w:rPr>
        <w:t xml:space="preserve"> </w:t>
      </w:r>
      <w:r>
        <w:rPr>
          <w:rFonts w:hint="cs"/>
          <w:rtl/>
        </w:rPr>
        <w:t xml:space="preserve">على تقديم الطلبات من هذا النوع. وإذا وافقت الجمعية العامة الحالية على إمكانية "تقديم المساعدة في الإجراءات السابقة </w:t>
      </w:r>
      <w:r w:rsidR="005076B6">
        <w:rPr>
          <w:rFonts w:hint="cs"/>
          <w:rtl/>
        </w:rPr>
        <w:t>لتقديم</w:t>
      </w:r>
      <w:r w:rsidR="005076B6" w:rsidDel="005076B6">
        <w:rPr>
          <w:rFonts w:hint="cs"/>
          <w:rtl/>
        </w:rPr>
        <w:t xml:space="preserve"> </w:t>
      </w:r>
      <w:r>
        <w:rPr>
          <w:rFonts w:hint="cs"/>
          <w:rtl/>
        </w:rPr>
        <w:t xml:space="preserve">الطلب" في </w:t>
      </w:r>
      <w:r w:rsidRPr="005076B6">
        <w:rPr>
          <w:rFonts w:hint="eastAsia"/>
          <w:rtl/>
        </w:rPr>
        <w:t>إطار</w:t>
      </w:r>
      <w:r w:rsidRPr="005076B6">
        <w:rPr>
          <w:rtl/>
        </w:rPr>
        <w:t xml:space="preserve"> </w:t>
      </w:r>
      <w:r w:rsidRPr="00F368F4">
        <w:rPr>
          <w:rFonts w:hint="eastAsia"/>
          <w:rtl/>
        </w:rPr>
        <w:t>البند</w:t>
      </w:r>
      <w:r w:rsidRPr="00F368F4">
        <w:rPr>
          <w:rtl/>
        </w:rPr>
        <w:t xml:space="preserve"> 9</w:t>
      </w:r>
      <w:r w:rsidRPr="005076B6">
        <w:rPr>
          <w:rFonts w:hint="eastAsia"/>
          <w:rtl/>
        </w:rPr>
        <w:t>،</w:t>
      </w:r>
      <w:r w:rsidRPr="005076B6">
        <w:rPr>
          <w:rtl/>
        </w:rPr>
        <w:t xml:space="preserve"> </w:t>
      </w:r>
      <w:r w:rsidRPr="005076B6">
        <w:rPr>
          <w:rFonts w:hint="eastAsia"/>
          <w:rtl/>
        </w:rPr>
        <w:t>فمن</w:t>
      </w:r>
      <w:r>
        <w:rPr>
          <w:rFonts w:hint="cs"/>
          <w:rtl/>
        </w:rPr>
        <w:t xml:space="preserve"> شأن زيادة المخصصات المقترحة من 2% إلى 2.6% أن تسمح بتقديم هذه المساعدة لعدد أولي من الطلبات التي قد تتلقاها الأمانة خلال فترة السنتين 2022-2023.</w:t>
      </w:r>
      <w:bookmarkStart w:id="2" w:name="_Hlk84601281"/>
    </w:p>
    <w:bookmarkEnd w:id="2"/>
    <w:p w14:paraId="3AD45DED" w14:textId="50783B52" w:rsidR="00E7528A" w:rsidRPr="009C1BB3" w:rsidRDefault="00E7528A" w:rsidP="007670BA">
      <w:pPr>
        <w:pStyle w:val="GAPara"/>
        <w:keepNext/>
        <w:numPr>
          <w:ilvl w:val="0"/>
          <w:numId w:val="0"/>
        </w:numPr>
        <w:bidi/>
        <w:spacing w:before="240"/>
        <w:ind w:firstLine="567"/>
        <w:rPr>
          <w:b/>
          <w:bCs/>
          <w:rtl/>
        </w:rPr>
      </w:pPr>
      <w:r>
        <w:rPr>
          <w:rFonts w:hint="cs"/>
          <w:b/>
          <w:bCs/>
          <w:rtl/>
        </w:rPr>
        <w:t>"</w:t>
      </w:r>
      <w:r w:rsidR="0018136C">
        <w:rPr>
          <w:b/>
          <w:bCs/>
        </w:rPr>
        <w:t xml:space="preserve"> </w:t>
      </w:r>
      <w:r w:rsidR="00317601" w:rsidRPr="00F368F4">
        <w:rPr>
          <w:rFonts w:hint="eastAsia"/>
          <w:b/>
          <w:bCs/>
          <w:rtl/>
        </w:rPr>
        <w:t>ال</w:t>
      </w:r>
      <w:r w:rsidR="00317601" w:rsidRPr="00F368F4">
        <w:rPr>
          <w:b/>
          <w:bCs/>
          <w:rtl/>
        </w:rPr>
        <w:t xml:space="preserve">مهام </w:t>
      </w:r>
      <w:r w:rsidR="00317601" w:rsidRPr="00F368F4">
        <w:rPr>
          <w:rFonts w:hint="eastAsia"/>
          <w:b/>
          <w:bCs/>
          <w:rtl/>
        </w:rPr>
        <w:t>الأخرى</w:t>
      </w:r>
      <w:r w:rsidR="00317601" w:rsidRPr="00F368F4">
        <w:rPr>
          <w:b/>
          <w:bCs/>
          <w:rtl/>
        </w:rPr>
        <w:t xml:space="preserve"> للجن</w:t>
      </w:r>
      <w:r w:rsidR="00317601" w:rsidRPr="00F368F4">
        <w:rPr>
          <w:rFonts w:hint="eastAsia"/>
          <w:b/>
          <w:bCs/>
          <w:rtl/>
        </w:rPr>
        <w:t>ة</w:t>
      </w:r>
      <w:r>
        <w:rPr>
          <w:rFonts w:hint="cs"/>
          <w:b/>
          <w:bCs/>
          <w:rtl/>
        </w:rPr>
        <w:t>"</w:t>
      </w:r>
    </w:p>
    <w:p w14:paraId="73A247CB" w14:textId="28E63433" w:rsidR="00810A9E" w:rsidRPr="00810A9E" w:rsidRDefault="00810A9E" w:rsidP="004038A0">
      <w:pPr>
        <w:pStyle w:val="COMPara"/>
        <w:numPr>
          <w:ilvl w:val="0"/>
          <w:numId w:val="19"/>
        </w:numPr>
        <w:tabs>
          <w:tab w:val="left" w:pos="567"/>
        </w:tabs>
        <w:bidi/>
        <w:ind w:left="567" w:hanging="567"/>
        <w:jc w:val="both"/>
        <w:rPr>
          <w:rtl/>
        </w:rPr>
      </w:pPr>
      <w:r>
        <w:rPr>
          <w:rFonts w:hint="cs"/>
          <w:rtl/>
        </w:rPr>
        <w:t xml:space="preserve">سوف يتم الحفاظ على </w:t>
      </w:r>
      <w:r>
        <w:rPr>
          <w:rFonts w:hint="cs"/>
          <w:b/>
          <w:bCs/>
          <w:rtl/>
        </w:rPr>
        <w:t>بند الميزانية 3</w:t>
      </w:r>
      <w:r>
        <w:rPr>
          <w:rFonts w:hint="cs"/>
          <w:rtl/>
        </w:rPr>
        <w:t xml:space="preserve"> ("</w:t>
      </w:r>
      <w:r w:rsidR="00317601" w:rsidRPr="009028B3">
        <w:rPr>
          <w:rFonts w:hint="eastAsia"/>
          <w:rtl/>
        </w:rPr>
        <w:t>ال</w:t>
      </w:r>
      <w:r w:rsidR="00317601" w:rsidRPr="009028B3">
        <w:rPr>
          <w:rtl/>
        </w:rPr>
        <w:t xml:space="preserve">مهام </w:t>
      </w:r>
      <w:r w:rsidR="00317601" w:rsidRPr="00290757">
        <w:rPr>
          <w:rFonts w:hint="cs"/>
          <w:rtl/>
        </w:rPr>
        <w:t>الأخر</w:t>
      </w:r>
      <w:r w:rsidR="00317601" w:rsidRPr="009028B3">
        <w:rPr>
          <w:rFonts w:hint="eastAsia"/>
          <w:rtl/>
        </w:rPr>
        <w:t>ى</w:t>
      </w:r>
      <w:r w:rsidR="00317601" w:rsidRPr="004D0007">
        <w:rPr>
          <w:rFonts w:hint="cs"/>
          <w:rtl/>
        </w:rPr>
        <w:t xml:space="preserve"> للجن</w:t>
      </w:r>
      <w:r w:rsidR="00317601" w:rsidRPr="004D0007">
        <w:rPr>
          <w:rFonts w:hint="eastAsia"/>
          <w:rtl/>
        </w:rPr>
        <w:t>ة</w:t>
      </w:r>
      <w:r>
        <w:rPr>
          <w:rFonts w:hint="cs"/>
          <w:rtl/>
        </w:rPr>
        <w:t xml:space="preserve">") عند مستوى 20% من أجل تعزيز العمل الذي بدأ خلال فترة السنتين الحالية، مع مراعاة التوصيات المقدمة في </w:t>
      </w:r>
      <w:r w:rsidR="00317601">
        <w:rPr>
          <w:rFonts w:hint="cs"/>
          <w:rtl/>
        </w:rPr>
        <w:t xml:space="preserve">تقييم </w:t>
      </w:r>
      <w:r w:rsidR="00317601" w:rsidRPr="00F368F4">
        <w:rPr>
          <w:rFonts w:hint="eastAsia"/>
          <w:rtl/>
        </w:rPr>
        <w:t>خدمات</w:t>
      </w:r>
      <w:r w:rsidR="00317601" w:rsidRPr="00F368F4">
        <w:rPr>
          <w:rtl/>
        </w:rPr>
        <w:t xml:space="preserve"> </w:t>
      </w:r>
      <w:r w:rsidR="00317601" w:rsidRPr="00F368F4">
        <w:rPr>
          <w:rFonts w:hint="eastAsia"/>
          <w:rtl/>
        </w:rPr>
        <w:t>الإشراف</w:t>
      </w:r>
      <w:r w:rsidR="00317601" w:rsidRPr="00F368F4">
        <w:rPr>
          <w:rtl/>
        </w:rPr>
        <w:t xml:space="preserve"> </w:t>
      </w:r>
      <w:r w:rsidR="00317601" w:rsidRPr="00F368F4">
        <w:rPr>
          <w:rFonts w:hint="eastAsia"/>
          <w:rtl/>
        </w:rPr>
        <w:t>الداخلي</w:t>
      </w:r>
      <w:r w:rsidR="00317601" w:rsidDel="00317601">
        <w:rPr>
          <w:rFonts w:hint="cs"/>
          <w:rtl/>
        </w:rPr>
        <w:t xml:space="preserve"> </w:t>
      </w:r>
      <w:r>
        <w:rPr>
          <w:rFonts w:hint="cs"/>
          <w:rtl/>
        </w:rPr>
        <w:t>لعام 2021. وترد هذه المهام في إطار المادة 7 من الاتفاقية، وتستخدم الأمانة هذه الأموال لمساعدة اللجنة في أداء هذه المهام، على النحو المطلوب في المادة 10 من الاتفاقية. وستستخدم هذه الأموال في الإجراءات التمهيدية والشاملة التي تهدف إلى تعزيز أهداف الاتفاقية وتشجيع ورصد تنفيذها (المادة 7(أ))، فضلاً عن تقديم التوجيه بشأن تدابير صون التراث الثقافي غير المادي (المادة 7(ب)</w:t>
      </w:r>
      <w:r w:rsidRPr="006B55AD">
        <w:rPr>
          <w:rFonts w:hint="cs"/>
          <w:rtl/>
          <w:lang w:bidi="ar-SA"/>
        </w:rPr>
        <w:t>).</w:t>
      </w:r>
    </w:p>
    <w:p w14:paraId="45158670" w14:textId="77777777" w:rsidR="00287AAB" w:rsidRDefault="004038A0" w:rsidP="00462895">
      <w:pPr>
        <w:pStyle w:val="COMPara"/>
        <w:keepNext/>
        <w:numPr>
          <w:ilvl w:val="0"/>
          <w:numId w:val="19"/>
        </w:numPr>
        <w:tabs>
          <w:tab w:val="left" w:pos="567"/>
        </w:tabs>
        <w:bidi/>
        <w:ind w:left="567" w:hanging="567"/>
        <w:jc w:val="both"/>
      </w:pPr>
      <w:r>
        <w:rPr>
          <w:rFonts w:hint="cs"/>
          <w:rtl/>
        </w:rPr>
        <w:t>وفي دورتها الرابعة عشرة في عام 2019، أدخلت اللجنة إجراء جديدًا للموافقة على خطة الإنفاق في إطار البند 3 من الميزانية (</w:t>
      </w:r>
      <w:hyperlink r:id="rId35" w:history="1">
        <w:r w:rsidR="00B82CE1" w:rsidRPr="00423664">
          <w:rPr>
            <w:rtl/>
          </w:rPr>
          <w:t>القرار</w:t>
        </w:r>
      </w:hyperlink>
      <w:r>
        <w:rPr>
          <w:rFonts w:hint="cs"/>
          <w:rtl/>
        </w:rPr>
        <w:t xml:space="preserve"> </w:t>
      </w:r>
      <w:hyperlink r:id="rId36" w:history="1">
        <w:r>
          <w:rPr>
            <w:rStyle w:val="Hyperlink"/>
          </w:rPr>
          <w:t>‎14.</w:t>
        </w:r>
        <w:r w:rsidR="00D20FFE">
          <w:rPr>
            <w:rStyle w:val="Hyperlink"/>
          </w:rPr>
          <w:t>COM </w:t>
        </w:r>
        <w:r>
          <w:rPr>
            <w:rStyle w:val="Hyperlink"/>
          </w:rPr>
          <w:t>7</w:t>
        </w:r>
      </w:hyperlink>
      <w:r w:rsidRPr="006B55AD">
        <w:rPr>
          <w:rtl/>
          <w:lang w:bidi="ar-SA"/>
        </w:rPr>
        <w:t>).</w:t>
      </w:r>
      <w:r>
        <w:rPr>
          <w:rFonts w:hint="cs"/>
          <w:rtl/>
        </w:rPr>
        <w:t xml:space="preserve"> ووفقًا لهذا المقرر، تتضمن الخطة المقترحة المقدمة إلى الجمعية العامة تحليلاً للنسبة المئوية في إطار البند 3 من الميزانية من حيث "النتائج المتوقعة" وفقًا للجدول المعتمد جيم/5. واستمرارًا للنهج المتبعة خلال فترة السنتين السابقة، فإن </w:t>
      </w:r>
      <w:r>
        <w:rPr>
          <w:rStyle w:val="hps"/>
          <w:rFonts w:hint="cs"/>
          <w:rtl/>
        </w:rPr>
        <w:t xml:space="preserve">النتائج المتوقعة المقترحة تتماشى مع </w:t>
      </w:r>
      <w:r>
        <w:rPr>
          <w:rFonts w:hint="cs"/>
          <w:rtl/>
        </w:rPr>
        <w:t xml:space="preserve">مؤشرات الأداء المحددة في </w:t>
      </w:r>
      <w:hyperlink r:id="rId37" w:history="1">
        <w:r>
          <w:rPr>
            <w:rStyle w:val="Hyperlink"/>
          </w:rPr>
          <w:t>‎41 C/5</w:t>
        </w:r>
      </w:hyperlink>
      <w:r>
        <w:rPr>
          <w:rFonts w:hint="cs"/>
          <w:rtl/>
        </w:rPr>
        <w:t xml:space="preserve"> للنتيجة 5 من القسم المعني بالثقافة في برنامج "ثقافة البرنامج الرئيسي الرابع"، وتحديدًا الناتج </w:t>
      </w:r>
      <w:r>
        <w:t>‎5.CLT4</w:t>
      </w:r>
      <w:r>
        <w:rPr>
          <w:rFonts w:hint="cs"/>
          <w:rtl/>
        </w:rPr>
        <w:t xml:space="preserve"> المختص بقدرة "الدول الأعضاء والجم</w:t>
      </w:r>
      <w:r w:rsidR="00B82CE1">
        <w:rPr>
          <w:rFonts w:hint="cs"/>
          <w:rtl/>
        </w:rPr>
        <w:t>ا</w:t>
      </w:r>
      <w:r>
        <w:rPr>
          <w:rFonts w:hint="cs"/>
          <w:rtl/>
        </w:rPr>
        <w:t>عات المعززة على تحديد و</w:t>
      </w:r>
      <w:r w:rsidR="00B82CE1">
        <w:rPr>
          <w:rFonts w:hint="cs"/>
          <w:rtl/>
        </w:rPr>
        <w:t>صون</w:t>
      </w:r>
      <w:r>
        <w:rPr>
          <w:rFonts w:hint="cs"/>
          <w:rtl/>
        </w:rPr>
        <w:t xml:space="preserve"> وتعزيز التراث الحي".</w:t>
      </w:r>
    </w:p>
    <w:p w14:paraId="4D3C06D5" w14:textId="15ADBC17" w:rsidR="00B34498" w:rsidRDefault="004038A0" w:rsidP="00287AAB">
      <w:pPr>
        <w:pStyle w:val="COMPara"/>
        <w:keepNext/>
        <w:numPr>
          <w:ilvl w:val="0"/>
          <w:numId w:val="19"/>
        </w:numPr>
        <w:tabs>
          <w:tab w:val="left" w:pos="567"/>
        </w:tabs>
        <w:bidi/>
        <w:ind w:left="567" w:hanging="567"/>
        <w:jc w:val="both"/>
        <w:rPr>
          <w:rtl/>
        </w:rPr>
      </w:pPr>
      <w:r>
        <w:rPr>
          <w:rFonts w:hint="cs"/>
          <w:rtl/>
        </w:rPr>
        <w:t>ويهدف توزيع الميزانية المقترح لفترة السنتين الحالية إلى تحقيق التوازن في المخصصات بين مختلف النتائج المتوقعة:</w:t>
      </w:r>
    </w:p>
    <w:tbl>
      <w:tblPr>
        <w:tblpPr w:leftFromText="141" w:rightFromText="141" w:vertAnchor="text" w:horzAnchor="margin" w:tblpXSpec="center" w:tblpY="66"/>
        <w:bidiVisual/>
        <w:tblW w:w="8340" w:type="dxa"/>
        <w:tblLook w:val="04A0" w:firstRow="1" w:lastRow="0" w:firstColumn="1" w:lastColumn="0" w:noHBand="0" w:noVBand="1"/>
      </w:tblPr>
      <w:tblGrid>
        <w:gridCol w:w="5283"/>
        <w:gridCol w:w="1528"/>
        <w:gridCol w:w="1529"/>
      </w:tblGrid>
      <w:tr w:rsidR="00365731" w:rsidRPr="00E64197" w14:paraId="65963AFB" w14:textId="77777777" w:rsidTr="00CF1D33">
        <w:trPr>
          <w:cantSplit/>
          <w:trHeight w:val="576"/>
        </w:trPr>
        <w:tc>
          <w:tcPr>
            <w:tcW w:w="5283" w:type="dxa"/>
            <w:shd w:val="clear" w:color="auto" w:fill="BFBFBF"/>
          </w:tcPr>
          <w:p w14:paraId="2D15A496" w14:textId="6FC13334" w:rsidR="00365731" w:rsidRPr="00E64197" w:rsidRDefault="00365731" w:rsidP="008B1330">
            <w:pPr>
              <w:keepNext/>
              <w:keepLines/>
              <w:bidi/>
              <w:spacing w:before="60" w:after="60"/>
              <w:ind w:left="567" w:hanging="567"/>
              <w:rPr>
                <w:rFonts w:ascii="Arial" w:hAnsi="Arial" w:cs="Arial"/>
                <w:b/>
                <w:sz w:val="20"/>
                <w:szCs w:val="20"/>
                <w:rtl/>
              </w:rPr>
            </w:pPr>
            <w:r>
              <w:rPr>
                <w:rFonts w:hint="cs"/>
                <w:rtl/>
              </w:rPr>
              <w:t xml:space="preserve"> </w:t>
            </w:r>
            <w:r>
              <w:rPr>
                <w:rFonts w:ascii="Arial" w:hAnsi="Arial" w:hint="cs"/>
                <w:b/>
                <w:bCs/>
                <w:sz w:val="20"/>
                <w:szCs w:val="20"/>
                <w:rtl/>
              </w:rPr>
              <w:t>النتيجة</w:t>
            </w:r>
            <w:r w:rsidR="002203B6" w:rsidRPr="00F368F4">
              <w:rPr>
                <w:rFonts w:ascii="Arial" w:hAnsi="Arial"/>
                <w:b/>
                <w:bCs/>
                <w:sz w:val="20"/>
                <w:szCs w:val="20"/>
                <w:rtl/>
              </w:rPr>
              <w:t xml:space="preserve"> المنشودة</w:t>
            </w:r>
          </w:p>
        </w:tc>
        <w:tc>
          <w:tcPr>
            <w:tcW w:w="1528" w:type="dxa"/>
            <w:shd w:val="clear" w:color="auto" w:fill="BFBFBF"/>
          </w:tcPr>
          <w:p w14:paraId="3257DBBF" w14:textId="77777777" w:rsidR="00365731" w:rsidRPr="00E64197" w:rsidRDefault="00365731" w:rsidP="00D20486">
            <w:pPr>
              <w:keepNext/>
              <w:keepLines/>
              <w:bidi/>
              <w:spacing w:before="60" w:after="60"/>
              <w:ind w:left="567" w:hanging="567"/>
              <w:jc w:val="center"/>
              <w:rPr>
                <w:rFonts w:ascii="Arial" w:hAnsi="Arial" w:cs="Arial"/>
                <w:b/>
                <w:sz w:val="20"/>
                <w:szCs w:val="20"/>
                <w:rtl/>
              </w:rPr>
            </w:pPr>
            <w:r>
              <w:rPr>
                <w:rFonts w:ascii="Arial" w:hAnsi="Arial" w:hint="cs"/>
                <w:b/>
                <w:bCs/>
                <w:sz w:val="20"/>
                <w:szCs w:val="20"/>
                <w:rtl/>
              </w:rPr>
              <w:t>2020</w:t>
            </w:r>
            <w:r>
              <w:rPr>
                <w:rFonts w:ascii="Arial" w:hAnsi="Arial" w:hint="cs"/>
                <w:b/>
                <w:bCs/>
                <w:sz w:val="20"/>
                <w:szCs w:val="20"/>
                <w:rtl/>
              </w:rPr>
              <w:sym w:font="Symbol" w:char="F02D"/>
            </w:r>
            <w:r>
              <w:rPr>
                <w:rFonts w:ascii="Arial" w:hAnsi="Arial" w:hint="cs"/>
                <w:b/>
                <w:bCs/>
                <w:sz w:val="20"/>
                <w:szCs w:val="20"/>
                <w:rtl/>
              </w:rPr>
              <w:t>2021</w:t>
            </w:r>
            <w:r w:rsidRPr="00E64197">
              <w:rPr>
                <w:rStyle w:val="FootnoteReference"/>
                <w:rFonts w:ascii="Arial" w:hAnsi="Arial" w:cs="Arial"/>
                <w:b/>
                <w:sz w:val="20"/>
                <w:szCs w:val="20"/>
                <w:lang w:val="en-GB"/>
              </w:rPr>
              <w:footnoteReference w:id="3"/>
            </w:r>
          </w:p>
        </w:tc>
        <w:tc>
          <w:tcPr>
            <w:tcW w:w="1529" w:type="dxa"/>
            <w:shd w:val="clear" w:color="auto" w:fill="BFBFBF"/>
          </w:tcPr>
          <w:p w14:paraId="6F95EC46" w14:textId="698E4030" w:rsidR="00365731" w:rsidRPr="002B061E" w:rsidRDefault="00365731" w:rsidP="00D20486">
            <w:pPr>
              <w:keepNext/>
              <w:keepLines/>
              <w:bidi/>
              <w:spacing w:before="60" w:after="60"/>
              <w:ind w:left="567" w:hanging="567"/>
              <w:jc w:val="center"/>
              <w:rPr>
                <w:rFonts w:ascii="Arial" w:hAnsi="Arial" w:cs="Arial"/>
                <w:b/>
                <w:sz w:val="20"/>
                <w:szCs w:val="20"/>
                <w:rtl/>
              </w:rPr>
            </w:pPr>
            <w:r>
              <w:rPr>
                <w:rFonts w:ascii="Arial" w:hAnsi="Arial" w:hint="cs"/>
                <w:b/>
                <w:bCs/>
                <w:sz w:val="20"/>
                <w:szCs w:val="20"/>
                <w:rtl/>
              </w:rPr>
              <w:t>2022</w:t>
            </w:r>
            <w:r>
              <w:rPr>
                <w:rFonts w:ascii="Arial" w:hAnsi="Arial" w:hint="cs"/>
                <w:b/>
                <w:bCs/>
                <w:sz w:val="20"/>
                <w:szCs w:val="20"/>
                <w:rtl/>
              </w:rPr>
              <w:sym w:font="Symbol" w:char="F02D"/>
            </w:r>
            <w:r>
              <w:rPr>
                <w:rFonts w:ascii="Arial" w:hAnsi="Arial" w:hint="cs"/>
                <w:b/>
                <w:bCs/>
                <w:sz w:val="20"/>
                <w:szCs w:val="20"/>
                <w:rtl/>
              </w:rPr>
              <w:t>2023</w:t>
            </w:r>
          </w:p>
        </w:tc>
      </w:tr>
      <w:tr w:rsidR="00365731" w:rsidRPr="00E64197" w14:paraId="3104FEE0" w14:textId="77777777" w:rsidTr="00CF1D33">
        <w:trPr>
          <w:cantSplit/>
          <w:trHeight w:val="707"/>
        </w:trPr>
        <w:tc>
          <w:tcPr>
            <w:tcW w:w="5283" w:type="dxa"/>
            <w:shd w:val="clear" w:color="auto" w:fill="auto"/>
          </w:tcPr>
          <w:p w14:paraId="4F618B45" w14:textId="29552E87" w:rsidR="00365731" w:rsidRPr="00E64197" w:rsidRDefault="00365731" w:rsidP="00F368F4">
            <w:pPr>
              <w:keepNext/>
              <w:keepLines/>
              <w:bidi/>
              <w:spacing w:before="60" w:after="60"/>
              <w:ind w:left="1287" w:hanging="1284"/>
              <w:rPr>
                <w:rFonts w:ascii="Arial" w:hAnsi="Arial" w:cs="Arial"/>
                <w:sz w:val="20"/>
                <w:szCs w:val="20"/>
                <w:rtl/>
              </w:rPr>
            </w:pPr>
            <w:r>
              <w:rPr>
                <w:rFonts w:ascii="Arial" w:hAnsi="Arial" w:hint="cs"/>
                <w:sz w:val="20"/>
                <w:szCs w:val="20"/>
                <w:rtl/>
              </w:rPr>
              <w:t xml:space="preserve">النتيجة </w:t>
            </w:r>
            <w:r w:rsidR="002203B6" w:rsidRPr="00CA70BB">
              <w:rPr>
                <w:rFonts w:ascii="Arial" w:hAnsi="Arial" w:cs="Arial"/>
                <w:sz w:val="22"/>
                <w:szCs w:val="22"/>
                <w:rtl/>
              </w:rPr>
              <w:t>المنشودة</w:t>
            </w:r>
            <w:r>
              <w:rPr>
                <w:rFonts w:ascii="Arial" w:hAnsi="Arial" w:hint="cs"/>
                <w:sz w:val="20"/>
                <w:szCs w:val="20"/>
                <w:rtl/>
              </w:rPr>
              <w:t xml:space="preserve"> 1</w:t>
            </w:r>
            <w:r w:rsidRPr="00F368F4">
              <w:rPr>
                <w:rFonts w:ascii="Arial" w:hAnsi="Arial" w:cs="Arial"/>
                <w:sz w:val="22"/>
                <w:szCs w:val="22"/>
                <w:rtl/>
              </w:rPr>
              <w:t>:</w:t>
            </w:r>
            <w:r w:rsidR="002203B6">
              <w:rPr>
                <w:rFonts w:ascii="Arial" w:hAnsi="Arial" w:cs="Arial"/>
                <w:sz w:val="22"/>
                <w:szCs w:val="22"/>
              </w:rPr>
              <w:t xml:space="preserve"> </w:t>
            </w:r>
            <w:r w:rsidR="002203B6" w:rsidRPr="00CA70BB">
              <w:rPr>
                <w:rFonts w:ascii="Arial" w:hAnsi="Arial" w:cs="Arial"/>
                <w:sz w:val="22"/>
                <w:szCs w:val="22"/>
                <w:rtl/>
              </w:rPr>
              <w:t>تيسير الحوكمة السليمة لاتفاقية عام 2003 من خلال تعزيز خدمات الرصد وإدارة المعارف</w:t>
            </w:r>
          </w:p>
        </w:tc>
        <w:tc>
          <w:tcPr>
            <w:tcW w:w="1528" w:type="dxa"/>
          </w:tcPr>
          <w:p w14:paraId="6C28B8F8" w14:textId="77777777" w:rsidR="00365731" w:rsidRPr="00E64197" w:rsidRDefault="00365731" w:rsidP="00D20486">
            <w:pPr>
              <w:keepNext/>
              <w:keepLines/>
              <w:bidi/>
              <w:spacing w:before="60" w:after="60"/>
              <w:ind w:left="567" w:hanging="567"/>
              <w:jc w:val="center"/>
              <w:rPr>
                <w:rFonts w:ascii="Arial" w:hAnsi="Arial" w:cs="Arial"/>
                <w:sz w:val="20"/>
                <w:szCs w:val="20"/>
                <w:rtl/>
              </w:rPr>
            </w:pPr>
            <w:r>
              <w:rPr>
                <w:rFonts w:ascii="Arial" w:hAnsi="Arial" w:hint="cs"/>
                <w:sz w:val="20"/>
                <w:szCs w:val="20"/>
                <w:rtl/>
              </w:rPr>
              <w:t>27%</w:t>
            </w:r>
          </w:p>
        </w:tc>
        <w:tc>
          <w:tcPr>
            <w:tcW w:w="1529" w:type="dxa"/>
            <w:shd w:val="clear" w:color="auto" w:fill="auto"/>
          </w:tcPr>
          <w:p w14:paraId="714CF94D" w14:textId="77777777" w:rsidR="00365731" w:rsidRPr="00E64197" w:rsidRDefault="00365731" w:rsidP="00D20486">
            <w:pPr>
              <w:keepNext/>
              <w:keepLines/>
              <w:bidi/>
              <w:spacing w:before="60" w:after="60"/>
              <w:ind w:left="567" w:hanging="567"/>
              <w:jc w:val="center"/>
              <w:rPr>
                <w:rFonts w:ascii="Arial" w:hAnsi="Arial" w:cs="Arial"/>
                <w:b/>
                <w:bCs/>
                <w:sz w:val="20"/>
                <w:szCs w:val="20"/>
                <w:rtl/>
              </w:rPr>
            </w:pPr>
            <w:r>
              <w:rPr>
                <w:rFonts w:ascii="Arial" w:hAnsi="Arial" w:hint="cs"/>
                <w:b/>
                <w:bCs/>
                <w:sz w:val="20"/>
                <w:szCs w:val="20"/>
                <w:rtl/>
              </w:rPr>
              <w:t>25%</w:t>
            </w:r>
          </w:p>
        </w:tc>
      </w:tr>
      <w:tr w:rsidR="00365731" w:rsidRPr="00E64197" w14:paraId="44FCB02A" w14:textId="77777777" w:rsidTr="00CF1D33">
        <w:trPr>
          <w:cantSplit/>
          <w:trHeight w:val="785"/>
        </w:trPr>
        <w:tc>
          <w:tcPr>
            <w:tcW w:w="5283" w:type="dxa"/>
            <w:shd w:val="clear" w:color="auto" w:fill="auto"/>
          </w:tcPr>
          <w:p w14:paraId="27B2B39D" w14:textId="6CE31EA4" w:rsidR="00365731" w:rsidRPr="00F368F4" w:rsidRDefault="002203B6" w:rsidP="00F368F4">
            <w:pPr>
              <w:keepNext/>
              <w:keepLines/>
              <w:bidi/>
              <w:spacing w:before="60" w:after="60"/>
              <w:ind w:left="1385" w:hanging="1377"/>
              <w:rPr>
                <w:rFonts w:ascii="Arial" w:hAnsi="Arial" w:cs="Arial"/>
                <w:sz w:val="22"/>
                <w:szCs w:val="22"/>
                <w:rtl/>
              </w:rPr>
            </w:pPr>
            <w:r w:rsidRPr="00CA70BB">
              <w:rPr>
                <w:rFonts w:ascii="Arial" w:hAnsi="Arial" w:cs="Arial"/>
                <w:sz w:val="22"/>
                <w:szCs w:val="22"/>
                <w:rtl/>
              </w:rPr>
              <w:t>النتيجة المنشودة 2: تشجيع تنفيذ الاتفاقية في الدول الأعضاء من خلال برنامج معزّز لبناء القدرات</w:t>
            </w:r>
          </w:p>
        </w:tc>
        <w:tc>
          <w:tcPr>
            <w:tcW w:w="1528" w:type="dxa"/>
          </w:tcPr>
          <w:p w14:paraId="0DA15884" w14:textId="77777777" w:rsidR="00365731" w:rsidRPr="00E64197" w:rsidRDefault="00365731" w:rsidP="00D20486">
            <w:pPr>
              <w:keepNext/>
              <w:keepLines/>
              <w:bidi/>
              <w:spacing w:before="60" w:after="60"/>
              <w:ind w:left="567" w:hanging="567"/>
              <w:jc w:val="center"/>
              <w:rPr>
                <w:rFonts w:ascii="Arial" w:hAnsi="Arial" w:cs="Arial"/>
                <w:sz w:val="20"/>
                <w:szCs w:val="20"/>
                <w:rtl/>
              </w:rPr>
            </w:pPr>
            <w:r>
              <w:rPr>
                <w:rFonts w:ascii="Arial" w:hAnsi="Arial" w:hint="cs"/>
                <w:sz w:val="20"/>
                <w:szCs w:val="20"/>
                <w:rtl/>
              </w:rPr>
              <w:t xml:space="preserve"> 33%</w:t>
            </w:r>
          </w:p>
        </w:tc>
        <w:tc>
          <w:tcPr>
            <w:tcW w:w="1529" w:type="dxa"/>
            <w:shd w:val="clear" w:color="auto" w:fill="auto"/>
          </w:tcPr>
          <w:p w14:paraId="01CD8890" w14:textId="77777777" w:rsidR="00365731" w:rsidRPr="00E64197" w:rsidRDefault="00365731" w:rsidP="00D20486">
            <w:pPr>
              <w:keepNext/>
              <w:keepLines/>
              <w:bidi/>
              <w:spacing w:before="60" w:after="60"/>
              <w:ind w:left="567" w:hanging="567"/>
              <w:jc w:val="center"/>
              <w:rPr>
                <w:rFonts w:ascii="Arial" w:hAnsi="Arial" w:cs="Arial"/>
                <w:b/>
                <w:bCs/>
                <w:sz w:val="20"/>
                <w:szCs w:val="20"/>
                <w:rtl/>
              </w:rPr>
            </w:pPr>
            <w:r>
              <w:rPr>
                <w:rFonts w:ascii="Arial" w:hAnsi="Arial" w:hint="cs"/>
                <w:b/>
                <w:bCs/>
                <w:sz w:val="20"/>
                <w:szCs w:val="20"/>
                <w:rtl/>
              </w:rPr>
              <w:t>33%</w:t>
            </w:r>
          </w:p>
        </w:tc>
      </w:tr>
      <w:tr w:rsidR="00365731" w:rsidRPr="00E64197" w14:paraId="4B2F49E4" w14:textId="77777777" w:rsidTr="00CF1D33">
        <w:trPr>
          <w:cantSplit/>
          <w:trHeight w:val="785"/>
        </w:trPr>
        <w:tc>
          <w:tcPr>
            <w:tcW w:w="5283" w:type="dxa"/>
            <w:shd w:val="clear" w:color="auto" w:fill="auto"/>
          </w:tcPr>
          <w:p w14:paraId="2CFF0969" w14:textId="197D7A81" w:rsidR="00365731" w:rsidRPr="00F368F4" w:rsidRDefault="002203B6" w:rsidP="00F368F4">
            <w:pPr>
              <w:keepNext/>
              <w:keepLines/>
              <w:bidi/>
              <w:spacing w:before="60" w:after="60"/>
              <w:ind w:left="1426" w:hanging="1426"/>
              <w:rPr>
                <w:rFonts w:ascii="Arial" w:hAnsi="Arial" w:cs="Arial"/>
                <w:sz w:val="22"/>
                <w:szCs w:val="22"/>
                <w:rtl/>
              </w:rPr>
            </w:pPr>
            <w:r w:rsidRPr="00CA70BB">
              <w:rPr>
                <w:rFonts w:ascii="Arial" w:hAnsi="Arial" w:cs="Arial"/>
                <w:sz w:val="22"/>
                <w:szCs w:val="22"/>
                <w:rtl/>
              </w:rPr>
              <w:t>النتيجة المنشودة 3: دمج التراث الثقافي غير المادي في خطط وسياسات وبرامج التنمية المدعومة</w:t>
            </w:r>
          </w:p>
        </w:tc>
        <w:tc>
          <w:tcPr>
            <w:tcW w:w="1528" w:type="dxa"/>
          </w:tcPr>
          <w:p w14:paraId="4F18DCEE" w14:textId="77777777" w:rsidR="00365731" w:rsidRPr="00E64197" w:rsidRDefault="00365731" w:rsidP="00D20486">
            <w:pPr>
              <w:keepNext/>
              <w:keepLines/>
              <w:bidi/>
              <w:spacing w:before="60" w:after="60"/>
              <w:ind w:left="567" w:hanging="567"/>
              <w:jc w:val="center"/>
              <w:rPr>
                <w:rFonts w:ascii="Arial" w:hAnsi="Arial" w:cs="Arial"/>
                <w:sz w:val="20"/>
                <w:szCs w:val="20"/>
                <w:rtl/>
              </w:rPr>
            </w:pPr>
            <w:r>
              <w:rPr>
                <w:rFonts w:ascii="Arial" w:hAnsi="Arial" w:hint="cs"/>
                <w:sz w:val="20"/>
                <w:szCs w:val="20"/>
                <w:rtl/>
              </w:rPr>
              <w:t>13%</w:t>
            </w:r>
          </w:p>
        </w:tc>
        <w:tc>
          <w:tcPr>
            <w:tcW w:w="1529" w:type="dxa"/>
            <w:shd w:val="clear" w:color="auto" w:fill="auto"/>
          </w:tcPr>
          <w:p w14:paraId="07E083DC" w14:textId="77777777" w:rsidR="00365731" w:rsidRPr="00E64197" w:rsidRDefault="00365731" w:rsidP="00D20486">
            <w:pPr>
              <w:keepNext/>
              <w:keepLines/>
              <w:bidi/>
              <w:spacing w:before="60" w:after="60"/>
              <w:ind w:left="567" w:hanging="567"/>
              <w:jc w:val="center"/>
              <w:rPr>
                <w:rFonts w:ascii="Arial" w:hAnsi="Arial" w:cs="Arial"/>
                <w:b/>
                <w:bCs/>
                <w:sz w:val="20"/>
                <w:szCs w:val="20"/>
                <w:rtl/>
              </w:rPr>
            </w:pPr>
            <w:r>
              <w:rPr>
                <w:rFonts w:ascii="Arial" w:hAnsi="Arial" w:hint="cs"/>
                <w:b/>
                <w:bCs/>
                <w:sz w:val="20"/>
                <w:szCs w:val="20"/>
                <w:rtl/>
              </w:rPr>
              <w:t>19%</w:t>
            </w:r>
          </w:p>
        </w:tc>
      </w:tr>
      <w:tr w:rsidR="00365731" w:rsidRPr="00E64197" w14:paraId="2C378EBE" w14:textId="77777777" w:rsidTr="00CF1D33">
        <w:trPr>
          <w:cantSplit/>
          <w:trHeight w:val="550"/>
        </w:trPr>
        <w:tc>
          <w:tcPr>
            <w:tcW w:w="5283" w:type="dxa"/>
            <w:shd w:val="clear" w:color="auto" w:fill="auto"/>
          </w:tcPr>
          <w:p w14:paraId="703287CB" w14:textId="1AC30934" w:rsidR="00365731" w:rsidRPr="00F368F4" w:rsidRDefault="002203B6" w:rsidP="00CF1D33">
            <w:pPr>
              <w:keepNext/>
              <w:bidi/>
              <w:spacing w:before="60" w:after="60"/>
              <w:ind w:left="567" w:hanging="567"/>
              <w:rPr>
                <w:rFonts w:ascii="Arial" w:hAnsi="Arial" w:cs="Arial"/>
                <w:sz w:val="22"/>
                <w:szCs w:val="22"/>
                <w:rtl/>
              </w:rPr>
            </w:pPr>
            <w:r w:rsidRPr="00CA70BB">
              <w:rPr>
                <w:rFonts w:ascii="Arial" w:hAnsi="Arial" w:cs="Arial"/>
                <w:sz w:val="22"/>
                <w:szCs w:val="22"/>
                <w:rtl/>
              </w:rPr>
              <w:t>النتيجة المنشودة 4: تعزيز أهداف الاتفاقية من خلال التوعية والتواصل</w:t>
            </w:r>
          </w:p>
        </w:tc>
        <w:tc>
          <w:tcPr>
            <w:tcW w:w="1528" w:type="dxa"/>
          </w:tcPr>
          <w:p w14:paraId="5D905A06" w14:textId="77777777" w:rsidR="00365731" w:rsidRPr="00E64197" w:rsidRDefault="00365731" w:rsidP="00CF1D33">
            <w:pPr>
              <w:keepNext/>
              <w:bidi/>
              <w:spacing w:before="60" w:after="60"/>
              <w:ind w:left="567" w:hanging="567"/>
              <w:jc w:val="center"/>
              <w:rPr>
                <w:rFonts w:ascii="Arial" w:hAnsi="Arial" w:cs="Arial"/>
                <w:sz w:val="20"/>
                <w:szCs w:val="20"/>
                <w:rtl/>
              </w:rPr>
            </w:pPr>
            <w:r>
              <w:rPr>
                <w:rFonts w:ascii="Arial" w:hAnsi="Arial" w:hint="cs"/>
                <w:sz w:val="20"/>
                <w:szCs w:val="20"/>
                <w:rtl/>
              </w:rPr>
              <w:t>27%</w:t>
            </w:r>
          </w:p>
        </w:tc>
        <w:tc>
          <w:tcPr>
            <w:tcW w:w="1529" w:type="dxa"/>
            <w:shd w:val="clear" w:color="auto" w:fill="auto"/>
          </w:tcPr>
          <w:p w14:paraId="05DA8BF3" w14:textId="77777777" w:rsidR="00365731" w:rsidRPr="00E64197" w:rsidRDefault="00365731" w:rsidP="00CF1D33">
            <w:pPr>
              <w:keepNext/>
              <w:bidi/>
              <w:spacing w:before="60" w:after="60"/>
              <w:ind w:left="567" w:hanging="567"/>
              <w:jc w:val="center"/>
              <w:rPr>
                <w:rFonts w:ascii="Arial" w:hAnsi="Arial" w:cs="Arial"/>
                <w:b/>
                <w:bCs/>
                <w:sz w:val="20"/>
                <w:szCs w:val="20"/>
                <w:rtl/>
              </w:rPr>
            </w:pPr>
            <w:r>
              <w:rPr>
                <w:rFonts w:ascii="Arial" w:hAnsi="Arial" w:hint="cs"/>
                <w:b/>
                <w:bCs/>
                <w:sz w:val="20"/>
                <w:szCs w:val="20"/>
                <w:rtl/>
              </w:rPr>
              <w:t>23%</w:t>
            </w:r>
          </w:p>
        </w:tc>
      </w:tr>
    </w:tbl>
    <w:p w14:paraId="10239C78" w14:textId="452D0517" w:rsidR="00365731" w:rsidRDefault="00365731" w:rsidP="00365731">
      <w:pPr>
        <w:pStyle w:val="COMPara"/>
        <w:tabs>
          <w:tab w:val="left" w:pos="567"/>
        </w:tabs>
        <w:ind w:left="567" w:firstLine="0"/>
        <w:jc w:val="both"/>
        <w:rPr>
          <w:rStyle w:val="hps"/>
        </w:rPr>
      </w:pPr>
    </w:p>
    <w:p w14:paraId="6B29267C" w14:textId="24B648CD" w:rsidR="00365731" w:rsidRDefault="00365731" w:rsidP="00365731">
      <w:pPr>
        <w:pStyle w:val="COMPara"/>
        <w:tabs>
          <w:tab w:val="left" w:pos="567"/>
        </w:tabs>
        <w:ind w:left="567" w:firstLine="0"/>
        <w:jc w:val="both"/>
        <w:rPr>
          <w:rStyle w:val="hps"/>
        </w:rPr>
      </w:pPr>
    </w:p>
    <w:p w14:paraId="0C54DFAF" w14:textId="7EB82D3C" w:rsidR="007D3F9A" w:rsidRPr="008C13D1" w:rsidRDefault="007D3F9A" w:rsidP="0017394E">
      <w:pPr>
        <w:pStyle w:val="COMPara"/>
        <w:numPr>
          <w:ilvl w:val="0"/>
          <w:numId w:val="19"/>
        </w:numPr>
        <w:bidi/>
        <w:spacing w:before="240"/>
        <w:ind w:left="567" w:hanging="567"/>
        <w:jc w:val="both"/>
        <w:rPr>
          <w:rtl/>
        </w:rPr>
      </w:pPr>
      <w:r>
        <w:rPr>
          <w:rFonts w:hint="cs"/>
          <w:rtl/>
        </w:rPr>
        <w:t xml:space="preserve">يتماشى مع </w:t>
      </w:r>
      <w:hyperlink r:id="rId38" w:history="1">
        <w:r>
          <w:rPr>
            <w:rStyle w:val="Hyperlink"/>
            <w:rFonts w:hint="cs"/>
            <w:rtl/>
          </w:rPr>
          <w:t>41-جيم/القرار 76</w:t>
        </w:r>
      </w:hyperlink>
      <w:r>
        <w:rPr>
          <w:rFonts w:hint="cs"/>
          <w:rtl/>
        </w:rPr>
        <w:t xml:space="preserve"> (الفقرة 5 (ب)) التي اعتمدها المؤتمر العام في دورته الحادية والأربعين المعقودة في تشرين الثاني/نوفمبر 2021، والتي أذنت فيها للمدير</w:t>
      </w:r>
      <w:r w:rsidR="00317601">
        <w:rPr>
          <w:rFonts w:hint="cs"/>
          <w:rtl/>
        </w:rPr>
        <w:t>ة</w:t>
      </w:r>
      <w:r>
        <w:rPr>
          <w:rFonts w:hint="cs"/>
          <w:rtl/>
        </w:rPr>
        <w:t xml:space="preserve"> العام</w:t>
      </w:r>
      <w:r w:rsidR="00317601">
        <w:rPr>
          <w:rFonts w:hint="cs"/>
          <w:rtl/>
        </w:rPr>
        <w:t>ة</w:t>
      </w:r>
      <w:r>
        <w:rPr>
          <w:rFonts w:hint="cs"/>
          <w:rtl/>
        </w:rPr>
        <w:t xml:space="preserve"> بإجراء تحويلات بين بنود الاعتمادات في البرنامج العادي لليونسكو تصل إلى مبلغ 5% من الاعتمادات الأولية في إطار البند 41 جيم/5، كما أذنت اللجنة للأمانة بإجراء تحويلات بين الأنشطة المدرجة في المقترحات المحددة للبند 3 من الميزانية تصل إلى مبلغ تراكمي يعادل 5% من مجموع المخصصات الأولية (</w:t>
      </w:r>
      <w:hyperlink r:id="rId39" w:history="1">
        <w:r w:rsidR="00686F09" w:rsidRPr="00423664">
          <w:rPr>
            <w:rtl/>
          </w:rPr>
          <w:t>القرار</w:t>
        </w:r>
      </w:hyperlink>
      <w:hyperlink r:id="rId40" w:history="1">
        <w:r>
          <w:rPr>
            <w:rStyle w:val="Hyperlink"/>
          </w:rPr>
          <w:t>‎</w:t>
        </w:r>
        <w:r w:rsidRPr="00601665">
          <w:rPr>
            <w:rStyle w:val="Hyperlink"/>
          </w:rPr>
          <w:t>16.</w:t>
        </w:r>
        <w:r w:rsidR="00360179" w:rsidRPr="00601665">
          <w:rPr>
            <w:rStyle w:val="Hyperlink"/>
          </w:rPr>
          <w:t>COM</w:t>
        </w:r>
        <w:r w:rsidR="00360179">
          <w:rPr>
            <w:rStyle w:val="Hyperlink"/>
          </w:rPr>
          <w:t> </w:t>
        </w:r>
        <w:r w:rsidRPr="00601665">
          <w:rPr>
            <w:rStyle w:val="Hyperlink"/>
          </w:rPr>
          <w:t>13</w:t>
        </w:r>
      </w:hyperlink>
      <w:r w:rsidRPr="006B55AD">
        <w:rPr>
          <w:rtl/>
          <w:lang w:bidi="ar-SA"/>
        </w:rPr>
        <w:t>).</w:t>
      </w:r>
      <w:r>
        <w:rPr>
          <w:rFonts w:hint="cs"/>
          <w:rtl/>
        </w:rPr>
        <w:t xml:space="preserve"> واستنادًا إلى المبلغ الإرشادي للميزانية المشار إليه في المرفق، فإن هذا المبلغ يعادل 87</w:t>
      </w:r>
      <w:r w:rsidR="00686F09">
        <w:rPr>
          <w:rFonts w:hint="cs"/>
          <w:rtl/>
        </w:rPr>
        <w:t>،</w:t>
      </w:r>
      <w:r>
        <w:rPr>
          <w:rFonts w:hint="cs"/>
          <w:rtl/>
        </w:rPr>
        <w:t>327 دولارًا</w:t>
      </w:r>
      <w:r w:rsidR="00686F09">
        <w:t xml:space="preserve"> </w:t>
      </w:r>
      <w:r w:rsidR="00686F09">
        <w:rPr>
          <w:rFonts w:hint="cs"/>
          <w:rtl/>
        </w:rPr>
        <w:t>أمريكيًا</w:t>
      </w:r>
      <w:r>
        <w:rPr>
          <w:rFonts w:hint="cs"/>
          <w:rtl/>
        </w:rPr>
        <w:t>. وستبلغ الأمانة الجمعية العامة واللجنة خطيًا – في الدورة التي تعقب هذا الإجراء – بتفاصيل عمليات النقل هذه وأسبابها، في حال حدوثها.</w:t>
      </w:r>
    </w:p>
    <w:p w14:paraId="1945A393" w14:textId="2E5FAE79" w:rsidR="007969D9" w:rsidRPr="00490E36" w:rsidRDefault="00686F09" w:rsidP="007969D9">
      <w:pPr>
        <w:pStyle w:val="COMPara"/>
        <w:bidi/>
        <w:spacing w:before="240"/>
        <w:ind w:left="567" w:firstLine="0"/>
        <w:jc w:val="both"/>
        <w:rPr>
          <w:b/>
          <w:bCs/>
          <w:iCs/>
          <w:sz w:val="24"/>
          <w:szCs w:val="24"/>
          <w:rtl/>
        </w:rPr>
      </w:pPr>
      <w:r w:rsidRPr="00F368F4">
        <w:rPr>
          <w:rFonts w:hint="eastAsia"/>
          <w:b/>
          <w:bCs/>
          <w:rtl/>
        </w:rPr>
        <w:t>النتيجة</w:t>
      </w:r>
      <w:r w:rsidRPr="00F368F4">
        <w:rPr>
          <w:b/>
          <w:bCs/>
          <w:rtl/>
        </w:rPr>
        <w:t xml:space="preserve"> المنشودة 1:</w:t>
      </w:r>
      <w:r w:rsidRPr="00F368F4">
        <w:rPr>
          <w:b/>
          <w:bCs/>
        </w:rPr>
        <w:t xml:space="preserve"> </w:t>
      </w:r>
      <w:r w:rsidRPr="00F368F4">
        <w:rPr>
          <w:b/>
          <w:bCs/>
          <w:rtl/>
        </w:rPr>
        <w:t>تيسير الحوكمة السليمة لاتفاقية عام 2003 من خلال تعزيز خدمات الرصد وإدارة المعارف</w:t>
      </w:r>
    </w:p>
    <w:p w14:paraId="1FA10EF4" w14:textId="0C8B4177" w:rsidR="007969D9" w:rsidRPr="0069593F" w:rsidRDefault="007969D9" w:rsidP="007969D9">
      <w:pPr>
        <w:pStyle w:val="COMPara"/>
        <w:numPr>
          <w:ilvl w:val="0"/>
          <w:numId w:val="19"/>
        </w:numPr>
        <w:bidi/>
        <w:ind w:left="567" w:hanging="567"/>
        <w:jc w:val="both"/>
        <w:rPr>
          <w:rStyle w:val="hps"/>
          <w:rtl/>
        </w:rPr>
      </w:pPr>
      <w:r>
        <w:rPr>
          <w:rStyle w:val="hps"/>
          <w:rFonts w:hint="cs"/>
          <w:rtl/>
        </w:rPr>
        <w:t xml:space="preserve">لا يزال توفير الدعم الكافي </w:t>
      </w:r>
      <w:r w:rsidR="00686F09" w:rsidRPr="00423664">
        <w:rPr>
          <w:rtl/>
        </w:rPr>
        <w:t>لهيئات الرئاسية</w:t>
      </w:r>
      <w:r w:rsidR="00686F09">
        <w:rPr>
          <w:rFonts w:hint="cs"/>
          <w:rtl/>
        </w:rPr>
        <w:t xml:space="preserve"> </w:t>
      </w:r>
      <w:r>
        <w:rPr>
          <w:rStyle w:val="hps"/>
          <w:rFonts w:hint="cs"/>
          <w:rtl/>
        </w:rPr>
        <w:t>ل</w:t>
      </w:r>
      <w:r w:rsidR="00686F09" w:rsidRPr="00423664">
        <w:rPr>
          <w:rtl/>
        </w:rPr>
        <w:t>ل</w:t>
      </w:r>
      <w:r>
        <w:rPr>
          <w:rStyle w:val="hps"/>
          <w:rFonts w:hint="cs"/>
          <w:rtl/>
        </w:rPr>
        <w:t xml:space="preserve">اتفاقية والدول الأعضاء أمرًا أساسيًا </w:t>
      </w:r>
      <w:r w:rsidR="00686F09">
        <w:rPr>
          <w:rStyle w:val="hps"/>
          <w:rFonts w:hint="cs"/>
          <w:rtl/>
        </w:rPr>
        <w:t>ل</w:t>
      </w:r>
      <w:r w:rsidR="00686F09" w:rsidRPr="00F368F4">
        <w:rPr>
          <w:rStyle w:val="hps"/>
          <w:rtl/>
        </w:rPr>
        <w:t xml:space="preserve">تيسير حوكمة </w:t>
      </w:r>
      <w:r>
        <w:rPr>
          <w:rStyle w:val="hps"/>
          <w:rFonts w:hint="cs"/>
          <w:rtl/>
        </w:rPr>
        <w:t xml:space="preserve">الاتفاقية. وفي هذا الصدد، أكد </w:t>
      </w:r>
      <w:r w:rsidR="00317601">
        <w:rPr>
          <w:rFonts w:hint="cs"/>
          <w:rtl/>
        </w:rPr>
        <w:t xml:space="preserve">تقييم </w:t>
      </w:r>
      <w:r w:rsidR="00317601" w:rsidRPr="009028B3">
        <w:rPr>
          <w:rFonts w:hint="cs"/>
          <w:rtl/>
        </w:rPr>
        <w:t>خدمات الإشراف الداخلي</w:t>
      </w:r>
      <w:r w:rsidR="00317601" w:rsidDel="00317601">
        <w:rPr>
          <w:rFonts w:hint="cs"/>
          <w:rtl/>
        </w:rPr>
        <w:t xml:space="preserve"> </w:t>
      </w:r>
      <w:r>
        <w:rPr>
          <w:rStyle w:val="hps"/>
          <w:rFonts w:hint="cs"/>
          <w:rtl/>
        </w:rPr>
        <w:t>أهمية وجود استراتيجية قوية لإدارة المعارف للاستفادة من كميات وفيرة من المعلومات وأوصى بتيسير إدارة المعارف المتعلقة بالتراث الثقافي غير المادي وتدابير الصون (التوصية 10</w:t>
      </w:r>
      <w:r w:rsidRPr="006B55AD">
        <w:rPr>
          <w:rStyle w:val="hps"/>
          <w:rFonts w:hint="cs"/>
          <w:rtl/>
          <w:lang w:bidi="ar-SA"/>
        </w:rPr>
        <w:t>).</w:t>
      </w:r>
      <w:r>
        <w:rPr>
          <w:rStyle w:val="hps"/>
          <w:rFonts w:hint="cs"/>
          <w:rtl/>
        </w:rPr>
        <w:t xml:space="preserve"> ومنذ وضع الاتفاقية، تم جمع كم كبير من </w:t>
      </w:r>
      <w:r>
        <w:rPr>
          <w:rStyle w:val="hps"/>
          <w:rFonts w:hint="cs"/>
          <w:rtl/>
        </w:rPr>
        <w:lastRenderedPageBreak/>
        <w:t xml:space="preserve">المعلومات، كما أن كمية البيانات آخذة في الازدياد بوتيرة وكثافة متناميتين، بسبب الأخذ بالإطار العام للنتائج والإصلاح الذي طرأ على آلية رفع التقارير الدورية، والعدد المتزايد من الجهات المعنية، والعدد الكبير من الترشيحات المقدمة، وتعزيز رصد وتقييم مشاريع المساعدة الدولية أو النتائج الأولية للعمل المتعلق بالمجالات المواضيعية الجديدة. وتمشيًا مع </w:t>
      </w:r>
      <w:r w:rsidR="00317601">
        <w:rPr>
          <w:rFonts w:hint="cs"/>
          <w:rtl/>
        </w:rPr>
        <w:t xml:space="preserve">تقييم </w:t>
      </w:r>
      <w:r w:rsidR="00317601" w:rsidRPr="009028B3">
        <w:rPr>
          <w:rFonts w:hint="cs"/>
          <w:rtl/>
        </w:rPr>
        <w:t>خدمات الإشراف الداخلي</w:t>
      </w:r>
      <w:r>
        <w:rPr>
          <w:rStyle w:val="hps"/>
          <w:rFonts w:hint="cs"/>
          <w:rtl/>
        </w:rPr>
        <w:t>، ستعيد الأمانة تحديد استراتيجيتها لإدارة المعارف من أجل تبسيط إنتاج البيانات، وتحسين أدواتها لتحليل البيانات، وضمان فائدة المعلومات المجمعة من أجل ضمان وتيسير الوصول إلى هذه المعلومات من خلال أشكال مفتوحة وسهلة الاستخدام. ويمكن لهذه الاستراتيجية الجديدة أيضًا أن تتيح حيزًا أكبر للمعلومات المستمدة من الشركاء مثل مراكز الفئة 2، والمنظمات غير الحكومية المعتمدة، والكراسي الجامعية التابعة لليونسكو، والمؤسسات الوطنية، ولا سيما فيما يتعلق بأنشطتها التنفيذية، وممارسات الصون والبحوث.</w:t>
      </w:r>
    </w:p>
    <w:p w14:paraId="00C7643C" w14:textId="73B9F534" w:rsidR="007969D9" w:rsidRPr="0069593F" w:rsidRDefault="007969D9" w:rsidP="007969D9">
      <w:pPr>
        <w:pStyle w:val="COMPara"/>
        <w:numPr>
          <w:ilvl w:val="0"/>
          <w:numId w:val="19"/>
        </w:numPr>
        <w:bidi/>
        <w:ind w:left="567" w:hanging="567"/>
        <w:jc w:val="both"/>
        <w:rPr>
          <w:rStyle w:val="hps"/>
          <w:rtl/>
        </w:rPr>
      </w:pPr>
      <w:r>
        <w:rPr>
          <w:rStyle w:val="hps"/>
          <w:rFonts w:hint="cs"/>
          <w:rtl/>
        </w:rPr>
        <w:t xml:space="preserve">واستجابة للتوصية المقدمة من </w:t>
      </w:r>
      <w:r w:rsidR="00317601" w:rsidRPr="009028B3">
        <w:rPr>
          <w:rFonts w:hint="cs"/>
          <w:rtl/>
        </w:rPr>
        <w:t xml:space="preserve">خدمات </w:t>
      </w:r>
      <w:r>
        <w:rPr>
          <w:rStyle w:val="hps"/>
          <w:rFonts w:hint="cs"/>
          <w:rtl/>
        </w:rPr>
        <w:t>الإشراف الداخلي لمعالجة المجالات المواضيعية ذات الأولوية (التوصية 3)، تعتزم الأمانة مواصلة عملها بشأن الجوانب الاقتصادية للتراث الحي استنادًا إلى العمل الجاري الذي بدأ خلال فترة السنتين السابقة بشأن تدابير</w:t>
      </w:r>
      <w:r w:rsidR="00F10B82" w:rsidRPr="00F10B82">
        <w:rPr>
          <w:rFonts w:hint="cs"/>
          <w:rtl/>
        </w:rPr>
        <w:t xml:space="preserve"> </w:t>
      </w:r>
      <w:r w:rsidR="00F10B82">
        <w:rPr>
          <w:rStyle w:val="hps"/>
          <w:rFonts w:hint="cs"/>
          <w:rtl/>
        </w:rPr>
        <w:t>ال</w:t>
      </w:r>
      <w:r w:rsidR="00F10B82">
        <w:rPr>
          <w:rFonts w:hint="cs"/>
          <w:rtl/>
        </w:rPr>
        <w:t>صون</w:t>
      </w:r>
      <w:r>
        <w:rPr>
          <w:rStyle w:val="hps"/>
          <w:rFonts w:hint="cs"/>
          <w:rtl/>
        </w:rPr>
        <w:t xml:space="preserve"> والممارسات الجيدة التي تعالج خطر إزالة الطابع المنهجي للعناصر والإفراط في تسويقها. وسيوسع نطاق العمل المواضيعي ليشمل مجالات أخرى مثل تغير المناخ أو التراث الثقافي غير المادي في السياقات الحضرية. وعلاوة على ذلك، وبناء على زيادة تفعيل آليات المساعدة الدولية خلال السنوات القليلة الماضية، ستعزز الأمانة رصد المشاريع التي يمولها الصندوق وستجمع الدروس المستفادة من المشاريع الجارية والمنجزة. وسيتحقق ذلك بوضع وتنفيذ استراتيجية للرصد تهدف إلى تقييم نتائج مشاريع المساعدة الدولية وآثارها على صون التراث الحي. وستركز الجهود أيضًا على تطوير أدوات الاتصال</w:t>
      </w:r>
      <w:r w:rsidR="00CB647D">
        <w:rPr>
          <w:rStyle w:val="hps"/>
        </w:rPr>
        <w:t xml:space="preserve"> </w:t>
      </w:r>
      <w:r w:rsidR="00CB647D" w:rsidRPr="00F368F4">
        <w:rPr>
          <w:rStyle w:val="hps"/>
          <w:rFonts w:hint="eastAsia"/>
          <w:rtl/>
        </w:rPr>
        <w:t>والإنترنت</w:t>
      </w:r>
      <w:r>
        <w:rPr>
          <w:rStyle w:val="hps"/>
          <w:rFonts w:hint="cs"/>
          <w:rtl/>
        </w:rPr>
        <w:t xml:space="preserve"> لتعزيز المساعدة الدولية، من أجل تشجيع تقديم الطلبات.</w:t>
      </w:r>
    </w:p>
    <w:p w14:paraId="7C5D111C" w14:textId="49C91A8B" w:rsidR="007969D9" w:rsidRPr="00E64197" w:rsidRDefault="00CB647D" w:rsidP="007969D9">
      <w:pPr>
        <w:pStyle w:val="COMPara"/>
        <w:keepNext/>
        <w:bidi/>
        <w:spacing w:before="240"/>
        <w:ind w:left="567" w:firstLine="0"/>
        <w:jc w:val="both"/>
        <w:rPr>
          <w:rStyle w:val="hps"/>
          <w:b/>
          <w:bCs/>
          <w:rtl/>
        </w:rPr>
      </w:pPr>
      <w:r w:rsidRPr="00F368F4">
        <w:rPr>
          <w:b/>
          <w:bCs/>
          <w:rtl/>
        </w:rPr>
        <w:t>النتيجة المنشودة 2: تشجيع تنفيذ الاتفاقية في الدول الأعضاء من خلال برنامج معزّز لبناء القدرات</w:t>
      </w:r>
    </w:p>
    <w:p w14:paraId="19664BAC" w14:textId="442FEA2E" w:rsidR="007969D9" w:rsidRPr="00490E36" w:rsidRDefault="007969D9" w:rsidP="007969D9">
      <w:pPr>
        <w:pStyle w:val="COMPara"/>
        <w:keepLines/>
        <w:numPr>
          <w:ilvl w:val="0"/>
          <w:numId w:val="19"/>
        </w:numPr>
        <w:bidi/>
        <w:ind w:left="567" w:hanging="567"/>
        <w:jc w:val="both"/>
        <w:rPr>
          <w:rStyle w:val="hps"/>
          <w:rtl/>
        </w:rPr>
      </w:pPr>
      <w:r>
        <w:rPr>
          <w:rStyle w:val="hps"/>
          <w:rFonts w:hint="cs"/>
          <w:rtl/>
        </w:rPr>
        <w:t xml:space="preserve">وقد تسلط الضوء إيجابًا في تقييم </w:t>
      </w:r>
      <w:r w:rsidR="00317601" w:rsidRPr="009028B3">
        <w:rPr>
          <w:rFonts w:hint="cs"/>
          <w:rtl/>
        </w:rPr>
        <w:t>خدمات</w:t>
      </w:r>
      <w:r>
        <w:rPr>
          <w:rStyle w:val="hps"/>
          <w:rFonts w:hint="cs"/>
          <w:rtl/>
        </w:rPr>
        <w:t xml:space="preserve"> الإشراف الداخلي على نجاح البرنامج لبناء القدرات </w:t>
      </w:r>
      <w:r w:rsidR="00197DE3">
        <w:rPr>
          <w:rStyle w:val="hps"/>
          <w:rFonts w:hint="cs"/>
          <w:rtl/>
        </w:rPr>
        <w:t xml:space="preserve">العالمي </w:t>
      </w:r>
      <w:r>
        <w:rPr>
          <w:rStyle w:val="hps"/>
          <w:rFonts w:hint="cs"/>
          <w:rtl/>
        </w:rPr>
        <w:t>ودوره المركزي في تنفيذ الاتفاقية، مشيرًا إلى أنه على الرغم من استمرار نمو الطلب، فإن السياق والاحتياجات يتطوران، الأمر الذي يتطلب تكيفًا استراتيجيًا ووضع برامج. وقد خلقت جائحة كوفيد-19 – على وجه الخصوص – تحديات أمام تنفيذ البرامج، ولكنها أتاحت أيضًا فرصًا جديدة للتعلم الرقمي والتشاور والتواصل. وفي الوقت نفسه، أدى تزايد الوعي بأهمية صون التراث الثقافي غير المادي في الاستجابة للتحديات الاجتماعية/الإنمائية إلى نشوء احتياجات في مجال بناء القدرات في طائفة أوسع من المجالات السياساتية والمواضيعية ذات جماهير جديدة.</w:t>
      </w:r>
    </w:p>
    <w:p w14:paraId="0471C51A" w14:textId="20F39DBB" w:rsidR="007969D9" w:rsidRPr="0069593F" w:rsidRDefault="007969D9" w:rsidP="00A31A2E">
      <w:pPr>
        <w:pStyle w:val="COMPara"/>
        <w:keepLines/>
        <w:numPr>
          <w:ilvl w:val="0"/>
          <w:numId w:val="19"/>
        </w:numPr>
        <w:bidi/>
        <w:ind w:left="567" w:hanging="567"/>
        <w:jc w:val="both"/>
        <w:rPr>
          <w:rStyle w:val="hps"/>
          <w:rtl/>
        </w:rPr>
      </w:pPr>
      <w:r>
        <w:rPr>
          <w:rStyle w:val="hps"/>
          <w:rFonts w:hint="cs"/>
          <w:rtl/>
        </w:rPr>
        <w:t>وستركز الأمانة على تعزيز النطاق الإقليمي والخبرة المواضيعية لشبكة الميسرين التابعة لها، مع تكييف نهجها البرنامجي مع الطرائق الجديدة الإلكترونية والهجينة والوصول إلى جماهير جديدة (بموجب التوصيتين الصادرتين عن مكتب خدمات الإشراف الداخلي 8 و9</w:t>
      </w:r>
      <w:r w:rsidRPr="006B55AD">
        <w:rPr>
          <w:rStyle w:val="hps"/>
          <w:rFonts w:hint="cs"/>
          <w:rtl/>
          <w:lang w:bidi="ar-SA"/>
        </w:rPr>
        <w:t>).</w:t>
      </w:r>
      <w:r>
        <w:rPr>
          <w:rStyle w:val="hps"/>
          <w:rFonts w:hint="cs"/>
          <w:rtl/>
        </w:rPr>
        <w:t xml:space="preserve"> وسترسم خريطة للقدرات والاحتياجات الحالية للشبكة، كما ستستعين بالتكنولوجيا ومنابر وسائط التواصل الاجتماعي لدعم الربط الشبكي، وتوفير الفرص لانضمام أعضاء جدد إلى العضوية. وستسعى الأمانة إلى إعادة توجيه البرنامج، بالجمع بين التعلم عبر الإنترنت والتدريب الشخصي والتعلم الذاتي. وسيشمل ذلك تكييف المواد وتحديثها في مجالات العمل الأساسية للاتفاقية، وتطوير الأدوات، وتوسيع النطاق المواضيعي للبرنامج في مجالات مثل التراث الثقافي غير المادي والتسويق التجاري والتراث الثقافي غير المادي والسياقات الحضرية. وستؤسس الأمانة على وجه الخصوص نظامًا لإدارة التعلم في إطار من التعاون الوثيق مع شبكة الميسرين والشركاء الآخرين، لتمكين المنتفعين من إنشاء وإدارة وتقديم محتوى تدريبي بسهولة لمختلف الطرائق والسياقات. وسيجري تعزيز الشراكات مع المراكز المسجلة ضمن الفئة 2، والكراسي الجامعية التابعة لليونسكو، والجامعات، والمنظمات غير الحكومية، والمنظمات العاملة في مجالي الثقافة والتراث.</w:t>
      </w:r>
    </w:p>
    <w:p w14:paraId="1BA33217" w14:textId="68990319" w:rsidR="007969D9" w:rsidRPr="00E64197" w:rsidRDefault="003E6F13" w:rsidP="007670BA">
      <w:pPr>
        <w:pStyle w:val="COMPara"/>
        <w:keepNext/>
        <w:bidi/>
        <w:spacing w:before="240"/>
        <w:ind w:left="567" w:firstLine="0"/>
        <w:jc w:val="both"/>
        <w:rPr>
          <w:rStyle w:val="hps"/>
          <w:b/>
          <w:bCs/>
          <w:rtl/>
        </w:rPr>
      </w:pPr>
      <w:r w:rsidRPr="00F368F4">
        <w:rPr>
          <w:rStyle w:val="hps"/>
          <w:b/>
          <w:bCs/>
          <w:rtl/>
        </w:rPr>
        <w:t>النتيجة المنشودة 3: دمج التراث الثقافي غير المادي في خطط وسياسات وبرامج التنمية المدعومة</w:t>
      </w:r>
    </w:p>
    <w:p w14:paraId="5EC5664F" w14:textId="5118BD08" w:rsidR="007969D9" w:rsidRPr="00E64197" w:rsidRDefault="007969D9" w:rsidP="007969D9">
      <w:pPr>
        <w:pStyle w:val="COMPara"/>
        <w:numPr>
          <w:ilvl w:val="0"/>
          <w:numId w:val="19"/>
        </w:numPr>
        <w:bidi/>
        <w:ind w:left="567" w:hanging="567"/>
        <w:jc w:val="both"/>
        <w:rPr>
          <w:rStyle w:val="hps"/>
          <w:rtl/>
        </w:rPr>
      </w:pPr>
      <w:r>
        <w:rPr>
          <w:rStyle w:val="hps"/>
          <w:rFonts w:hint="cs"/>
          <w:rtl/>
        </w:rPr>
        <w:t>تم إحراز بعض التقدم في مجال تطوير أساليب ومشاريع لإدماج التراث الحي في مجموعة واسعة من برامج وأطر التعليم الرسمي وغير الرسمي منذ تأسيس برنامج "صون التراث الثقافي غير المادي في التعليم الرسمي وغير الرسمي" في عام 2017، مما أدى إلى إبداء تقدير أفضل لمبدأ التنوع الثقافي بين الشباب المشاركين، وزيادة الثقة في المعلمين، وتحقيق فهم أفضل للدور الهام الذي يؤديه التراث الثقافي غير المادي في التعليم الجيد (وفقًا للهدف الرابع من أهداف التنمية المستدامة</w:t>
      </w:r>
      <w:r w:rsidRPr="006B55AD">
        <w:rPr>
          <w:rStyle w:val="hps"/>
          <w:rFonts w:hint="cs"/>
          <w:rtl/>
          <w:lang w:bidi="ar-SA"/>
        </w:rPr>
        <w:t>).</w:t>
      </w:r>
      <w:r>
        <w:rPr>
          <w:rStyle w:val="hps"/>
          <w:rFonts w:hint="cs"/>
          <w:rtl/>
        </w:rPr>
        <w:t xml:space="preserve"> وقد حان الوقت لتوسيع نطاق العمل من خلال اتباع أسلوب منهجي مشترك لتعزيز التعاون المشترك بين الوزارات على جميع المستويات والمبادرات التصاعدية. وهذا هو الاستنتاج الذي خلص إليه </w:t>
      </w:r>
      <w:r w:rsidR="00317601">
        <w:rPr>
          <w:rStyle w:val="hps"/>
          <w:rFonts w:hint="cs"/>
          <w:rtl/>
        </w:rPr>
        <w:t xml:space="preserve">تقييم </w:t>
      </w:r>
      <w:r w:rsidR="00317601" w:rsidRPr="009028B3">
        <w:rPr>
          <w:rFonts w:hint="cs"/>
          <w:rtl/>
        </w:rPr>
        <w:t>خدمات</w:t>
      </w:r>
      <w:r w:rsidR="00317601">
        <w:rPr>
          <w:rStyle w:val="hps"/>
          <w:rFonts w:hint="cs"/>
          <w:rtl/>
        </w:rPr>
        <w:t xml:space="preserve"> الإشراف الداخلي </w:t>
      </w:r>
      <w:r>
        <w:rPr>
          <w:rStyle w:val="hps"/>
          <w:rFonts w:hint="cs"/>
          <w:rtl/>
        </w:rPr>
        <w:t>الذي أوصى بأن تقوم الأمانة وقطاع التعليم في اليونسكو، كخطوة تالية، بتوضيح نطاق البرنامج والتفكير فيه باستخدام نظرية التغيير المقترحة (التوصية 4</w:t>
      </w:r>
      <w:r w:rsidRPr="006B55AD">
        <w:rPr>
          <w:rStyle w:val="hps"/>
          <w:rFonts w:hint="cs"/>
          <w:rtl/>
          <w:lang w:bidi="ar-SA"/>
        </w:rPr>
        <w:t>).</w:t>
      </w:r>
    </w:p>
    <w:p w14:paraId="55F2C941" w14:textId="77777777" w:rsidR="007969D9" w:rsidRPr="00E64197" w:rsidRDefault="007969D9" w:rsidP="007969D9">
      <w:pPr>
        <w:pStyle w:val="COMPara"/>
        <w:numPr>
          <w:ilvl w:val="0"/>
          <w:numId w:val="19"/>
        </w:numPr>
        <w:bidi/>
        <w:ind w:left="567" w:hanging="567"/>
        <w:jc w:val="both"/>
        <w:rPr>
          <w:rStyle w:val="hps"/>
          <w:rtl/>
        </w:rPr>
      </w:pPr>
      <w:r>
        <w:rPr>
          <w:rStyle w:val="hps"/>
          <w:rFonts w:hint="cs"/>
          <w:rtl/>
        </w:rPr>
        <w:t>وستنظم الأمانة العامة هذه العملية الخاصة بالتفكير المشترك بين القطاعات بالتعاون مع قطاع التعليم، وستضع إطارًا مشتركًا للمرحلة الثانية من هذا البرنامج، وستيسر استخدامه في تصميم المشاريع ورصدها ورفع التقارير بشأنها. وعلاوة على ذلك، ستطور الأمانة العامة القدرات والأدوات والمنهجيات ذات الصلة مع الخبراء والجهات الفاعلة التي يمكن توظيفها في دعم البلدان في توسيع نطاق البرنامج على الصعيد القُطري. وسيولى اهتمامٌ خاص لاستحداث أساليب تقييم مبتكرة لتقييم التحصيل العلمي في هذا المجال الجديد وتوليد بيانات وتحليلات أكثر قوة، وهي ضرورية للدعوة إلى زيادة إدماج التراث الحي في النظم التعليمية. وسيتم تأسيس التعاون لهذا الغرض مع المؤسسات البحثية والتعليمية المعنية بالأمر. كما ستيسر الأمانة أيضًا تبادل المعارف وإقامة الشبكات عن طريق زيادة تطوير مركز تبادل المعلومات على الإنترنت بشأن التراث الحي والتعليم لإتاحة التعلم من الأقران والنشر الفعال للمعارف والأدوات المتولدة. وبالإضافة إلى ذلك، ستواصل الأمانة تعزيز التعاون بين القطاعات وبين المؤسسات لصون التراث الحي في البرامج الإنمائية الأخرى، ولا سيما في سياق العِقد الدولي للغات الشعوب الأصلية.</w:t>
      </w:r>
    </w:p>
    <w:p w14:paraId="5E1F934F" w14:textId="7B4E4C09" w:rsidR="007969D9" w:rsidRPr="00E64197" w:rsidRDefault="003E6F13" w:rsidP="007969D9">
      <w:pPr>
        <w:pStyle w:val="COMPara"/>
        <w:keepNext/>
        <w:bidi/>
        <w:spacing w:before="240"/>
        <w:ind w:left="567" w:firstLine="0"/>
        <w:rPr>
          <w:b/>
          <w:bCs/>
          <w:rtl/>
        </w:rPr>
      </w:pPr>
      <w:r w:rsidRPr="00F368F4">
        <w:rPr>
          <w:b/>
          <w:bCs/>
          <w:rtl/>
        </w:rPr>
        <w:lastRenderedPageBreak/>
        <w:t>المنشودة 4: تعزيز أهداف الاتفاقية من خلال التوعية والتواصل</w:t>
      </w:r>
    </w:p>
    <w:p w14:paraId="7C632F96" w14:textId="3443F583" w:rsidR="007969D9" w:rsidRPr="00E64197" w:rsidRDefault="007969D9" w:rsidP="007969D9">
      <w:pPr>
        <w:pStyle w:val="COMPara"/>
        <w:numPr>
          <w:ilvl w:val="0"/>
          <w:numId w:val="19"/>
        </w:numPr>
        <w:tabs>
          <w:tab w:val="left" w:pos="567"/>
        </w:tabs>
        <w:bidi/>
        <w:ind w:left="567" w:hanging="567"/>
        <w:jc w:val="both"/>
        <w:rPr>
          <w:bCs/>
          <w:rtl/>
        </w:rPr>
      </w:pPr>
      <w:r>
        <w:rPr>
          <w:rFonts w:hint="cs"/>
          <w:rtl/>
        </w:rPr>
        <w:t xml:space="preserve">وفقًا </w:t>
      </w:r>
      <w:r w:rsidR="00C9112B">
        <w:rPr>
          <w:rFonts w:hint="cs"/>
          <w:rtl/>
        </w:rPr>
        <w:t>ل</w:t>
      </w:r>
      <w:r>
        <w:rPr>
          <w:rFonts w:hint="cs"/>
          <w:rtl/>
        </w:rPr>
        <w:t xml:space="preserve">لمادة 1 من الاتفاقية، فإن أحد المقاصد الرئيسية للاتفاقية هو زيادة الوعي بأهمية التراث الثقافي غير المادي والحرص على إبداء التقدير المتبادل له، في حين أن المادة 14 تسلط الضوء على دور التوعية كتدبير لصون التراث في حد ذاته. يمثل </w:t>
      </w:r>
      <w:hyperlink r:id="rId41" w:history="1">
        <w:r>
          <w:rPr>
            <w:rStyle w:val="Hyperlink"/>
            <w:rFonts w:hint="cs"/>
            <w:rtl/>
          </w:rPr>
          <w:t>الموقع الشبكي للاتفاقية</w:t>
        </w:r>
      </w:hyperlink>
      <w:r>
        <w:rPr>
          <w:rFonts w:hint="cs"/>
          <w:rtl/>
        </w:rPr>
        <w:t xml:space="preserve"> العمودَ الفقري لنشر المعلومات عن الاتفاقية وتنفيذها، بدءًا من عمل الهيئات </w:t>
      </w:r>
      <w:r w:rsidR="00C9112B" w:rsidRPr="00423664">
        <w:rPr>
          <w:rtl/>
        </w:rPr>
        <w:t>الرئاسية</w:t>
      </w:r>
      <w:r w:rsidR="00C9112B">
        <w:rPr>
          <w:rFonts w:hint="cs"/>
          <w:rtl/>
        </w:rPr>
        <w:t xml:space="preserve"> </w:t>
      </w:r>
      <w:r>
        <w:rPr>
          <w:rFonts w:hint="cs"/>
          <w:rtl/>
        </w:rPr>
        <w:t>وحتى المشاريع والأنشطة المُنفّذة على المستوى الوطني. وفي حين أن هذا الموقع الشبكي مستودعٌ رئيسي للمعلومات لممثلي الدول والخبراء، فإن هيئته الحالية ومحتواه يركّزان على الآليات القانونية، كما أنه لا يشكّل حاليًا أداة اتصال قادرة على اجتذاب المشاركة والتواصل. وستسهم الإجراءات المقررة لفترة السنتين المقبلة في استكشاف سبل جديدة للاتصال والتوعية تستهدف عامة الجمهور والشباب على وجه الخصوص، على النحو الذي أوصى به تقييم المرفق (التوصية 11</w:t>
      </w:r>
      <w:r w:rsidRPr="006B55AD">
        <w:rPr>
          <w:rFonts w:hint="cs"/>
          <w:rtl/>
          <w:lang w:bidi="ar-SA"/>
        </w:rPr>
        <w:t>).</w:t>
      </w:r>
      <w:r>
        <w:rPr>
          <w:rFonts w:hint="cs"/>
          <w:rtl/>
        </w:rPr>
        <w:t xml:space="preserve"> وبالإضافة إلى تواؤمه مع قواعد إخراج الوثائق الجديدة لليونسكو، سيتم إعادة هيكلة الموقع الشبكي من أجل سرد القصص بشكل أفضل، وتوفير الأساليب المنهجية الخاصة بالمواضيع، وتوفير وسائل الملاحة الشاملة – وخاصةً المتعلقة بأهداف التنمية المستدامة – وتسليط الضوء على المحتوى اللافت للنظر مثل تصوير البيانات، والصور عالية الجودة والمواد السمعية والبصرية التي تصور التراث الحي في إطاره الواقعي الحي.</w:t>
      </w:r>
    </w:p>
    <w:p w14:paraId="0425914C" w14:textId="476B6503" w:rsidR="007969D9" w:rsidRPr="00E64197" w:rsidRDefault="007969D9" w:rsidP="007969D9">
      <w:pPr>
        <w:pStyle w:val="COMPara"/>
        <w:numPr>
          <w:ilvl w:val="0"/>
          <w:numId w:val="19"/>
        </w:numPr>
        <w:tabs>
          <w:tab w:val="left" w:pos="567"/>
        </w:tabs>
        <w:bidi/>
        <w:ind w:left="567" w:hanging="567"/>
        <w:jc w:val="both"/>
        <w:rPr>
          <w:bCs/>
          <w:rtl/>
        </w:rPr>
      </w:pPr>
      <w:r>
        <w:rPr>
          <w:rFonts w:hint="cs"/>
          <w:rtl/>
        </w:rPr>
        <w:t xml:space="preserve">وبناء على التجربة الناجحة </w:t>
      </w:r>
      <w:hyperlink r:id="rId42" w:history="1">
        <w:r>
          <w:rPr>
            <w:rStyle w:val="Hyperlink"/>
            <w:rFonts w:hint="cs"/>
            <w:rtl/>
          </w:rPr>
          <w:t>للمنبر المخصص لتجارب التراث الحي وجائحة كوفيد-19</w:t>
        </w:r>
      </w:hyperlink>
      <w:r>
        <w:rPr>
          <w:rFonts w:hint="cs"/>
          <w:rtl/>
        </w:rPr>
        <w:t xml:space="preserve"> الذي أُطلق في أيار/مايو 2020، ستعزز الأمانة أيضًا قدرة موقعها الشبكي على العمل كمنبر للتبادل والاتصال، ولا سيما الاستفادة من إمكانات الاتصال والتواصل لدى شركائها (</w:t>
      </w:r>
      <w:r>
        <w:rPr>
          <w:rStyle w:val="hps"/>
          <w:rFonts w:hint="cs"/>
          <w:rtl/>
        </w:rPr>
        <w:t>المراكز المصنفة ضمن الفئة 2، والمنظمات غير الحكومية المعتمدة، وكراسي اليونسكو الجامعية، والمؤسسات الوطنية</w:t>
      </w:r>
      <w:r w:rsidRPr="006B55AD">
        <w:rPr>
          <w:rStyle w:val="hps"/>
          <w:rFonts w:hint="cs"/>
          <w:rtl/>
          <w:lang w:bidi="ar-SA"/>
        </w:rPr>
        <w:t>).</w:t>
      </w:r>
      <w:r>
        <w:rPr>
          <w:rStyle w:val="hps"/>
          <w:rFonts w:hint="cs"/>
          <w:rtl/>
        </w:rPr>
        <w:t xml:space="preserve"> ولتحسين التواصل مع الشباب، ستقوم الأمانة أيضًا بوضع وتنفيذ خطة اتصال تكثف من استخدام وسائط التواصل الاجتماعي، باستخدام جميع القنوات ووسائل النقل الممكنة. </w:t>
      </w:r>
      <w:r>
        <w:rPr>
          <w:rFonts w:hint="cs"/>
          <w:rtl/>
        </w:rPr>
        <w:t>وستوضع أدوات إرشادية لمساعدة الدول الأطراف على وضع استراتيجيات اتصال على المستوى الوطني. وسيجري الأخذ بمبادرات جديدة من أجل الوصول إلى ما هو أبعد من الجماهير المعتادة في الاتفاقية وتعزيز عرض التراث الحي في إطار المناسبات الدولية الرئيسية الأخرى ذات الصلة المرتبطة بالمجالات المواضيعية ذات الأولوية (المدن، وتغير المناخ، والبيئة)، وهي مبادرات سبق تصورها خلال فترة السنتين السابقة ولكنها تأخرت بسبب الجائحة. سيتم زيادة استغلال الإمكانات الشاملة لمبادرة "الغوص في التراث الثقافي غير المادي!" من خلال المعارض المادية والافتراضية وسيتم إعداد الكتيبات الإلكترونية وتنظيمها حول مواضيع استراتيجية.</w:t>
      </w:r>
    </w:p>
    <w:p w14:paraId="3043B134" w14:textId="7E0F0EDC" w:rsidR="007969D9" w:rsidRPr="004A07D4" w:rsidRDefault="007969D9" w:rsidP="004A07D4">
      <w:pPr>
        <w:pStyle w:val="COMPara"/>
        <w:keepNext/>
        <w:bidi/>
        <w:spacing w:before="240"/>
        <w:ind w:left="567" w:firstLine="0"/>
        <w:rPr>
          <w:b/>
          <w:bCs/>
          <w:rtl/>
        </w:rPr>
      </w:pPr>
      <w:r>
        <w:rPr>
          <w:rFonts w:hint="cs"/>
          <w:b/>
          <w:bCs/>
          <w:rtl/>
        </w:rPr>
        <w:t xml:space="preserve">مشاركة الخبراء في اجتماعات </w:t>
      </w:r>
      <w:r w:rsidR="00C9112B" w:rsidRPr="00F368F4">
        <w:rPr>
          <w:rFonts w:hint="eastAsia"/>
          <w:b/>
          <w:bCs/>
          <w:rtl/>
        </w:rPr>
        <w:t>الهيئات</w:t>
      </w:r>
      <w:r w:rsidR="00C9112B" w:rsidRPr="00F368F4">
        <w:rPr>
          <w:b/>
          <w:bCs/>
          <w:rtl/>
        </w:rPr>
        <w:t xml:space="preserve"> الرئاسية</w:t>
      </w:r>
    </w:p>
    <w:p w14:paraId="31089A8D" w14:textId="460BE27D" w:rsidR="000409D2" w:rsidRDefault="000409D2" w:rsidP="00A31A2E">
      <w:pPr>
        <w:pStyle w:val="COMPara"/>
        <w:keepLines/>
        <w:numPr>
          <w:ilvl w:val="0"/>
          <w:numId w:val="19"/>
        </w:numPr>
        <w:bidi/>
        <w:ind w:left="567" w:hanging="567"/>
        <w:jc w:val="both"/>
        <w:rPr>
          <w:rtl/>
        </w:rPr>
      </w:pPr>
      <w:r>
        <w:rPr>
          <w:rFonts w:hint="cs"/>
          <w:rtl/>
        </w:rPr>
        <w:t xml:space="preserve">يتم تغطية مشاركة الخبراء في التراث الثقافي غير المادي الذين يمثلون الدول النامية الأطراف في الاجتماعات القانونية إما من خلال </w:t>
      </w:r>
      <w:r>
        <w:rPr>
          <w:rFonts w:hint="cs"/>
          <w:b/>
          <w:bCs/>
          <w:rtl/>
        </w:rPr>
        <w:t>بند الميزانية 4</w:t>
      </w:r>
      <w:r>
        <w:rPr>
          <w:rFonts w:hint="cs"/>
          <w:rtl/>
        </w:rPr>
        <w:t xml:space="preserve"> عندما يكونون أعضاءً في اللجنة أو من خلال </w:t>
      </w:r>
      <w:r>
        <w:rPr>
          <w:rFonts w:hint="cs"/>
          <w:b/>
          <w:bCs/>
          <w:rtl/>
        </w:rPr>
        <w:t>بند الميزانية 5</w:t>
      </w:r>
      <w:r>
        <w:rPr>
          <w:rFonts w:hint="cs"/>
          <w:rtl/>
        </w:rPr>
        <w:t xml:space="preserve"> عندما لا يتمتعون بصفة العضوية. ويتكفل </w:t>
      </w:r>
      <w:r>
        <w:rPr>
          <w:rFonts w:hint="cs"/>
          <w:b/>
          <w:bCs/>
          <w:rtl/>
        </w:rPr>
        <w:t>بند الميزانية</w:t>
      </w:r>
      <w:r w:rsidR="00287AAB">
        <w:rPr>
          <w:rFonts w:hint="eastAsia"/>
          <w:b/>
          <w:bCs/>
        </w:rPr>
        <w:t> </w:t>
      </w:r>
      <w:r>
        <w:rPr>
          <w:rFonts w:hint="cs"/>
          <w:b/>
          <w:bCs/>
          <w:rtl/>
        </w:rPr>
        <w:t>6</w:t>
      </w:r>
      <w:r>
        <w:rPr>
          <w:rFonts w:hint="cs"/>
          <w:rtl/>
        </w:rPr>
        <w:t xml:space="preserve"> بتغطية مشاركة خبراء يمثلون منظمات غير حكومية معتمدة من البلدان النامية في دورات اللجنة. ويقترح تخصيص نسب تبلغ 3.1% و3.3% و3.3% على التوالي للخطوط المذكورة أعلاه. وفي حين يظل البندان 5 و6 من الميزانية دون تغيير، فإنه يُقترح زيادة البند 4 من الميزانية زيادة طفيفة لضمان إتاحة أموال كافية للخبراء الذين يمثلون الدول الأطراف النامية الأعضاء في اللجنة للدورتين السابعة عشرة والثامنة عشرة للجنة.</w:t>
      </w:r>
    </w:p>
    <w:p w14:paraId="15B114C3" w14:textId="77777777" w:rsidR="00A46240" w:rsidRPr="00A46240" w:rsidRDefault="00A46240" w:rsidP="00D91487">
      <w:pPr>
        <w:pStyle w:val="COMPara"/>
        <w:keepNext/>
        <w:bidi/>
        <w:spacing w:before="240"/>
        <w:ind w:left="567" w:firstLine="0"/>
        <w:rPr>
          <w:b/>
          <w:bCs/>
          <w:rtl/>
        </w:rPr>
      </w:pPr>
      <w:r>
        <w:rPr>
          <w:rFonts w:hint="cs"/>
          <w:b/>
          <w:bCs/>
          <w:rtl/>
        </w:rPr>
        <w:t>الخدمات الاستشارية المقدمة إلى اللجنة</w:t>
      </w:r>
    </w:p>
    <w:p w14:paraId="51EAD42A" w14:textId="7AAC5785" w:rsidR="00AF131C" w:rsidRPr="00B9344B" w:rsidRDefault="00AF131C" w:rsidP="00B9344B">
      <w:pPr>
        <w:pStyle w:val="COMPara"/>
        <w:numPr>
          <w:ilvl w:val="0"/>
          <w:numId w:val="19"/>
        </w:numPr>
        <w:tabs>
          <w:tab w:val="left" w:pos="567"/>
        </w:tabs>
        <w:bidi/>
        <w:ind w:left="567" w:hanging="567"/>
        <w:jc w:val="both"/>
        <w:rPr>
          <w:bCs/>
          <w:rtl/>
        </w:rPr>
      </w:pPr>
      <w:r>
        <w:rPr>
          <w:rFonts w:hint="cs"/>
          <w:rtl/>
        </w:rPr>
        <w:t xml:space="preserve">يُقترح زيادة </w:t>
      </w:r>
      <w:r>
        <w:rPr>
          <w:rFonts w:hint="cs"/>
          <w:b/>
          <w:bCs/>
          <w:rtl/>
        </w:rPr>
        <w:t>بند الميزانية 7</w:t>
      </w:r>
      <w:r>
        <w:rPr>
          <w:rFonts w:hint="cs"/>
          <w:rtl/>
        </w:rPr>
        <w:t xml:space="preserve"> من 6% إلى 7.7% لتغطية تكلفة الخدمات الاستشارية المقدمة بناءً على طلب اللجنة من كانون الثاني/يناير 2022 إلى كانون الأول/ديسمبر 2023، وخاصةً تلك المرتبطة بعمل هيئة التقييم والمنظمات غير الحكومية المعتمدة. وتُقترح الزيادة بنسبة 1.7% في ضوء التكاليف الإضافية التي قد تنجم عن التفكير </w:t>
      </w:r>
      <w:r w:rsidR="001846D3" w:rsidRPr="001846D3">
        <w:rPr>
          <w:rFonts w:hint="cs"/>
          <w:rtl/>
        </w:rPr>
        <w:t>ال</w:t>
      </w:r>
      <w:r w:rsidR="001846D3" w:rsidRPr="001846D3">
        <w:rPr>
          <w:rtl/>
        </w:rPr>
        <w:t>شامل</w:t>
      </w:r>
      <w:r>
        <w:rPr>
          <w:rFonts w:hint="cs"/>
          <w:rtl/>
        </w:rPr>
        <w:t xml:space="preserve"> في آليات الإدراج في اتفاقية عام 2003 فيما يتعلق بمعالجة وتقييم ودراسة طلبات نقل العناصر بين القوائم وسجل الاتفاقية، وتسجيل العناصر على أساس موُسّع أو مُقلّص، ومتابعة العناصر المدرجة في قوائم الاتفاقية (</w:t>
      </w:r>
      <w:r w:rsidR="00456324">
        <w:rPr>
          <w:rFonts w:hint="cs"/>
          <w:rtl/>
        </w:rPr>
        <w:t>انظر</w:t>
      </w:r>
      <w:r w:rsidR="00456324" w:rsidRPr="00C14305">
        <w:t xml:space="preserve"> </w:t>
      </w:r>
      <w:r w:rsidR="00456324">
        <w:rPr>
          <w:rtl/>
        </w:rPr>
        <w:t>القرار</w:t>
      </w:r>
      <w:hyperlink r:id="rId43" w:history="1">
        <w:r>
          <w:rPr>
            <w:rStyle w:val="Hyperlink"/>
          </w:rPr>
          <w:t>‎</w:t>
        </w:r>
        <w:r w:rsidRPr="00601665">
          <w:rPr>
            <w:rStyle w:val="Hyperlink"/>
          </w:rPr>
          <w:t>16.</w:t>
        </w:r>
        <w:r w:rsidR="006F6468" w:rsidRPr="00601665">
          <w:rPr>
            <w:rStyle w:val="Hyperlink"/>
          </w:rPr>
          <w:t>COM</w:t>
        </w:r>
        <w:r w:rsidR="006F6468">
          <w:rPr>
            <w:rStyle w:val="Hyperlink"/>
          </w:rPr>
          <w:t> </w:t>
        </w:r>
        <w:r w:rsidRPr="00601665">
          <w:rPr>
            <w:rStyle w:val="Hyperlink"/>
          </w:rPr>
          <w:t>14</w:t>
        </w:r>
      </w:hyperlink>
      <w:r>
        <w:rPr>
          <w:rFonts w:hint="cs"/>
          <w:rtl/>
        </w:rPr>
        <w:t xml:space="preserve"> </w:t>
      </w:r>
      <w:r w:rsidRPr="00A31A2E">
        <w:rPr>
          <w:rFonts w:hint="cs"/>
          <w:rtl/>
        </w:rPr>
        <w:t xml:space="preserve">والوثيقة </w:t>
      </w:r>
      <w:hyperlink r:id="rId44" w:history="1">
        <w:r w:rsidRPr="00A31A2E">
          <w:rPr>
            <w:rStyle w:val="Hyperlink"/>
          </w:rPr>
          <w:t>LHE/22/9.GA/9</w:t>
        </w:r>
      </w:hyperlink>
      <w:r w:rsidRPr="00A31A2E">
        <w:rPr>
          <w:rtl/>
          <w:lang w:bidi="ar-SA"/>
        </w:rPr>
        <w:t>).</w:t>
      </w:r>
      <w:r w:rsidRPr="00A31A2E">
        <w:rPr>
          <w:rFonts w:hint="cs"/>
          <w:rtl/>
        </w:rPr>
        <w:t xml:space="preserve"> وإذا</w:t>
      </w:r>
      <w:r>
        <w:rPr>
          <w:rFonts w:hint="cs"/>
          <w:rtl/>
        </w:rPr>
        <w:t xml:space="preserve"> وافقت الجمعية العامة على الإجراءات المذكورة أعلاه في </w:t>
      </w:r>
      <w:r w:rsidRPr="00CC28E7">
        <w:rPr>
          <w:rFonts w:hint="eastAsia"/>
          <w:rtl/>
        </w:rPr>
        <w:t>إطار</w:t>
      </w:r>
      <w:r w:rsidRPr="00CC28E7">
        <w:rPr>
          <w:rtl/>
        </w:rPr>
        <w:t xml:space="preserve"> </w:t>
      </w:r>
      <w:r w:rsidRPr="00F368F4">
        <w:rPr>
          <w:rFonts w:hint="eastAsia"/>
          <w:rtl/>
        </w:rPr>
        <w:t>البند</w:t>
      </w:r>
      <w:r w:rsidRPr="00F368F4">
        <w:rPr>
          <w:rtl/>
        </w:rPr>
        <w:t xml:space="preserve"> </w:t>
      </w:r>
      <w:r w:rsidRPr="00CC28E7">
        <w:rPr>
          <w:rtl/>
        </w:rPr>
        <w:t>9</w:t>
      </w:r>
      <w:r>
        <w:rPr>
          <w:rFonts w:hint="cs"/>
          <w:rtl/>
        </w:rPr>
        <w:t xml:space="preserve"> من جدول الأعمال المؤقت، فإن الزيادة المقترحة في المخصصات ستسمح بمعالجة وتقييم وفحص عدد أولي من الطلبات التي يمكن للأمانة أن تتلقاها خلال فترة السنتين 2022-2023.</w:t>
      </w:r>
    </w:p>
    <w:p w14:paraId="38DA3F0D" w14:textId="505280ED" w:rsidR="00AF131C" w:rsidRPr="0069593F" w:rsidRDefault="00B61D62" w:rsidP="00B61D62">
      <w:pPr>
        <w:pStyle w:val="COMPara"/>
        <w:numPr>
          <w:ilvl w:val="0"/>
          <w:numId w:val="19"/>
        </w:numPr>
        <w:tabs>
          <w:tab w:val="left" w:pos="567"/>
        </w:tabs>
        <w:bidi/>
        <w:ind w:left="567" w:hanging="567"/>
        <w:jc w:val="both"/>
        <w:rPr>
          <w:bCs/>
          <w:rtl/>
        </w:rPr>
      </w:pPr>
      <w:r>
        <w:rPr>
          <w:rFonts w:hint="cs"/>
          <w:rtl/>
        </w:rPr>
        <w:t>وأوصت الجمعية العامة في دورتها الثامنة بأن يؤذن للأمانة بإجراء تحويلات بين بنود الميزانية 4 و5 و6 و7، بما يصل إلى 30% من مجموع مخصصاتها الأولية (</w:t>
      </w:r>
      <w:r w:rsidR="00456324">
        <w:rPr>
          <w:rtl/>
        </w:rPr>
        <w:t>القرار</w:t>
      </w:r>
      <w:r w:rsidR="00456324" w:rsidDel="00456324">
        <w:rPr>
          <w:rFonts w:hint="cs"/>
          <w:rtl/>
        </w:rPr>
        <w:t xml:space="preserve"> </w:t>
      </w:r>
      <w:hyperlink r:id="rId45" w:history="1">
        <w:r>
          <w:rPr>
            <w:rStyle w:val="Hyperlink"/>
          </w:rPr>
          <w:t>‎</w:t>
        </w:r>
        <w:r w:rsidRPr="00601665">
          <w:rPr>
            <w:rStyle w:val="Hyperlink"/>
          </w:rPr>
          <w:t>8.</w:t>
        </w:r>
        <w:r w:rsidR="006F6468" w:rsidRPr="00601665">
          <w:rPr>
            <w:rStyle w:val="Hyperlink"/>
          </w:rPr>
          <w:t>GA</w:t>
        </w:r>
        <w:r w:rsidR="006F6468">
          <w:rPr>
            <w:rStyle w:val="Hyperlink"/>
          </w:rPr>
          <w:t> </w:t>
        </w:r>
        <w:r w:rsidRPr="00601665">
          <w:rPr>
            <w:rStyle w:val="Hyperlink"/>
          </w:rPr>
          <w:t>7</w:t>
        </w:r>
      </w:hyperlink>
      <w:r w:rsidRPr="006B55AD">
        <w:rPr>
          <w:rtl/>
          <w:lang w:bidi="ar-SA"/>
        </w:rPr>
        <w:t>).</w:t>
      </w:r>
      <w:r>
        <w:rPr>
          <w:rFonts w:hint="cs"/>
          <w:rtl/>
        </w:rPr>
        <w:t xml:space="preserve"> وفي حين لم تكن هناك حاجة إلى أي تحويل خلال الفترة المشمولة بالتقرير – نظرًا لأن تكاليف السفر قد انخفضت بشكل كبير بسبب الجائحة – فإن النية لا تزال تتمثل في استخدام الأموال بكفاءة وفقًا لضرورات كل دورة. ولذلك، ومن أجل التمكن من الاستجابة لأكبر عدد ممكن من طلبات المساعدة المالية عبر مختلف فئات المشاركين، أوصت اللجنة بأن تواصل الجمعية العامة الإذن للأمانة بإجراء تحويلات بين بنود الميزانية 4 و5 و6 و7، بما يعادل 30% من المجموع الأولي (</w:t>
      </w:r>
      <w:r w:rsidR="00DF6C8E">
        <w:rPr>
          <w:rtl/>
        </w:rPr>
        <w:t>القرار</w:t>
      </w:r>
      <w:r>
        <w:rPr>
          <w:rFonts w:hint="cs"/>
          <w:rtl/>
        </w:rPr>
        <w:t xml:space="preserve"> </w:t>
      </w:r>
      <w:hyperlink r:id="rId46" w:history="1">
        <w:r>
          <w:rPr>
            <w:rStyle w:val="Hyperlink"/>
          </w:rPr>
          <w:t>‎</w:t>
        </w:r>
        <w:r w:rsidRPr="00601665">
          <w:rPr>
            <w:rStyle w:val="Hyperlink"/>
          </w:rPr>
          <w:t>16.</w:t>
        </w:r>
        <w:r w:rsidR="00B209FF" w:rsidRPr="00601665">
          <w:rPr>
            <w:rStyle w:val="Hyperlink"/>
          </w:rPr>
          <w:t>COM</w:t>
        </w:r>
        <w:r w:rsidR="00B209FF">
          <w:rPr>
            <w:rStyle w:val="Hyperlink"/>
          </w:rPr>
          <w:t> </w:t>
        </w:r>
        <w:r w:rsidRPr="00601665">
          <w:rPr>
            <w:rStyle w:val="Hyperlink"/>
          </w:rPr>
          <w:t>13</w:t>
        </w:r>
      </w:hyperlink>
      <w:r w:rsidRPr="006B55AD">
        <w:rPr>
          <w:rtl/>
          <w:lang w:bidi="ar-SA"/>
        </w:rPr>
        <w:t>).</w:t>
      </w:r>
      <w:r>
        <w:rPr>
          <w:rFonts w:hint="cs"/>
          <w:rtl/>
        </w:rPr>
        <w:t xml:space="preserve"> وإذا اقتضت الضرورة إجراء تحويل من هذا القبيل، فإن الأمانة تبلغ الجمعية العامة واللجنة كتابةً – في الدورة التي تعقب هذا الإجراء – بتفاصيل هذه العمليات للتحويل وأسبابها.</w:t>
      </w:r>
    </w:p>
    <w:p w14:paraId="7F7BFC3F" w14:textId="1509B5EA" w:rsidR="0084137D" w:rsidRPr="0069593F" w:rsidRDefault="0084137D" w:rsidP="00BD458B">
      <w:pPr>
        <w:pStyle w:val="COMPara"/>
        <w:keepNext/>
        <w:bidi/>
        <w:spacing w:before="240"/>
        <w:ind w:left="567" w:firstLine="0"/>
        <w:rPr>
          <w:b/>
          <w:bCs/>
          <w:rtl/>
        </w:rPr>
      </w:pPr>
      <w:r>
        <w:rPr>
          <w:rFonts w:hint="cs"/>
          <w:b/>
          <w:bCs/>
          <w:rtl/>
        </w:rPr>
        <w:t xml:space="preserve">تدبير </w:t>
      </w:r>
      <w:r w:rsidRPr="00CC28E7">
        <w:rPr>
          <w:rFonts w:hint="eastAsia"/>
          <w:b/>
          <w:bCs/>
          <w:rtl/>
        </w:rPr>
        <w:t>الاستمرارية</w:t>
      </w:r>
      <w:r w:rsidRPr="00CC28E7">
        <w:rPr>
          <w:b/>
          <w:bCs/>
          <w:rtl/>
        </w:rPr>
        <w:t xml:space="preserve"> </w:t>
      </w:r>
      <w:r w:rsidRPr="00CC28E7">
        <w:rPr>
          <w:rFonts w:hint="eastAsia"/>
          <w:b/>
          <w:bCs/>
          <w:rtl/>
        </w:rPr>
        <w:t>لتنفيذ</w:t>
      </w:r>
      <w:r w:rsidRPr="00CC28E7">
        <w:rPr>
          <w:b/>
          <w:bCs/>
          <w:rtl/>
        </w:rPr>
        <w:t xml:space="preserve"> الصندوق</w:t>
      </w:r>
    </w:p>
    <w:p w14:paraId="1114F14F" w14:textId="0828D3AD" w:rsidR="00D91500" w:rsidRPr="0069593F" w:rsidRDefault="00D91500" w:rsidP="00D91500">
      <w:pPr>
        <w:pStyle w:val="COMPara"/>
        <w:keepNext/>
        <w:numPr>
          <w:ilvl w:val="0"/>
          <w:numId w:val="19"/>
        </w:numPr>
        <w:tabs>
          <w:tab w:val="left" w:pos="567"/>
        </w:tabs>
        <w:bidi/>
        <w:ind w:left="567" w:hanging="567"/>
        <w:jc w:val="both"/>
        <w:rPr>
          <w:bCs/>
          <w:rtl/>
        </w:rPr>
      </w:pPr>
      <w:r>
        <w:rPr>
          <w:rFonts w:hint="cs"/>
          <w:rtl/>
        </w:rPr>
        <w:t>في ضوء تأجيل الدورة الثامنة للجمعية العامة (</w:t>
      </w:r>
      <w:r>
        <w:t>‎8.GA</w:t>
      </w:r>
      <w:r>
        <w:rPr>
          <w:rFonts w:hint="cs"/>
          <w:rtl/>
        </w:rPr>
        <w:t xml:space="preserve">) من حزيران/يونيو إلى أيلول/سبتمبر 2020 بسبب جائحة كوفيد-19، قامت الأمانة العامة – بالتشاور مع الدوائر المركزية لليونسكو – بتمديد صلاحية الميزانية المعتمدة إلى حين عقد اجتماع الجمعية العامة الثامن. وأتاح هذا التدبير الوسيط الإبقاء على الأنشطة التي يدعمها الصندوق، دون التأثير على الميزانية العامة التي وافقت عليها الجمعية العامة. وإثر هذه السابقة، أذنت الجمعية العامة للأمانة – حال تعذر عقد اجتماعها قبل 30 حزيران/يونيو 2022 – بمواصلة </w:t>
      </w:r>
      <w:r>
        <w:rPr>
          <w:rFonts w:hint="cs"/>
          <w:rtl/>
        </w:rPr>
        <w:lastRenderedPageBreak/>
        <w:t xml:space="preserve">عملياتها إلى أن تتمكن من الاجتماع (القرار </w:t>
      </w:r>
      <w:hyperlink r:id="rId47" w:history="1">
        <w:r>
          <w:rPr>
            <w:rStyle w:val="Hyperlink"/>
          </w:rPr>
          <w:t>‎‎</w:t>
        </w:r>
        <w:r w:rsidRPr="00601665">
          <w:rPr>
            <w:rStyle w:val="Hyperlink"/>
          </w:rPr>
          <w:t>8.</w:t>
        </w:r>
        <w:r w:rsidR="00B209FF" w:rsidRPr="00601665">
          <w:rPr>
            <w:rStyle w:val="Hyperlink"/>
          </w:rPr>
          <w:t>GA</w:t>
        </w:r>
        <w:r w:rsidR="00B209FF">
          <w:rPr>
            <w:rStyle w:val="Hyperlink"/>
          </w:rPr>
          <w:t> </w:t>
        </w:r>
        <w:r w:rsidRPr="00601665">
          <w:rPr>
            <w:rStyle w:val="Hyperlink"/>
          </w:rPr>
          <w:t>7</w:t>
        </w:r>
      </w:hyperlink>
      <w:r w:rsidRPr="006B55AD">
        <w:rPr>
          <w:rtl/>
          <w:lang w:bidi="ar-SA"/>
        </w:rPr>
        <w:t>).</w:t>
      </w:r>
      <w:r>
        <w:rPr>
          <w:rFonts w:hint="cs"/>
          <w:rtl/>
        </w:rPr>
        <w:t xml:space="preserve"> ولضمان عدم تعطيل الأنشطة التي يدعمها الصندوق في عام 2024، فقد ترغب الجمعية العامة في اتخاذ قرار مماثل في حالة انعقاد دورتها العاشرة بعد 30 حزيران/يونيو 2024.</w:t>
      </w:r>
    </w:p>
    <w:p w14:paraId="4C2B0AB6" w14:textId="28F320A5" w:rsidR="008A1ED4" w:rsidRPr="005A4A42" w:rsidRDefault="007A0044" w:rsidP="008A1ED4">
      <w:pPr>
        <w:keepNext/>
        <w:numPr>
          <w:ilvl w:val="0"/>
          <w:numId w:val="19"/>
        </w:numPr>
        <w:bidi/>
        <w:ind w:left="567" w:hanging="567"/>
        <w:jc w:val="both"/>
        <w:rPr>
          <w:rFonts w:ascii="Arial" w:eastAsia="SimSun" w:hAnsi="Arial" w:cs="Arial"/>
          <w:sz w:val="22"/>
          <w:szCs w:val="22"/>
          <w:rtl/>
        </w:rPr>
      </w:pPr>
      <w:r w:rsidRPr="00F368F4">
        <w:rPr>
          <w:rFonts w:ascii="Arial" w:hAnsi="Arial" w:cs="Arial"/>
          <w:snapToGrid w:val="0"/>
          <w:sz w:val="22"/>
          <w:szCs w:val="22"/>
          <w:rtl/>
          <w:lang w:val="en-GB" w:eastAsia="en-US"/>
        </w:rPr>
        <w:t>قد ترغب الجمعية العامة في اعتماد القرار التالي</w:t>
      </w:r>
      <w:r w:rsidR="008A1ED4">
        <w:rPr>
          <w:rFonts w:ascii="Arial" w:hAnsi="Arial" w:hint="cs"/>
          <w:sz w:val="22"/>
          <w:szCs w:val="22"/>
          <w:rtl/>
        </w:rPr>
        <w:t>:</w:t>
      </w:r>
    </w:p>
    <w:p w14:paraId="2A46BAC4" w14:textId="12381EE1" w:rsidR="008A1ED4" w:rsidRDefault="007A0044" w:rsidP="008A1ED4">
      <w:pPr>
        <w:pStyle w:val="GATitleResolution"/>
        <w:bidi/>
        <w:rPr>
          <w:rtl/>
        </w:rPr>
      </w:pPr>
      <w:r w:rsidRPr="00F368F4">
        <w:rPr>
          <w:b w:val="0"/>
          <w:bCs/>
          <w:rtl/>
        </w:rPr>
        <w:t>مشروع القرار</w:t>
      </w:r>
      <w:r w:rsidRPr="00F368F4">
        <w:rPr>
          <w:rtl/>
        </w:rPr>
        <w:t xml:space="preserve"> </w:t>
      </w:r>
      <w:r w:rsidR="00F010E0">
        <w:t>‎</w:t>
      </w:r>
      <w:r w:rsidR="00F010E0" w:rsidRPr="006B55AD">
        <w:t>9.GA 10</w:t>
      </w:r>
    </w:p>
    <w:p w14:paraId="7677B217" w14:textId="0E05556A" w:rsidR="008A1ED4" w:rsidRPr="005A4A42" w:rsidRDefault="007A0044" w:rsidP="008A1ED4">
      <w:pPr>
        <w:pStyle w:val="GAPreambulaResolution"/>
        <w:bidi/>
        <w:rPr>
          <w:rFonts w:eastAsia="SimSun"/>
          <w:rtl/>
        </w:rPr>
      </w:pPr>
      <w:r w:rsidRPr="00F368F4">
        <w:rPr>
          <w:rtl/>
        </w:rPr>
        <w:t>إنّ</w:t>
      </w:r>
      <w:r w:rsidDel="007A0044">
        <w:rPr>
          <w:rFonts w:hint="cs"/>
          <w:rtl/>
        </w:rPr>
        <w:t xml:space="preserve"> </w:t>
      </w:r>
      <w:r w:rsidR="008A1ED4">
        <w:rPr>
          <w:rFonts w:hint="cs"/>
          <w:rtl/>
        </w:rPr>
        <w:t>الجمعية العامة</w:t>
      </w:r>
      <w:r w:rsidR="00317601">
        <w:rPr>
          <w:rFonts w:hint="cs"/>
          <w:rtl/>
        </w:rPr>
        <w:t>،</w:t>
      </w:r>
    </w:p>
    <w:p w14:paraId="68F801BB" w14:textId="67BA1509" w:rsidR="008A1ED4" w:rsidRPr="00345CB4" w:rsidRDefault="007A0044" w:rsidP="006846FB">
      <w:pPr>
        <w:pStyle w:val="COMParaDecision"/>
        <w:numPr>
          <w:ilvl w:val="0"/>
          <w:numId w:val="10"/>
        </w:numPr>
        <w:bidi/>
        <w:ind w:left="1134" w:hanging="567"/>
        <w:rPr>
          <w:rtl/>
        </w:rPr>
      </w:pPr>
      <w:r w:rsidRPr="00F368F4">
        <w:rPr>
          <w:rtl/>
        </w:rPr>
        <w:t>وقد درست</w:t>
      </w:r>
      <w:r w:rsidRPr="00F368F4">
        <w:rPr>
          <w:u w:val="none"/>
          <w:rtl/>
        </w:rPr>
        <w:t xml:space="preserve"> الوثيقتين</w:t>
      </w:r>
      <w:r w:rsidRPr="00CC28E7">
        <w:rPr>
          <w:sz w:val="28"/>
          <w:szCs w:val="28"/>
          <w:u w:val="none"/>
          <w:rtl/>
        </w:rPr>
        <w:t xml:space="preserve"> </w:t>
      </w:r>
      <w:r w:rsidR="008A1ED4" w:rsidRPr="00F368F4">
        <w:rPr>
          <w:u w:val="none"/>
        </w:rPr>
        <w:t>LHE/22</w:t>
      </w:r>
      <w:r w:rsidR="008A1ED4" w:rsidRPr="00A31A2E">
        <w:rPr>
          <w:u w:val="none"/>
        </w:rPr>
        <w:t>/9.GA/10</w:t>
      </w:r>
      <w:r w:rsidR="008A1ED4" w:rsidRPr="00A31A2E">
        <w:rPr>
          <w:rFonts w:hint="cs"/>
          <w:u w:val="none"/>
          <w:rtl/>
        </w:rPr>
        <w:t xml:space="preserve"> و</w:t>
      </w:r>
      <w:hyperlink r:id="rId48" w:history="1">
        <w:r w:rsidR="008A1ED4" w:rsidRPr="00A31A2E">
          <w:rPr>
            <w:rStyle w:val="Hyperlink"/>
          </w:rPr>
          <w:t>LHE/22/9.GA/INF.10</w:t>
        </w:r>
      </w:hyperlink>
      <w:r w:rsidR="008A1ED4">
        <w:rPr>
          <w:rFonts w:hint="cs"/>
          <w:u w:val="none"/>
          <w:rtl/>
        </w:rPr>
        <w:t xml:space="preserve"> ومرفقات كل منهما،</w:t>
      </w:r>
    </w:p>
    <w:p w14:paraId="7B6E08D5" w14:textId="2EF39594" w:rsidR="009C60BA" w:rsidRPr="00E22116" w:rsidRDefault="00654A10" w:rsidP="009C60BA">
      <w:pPr>
        <w:pStyle w:val="COMParaDecision"/>
        <w:keepLines/>
        <w:numPr>
          <w:ilvl w:val="0"/>
          <w:numId w:val="10"/>
        </w:numPr>
        <w:bidi/>
        <w:ind w:left="1134" w:hanging="567"/>
        <w:rPr>
          <w:u w:val="none"/>
          <w:rtl/>
        </w:rPr>
      </w:pPr>
      <w:r w:rsidRPr="00F368F4">
        <w:rPr>
          <w:rtl/>
        </w:rPr>
        <w:t>وإذ تذكّر</w:t>
      </w:r>
      <w:r w:rsidRPr="00F644B6">
        <w:rPr>
          <w:sz w:val="28"/>
          <w:szCs w:val="28"/>
          <w:u w:val="none"/>
          <w:rtl/>
        </w:rPr>
        <w:t xml:space="preserve"> </w:t>
      </w:r>
      <w:r w:rsidRPr="00F368F4">
        <w:rPr>
          <w:u w:val="none"/>
          <w:rtl/>
        </w:rPr>
        <w:t>بالمادة</w:t>
      </w:r>
      <w:r w:rsidR="008A1ED4">
        <w:rPr>
          <w:rFonts w:hint="cs"/>
          <w:u w:val="none"/>
          <w:rtl/>
        </w:rPr>
        <w:t xml:space="preserve"> 7(جـ) من الاتفاقية والفقرتين 66 و67 من التوجيهات التنفيذية،</w:t>
      </w:r>
    </w:p>
    <w:p w14:paraId="5DAB6814" w14:textId="02B7B722" w:rsidR="009C60BA" w:rsidRPr="00E22116" w:rsidRDefault="00654A10" w:rsidP="009C60BA">
      <w:pPr>
        <w:pStyle w:val="COMParaDecision"/>
        <w:numPr>
          <w:ilvl w:val="0"/>
          <w:numId w:val="10"/>
        </w:numPr>
        <w:bidi/>
        <w:ind w:left="1134" w:hanging="567"/>
        <w:rPr>
          <w:rStyle w:val="Hyperlink"/>
          <w:color w:val="auto"/>
          <w:rtl/>
        </w:rPr>
      </w:pPr>
      <w:r w:rsidRPr="00F368F4">
        <w:rPr>
          <w:rtl/>
        </w:rPr>
        <w:t>وتذكّر أيضاً</w:t>
      </w:r>
      <w:r w:rsidRPr="00F644B6">
        <w:rPr>
          <w:sz w:val="28"/>
          <w:szCs w:val="28"/>
          <w:u w:val="none"/>
          <w:rtl/>
        </w:rPr>
        <w:t xml:space="preserve"> </w:t>
      </w:r>
      <w:r w:rsidR="008A1ED4">
        <w:rPr>
          <w:rFonts w:hint="cs"/>
          <w:u w:val="none"/>
          <w:rtl/>
        </w:rPr>
        <w:t xml:space="preserve">إلى </w:t>
      </w:r>
      <w:r w:rsidR="008A1ED4">
        <w:rPr>
          <w:rStyle w:val="Hyperlink"/>
          <w:rFonts w:hint="cs"/>
          <w:color w:val="auto"/>
          <w:u w:val="none"/>
          <w:rtl/>
        </w:rPr>
        <w:t>قرار الاعتمادات لعام 2022</w:t>
      </w:r>
      <w:r w:rsidR="008A1ED4">
        <w:rPr>
          <w:rFonts w:hint="cs"/>
          <w:u w:val="none"/>
          <w:rtl/>
        </w:rPr>
        <w:t>–</w:t>
      </w:r>
      <w:r w:rsidR="008A1ED4">
        <w:rPr>
          <w:rStyle w:val="Hyperlink"/>
          <w:rFonts w:hint="cs"/>
          <w:color w:val="auto"/>
          <w:u w:val="none"/>
          <w:rtl/>
        </w:rPr>
        <w:t xml:space="preserve">2023 المعتمد من قبل </w:t>
      </w:r>
      <w:r w:rsidR="008A1ED4">
        <w:rPr>
          <w:rFonts w:hint="cs"/>
          <w:u w:val="none"/>
          <w:rtl/>
        </w:rPr>
        <w:t>مؤتمر اليونسكو العام (</w:t>
      </w:r>
      <w:hyperlink r:id="rId49" w:history="1">
        <w:r w:rsidR="008A1ED4">
          <w:rPr>
            <w:rStyle w:val="Hyperlink"/>
            <w:rFonts w:hint="cs"/>
            <w:rtl/>
          </w:rPr>
          <w:t>41 جيم/القرار 76</w:t>
        </w:r>
      </w:hyperlink>
      <w:r w:rsidR="008A1ED4">
        <w:rPr>
          <w:rStyle w:val="Hyperlink"/>
          <w:rFonts w:hint="cs"/>
          <w:color w:val="auto"/>
          <w:u w:val="none"/>
          <w:rtl/>
        </w:rPr>
        <w:t>)،</w:t>
      </w:r>
    </w:p>
    <w:p w14:paraId="4F7B3361" w14:textId="5CF945DA" w:rsidR="009C60BA" w:rsidRDefault="009C60BA" w:rsidP="009C60BA">
      <w:pPr>
        <w:pStyle w:val="COMParaDecision"/>
        <w:keepNext/>
        <w:keepLines/>
        <w:bidi/>
        <w:ind w:left="567" w:firstLine="0"/>
        <w:rPr>
          <w:b/>
          <w:bCs/>
          <w:u w:val="none"/>
          <w:rtl/>
        </w:rPr>
      </w:pPr>
      <w:r>
        <w:rPr>
          <w:rFonts w:hint="cs"/>
          <w:b/>
          <w:bCs/>
          <w:u w:val="none"/>
          <w:rtl/>
        </w:rPr>
        <w:t xml:space="preserve">حالة الصندوق </w:t>
      </w:r>
      <w:r w:rsidR="00654A10" w:rsidRPr="00F368F4">
        <w:rPr>
          <w:b/>
          <w:bCs/>
          <w:u w:val="none"/>
          <w:rtl/>
        </w:rPr>
        <w:t>وتوجّهاته</w:t>
      </w:r>
      <w:r w:rsidR="00654A10" w:rsidDel="00654A10">
        <w:rPr>
          <w:rFonts w:hint="cs"/>
          <w:b/>
          <w:bCs/>
          <w:u w:val="none"/>
          <w:rtl/>
        </w:rPr>
        <w:t xml:space="preserve"> </w:t>
      </w:r>
    </w:p>
    <w:p w14:paraId="0046A11B" w14:textId="6371F3CC" w:rsidR="009C60BA" w:rsidRPr="00E22116" w:rsidRDefault="00654A10" w:rsidP="006B668D">
      <w:pPr>
        <w:pStyle w:val="COMParaDecision"/>
        <w:numPr>
          <w:ilvl w:val="0"/>
          <w:numId w:val="10"/>
        </w:numPr>
        <w:bidi/>
        <w:ind w:left="1134" w:hanging="567"/>
        <w:rPr>
          <w:rtl/>
        </w:rPr>
      </w:pPr>
      <w:r w:rsidRPr="00F368F4">
        <w:rPr>
          <w:rtl/>
        </w:rPr>
        <w:t>وتحيط علماً</w:t>
      </w:r>
      <w:r w:rsidRPr="00F644B6">
        <w:rPr>
          <w:sz w:val="28"/>
          <w:szCs w:val="28"/>
          <w:u w:val="none"/>
          <w:rtl/>
        </w:rPr>
        <w:t xml:space="preserve"> </w:t>
      </w:r>
      <w:r w:rsidR="006B668D">
        <w:rPr>
          <w:rFonts w:hint="cs"/>
          <w:u w:val="none"/>
          <w:rtl/>
        </w:rPr>
        <w:t>ب</w:t>
      </w:r>
      <w:r>
        <w:rPr>
          <w:rFonts w:hint="cs"/>
          <w:u w:val="none"/>
          <w:rtl/>
        </w:rPr>
        <w:t>ب</w:t>
      </w:r>
      <w:r w:rsidR="006B668D">
        <w:rPr>
          <w:rFonts w:hint="cs"/>
          <w:u w:val="none"/>
          <w:rtl/>
        </w:rPr>
        <w:t xml:space="preserve">يان </w:t>
      </w:r>
      <w:r w:rsidR="00272930" w:rsidRPr="00F368F4">
        <w:rPr>
          <w:u w:val="none"/>
          <w:rtl/>
        </w:rPr>
        <w:t>المساهمات</w:t>
      </w:r>
      <w:r w:rsidR="006B668D">
        <w:rPr>
          <w:rFonts w:hint="cs"/>
          <w:u w:val="none"/>
          <w:rtl/>
        </w:rPr>
        <w:t xml:space="preserve"> المقررة للصندوق للفترة 2020-2021، </w:t>
      </w:r>
      <w:r w:rsidR="006B668D">
        <w:rPr>
          <w:rFonts w:hint="cs"/>
          <w:rtl/>
        </w:rPr>
        <w:t>وتذكّر</w:t>
      </w:r>
      <w:r w:rsidR="006B668D">
        <w:rPr>
          <w:rFonts w:hint="cs"/>
          <w:u w:val="none"/>
          <w:rtl/>
        </w:rPr>
        <w:t xml:space="preserve"> أن دفع </w:t>
      </w:r>
      <w:r w:rsidR="00C137A9" w:rsidRPr="009028B3">
        <w:rPr>
          <w:rFonts w:hint="cs"/>
          <w:u w:val="none"/>
          <w:rtl/>
        </w:rPr>
        <w:t>المساهمات</w:t>
      </w:r>
      <w:r w:rsidR="00C137A9">
        <w:rPr>
          <w:rFonts w:hint="cs"/>
          <w:u w:val="none"/>
          <w:rtl/>
        </w:rPr>
        <w:t xml:space="preserve"> </w:t>
      </w:r>
      <w:r w:rsidR="006B668D">
        <w:rPr>
          <w:rFonts w:hint="cs"/>
          <w:u w:val="none"/>
          <w:rtl/>
        </w:rPr>
        <w:t xml:space="preserve">الطوعية الإلزامية والمقررة إنما هو التزام يقع على عاتق جميع الدول الأطراف التي صدقت على الاتفاقية، وفقًا للمادة 26 من الاتفاقية؛ فإنها </w:t>
      </w:r>
      <w:r w:rsidR="006B668D">
        <w:rPr>
          <w:rFonts w:hint="cs"/>
          <w:rtl/>
        </w:rPr>
        <w:t>تدعو</w:t>
      </w:r>
      <w:r w:rsidR="006B668D">
        <w:rPr>
          <w:rFonts w:hint="cs"/>
          <w:u w:val="none"/>
          <w:rtl/>
        </w:rPr>
        <w:t xml:space="preserve"> جميع الدول الأطراف التي لم تسدد بعد مجموع </w:t>
      </w:r>
      <w:r w:rsidR="00C137A9" w:rsidRPr="009028B3">
        <w:rPr>
          <w:rFonts w:hint="cs"/>
          <w:u w:val="none"/>
          <w:rtl/>
        </w:rPr>
        <w:t>مساهما</w:t>
      </w:r>
      <w:r w:rsidR="006B668D">
        <w:rPr>
          <w:rFonts w:hint="cs"/>
          <w:u w:val="none"/>
          <w:rtl/>
        </w:rPr>
        <w:t xml:space="preserve">تها المقررة لعام 2021 أو السنوات السابقة، بما في ذلك </w:t>
      </w:r>
      <w:r w:rsidR="00C137A9" w:rsidRPr="009028B3">
        <w:rPr>
          <w:rFonts w:hint="cs"/>
          <w:u w:val="none"/>
          <w:rtl/>
        </w:rPr>
        <w:t>المساهمات</w:t>
      </w:r>
      <w:r w:rsidR="006B668D">
        <w:rPr>
          <w:rFonts w:hint="cs"/>
          <w:u w:val="none"/>
          <w:rtl/>
        </w:rPr>
        <w:t xml:space="preserve"> المقررة الطوعية، لضمان سداد </w:t>
      </w:r>
      <w:r w:rsidR="00C137A9" w:rsidRPr="009028B3">
        <w:rPr>
          <w:rFonts w:hint="cs"/>
          <w:u w:val="none"/>
          <w:rtl/>
        </w:rPr>
        <w:t>مساهما</w:t>
      </w:r>
      <w:r w:rsidR="00C137A9">
        <w:rPr>
          <w:rFonts w:hint="cs"/>
          <w:u w:val="none"/>
          <w:rtl/>
        </w:rPr>
        <w:t>تها</w:t>
      </w:r>
      <w:r w:rsidR="006B668D">
        <w:rPr>
          <w:rFonts w:hint="cs"/>
          <w:u w:val="none"/>
          <w:rtl/>
        </w:rPr>
        <w:t xml:space="preserve"> في الوقت المناسب</w:t>
      </w:r>
      <w:r w:rsidR="000C40F5" w:rsidRPr="00F368F4">
        <w:rPr>
          <w:u w:val="none"/>
          <w:rtl/>
        </w:rPr>
        <w:t>؛</w:t>
      </w:r>
    </w:p>
    <w:p w14:paraId="0D76BB06" w14:textId="5C1460D1" w:rsidR="006B668D" w:rsidRPr="00E3618B" w:rsidRDefault="006B668D" w:rsidP="007269A9">
      <w:pPr>
        <w:pStyle w:val="COMParaDecision"/>
        <w:numPr>
          <w:ilvl w:val="0"/>
          <w:numId w:val="10"/>
        </w:numPr>
        <w:bidi/>
        <w:ind w:left="1134" w:hanging="567"/>
        <w:rPr>
          <w:u w:val="none"/>
          <w:rtl/>
        </w:rPr>
      </w:pPr>
      <w:r>
        <w:rPr>
          <w:rFonts w:hint="cs"/>
          <w:u w:val="none"/>
          <w:rtl/>
        </w:rPr>
        <w:t xml:space="preserve"> </w:t>
      </w:r>
      <w:r w:rsidR="000C40F5" w:rsidRPr="00F368F4">
        <w:rPr>
          <w:rtl/>
        </w:rPr>
        <w:t>وكما</w:t>
      </w:r>
      <w:r w:rsidR="000C40F5" w:rsidRPr="00F368F4">
        <w:t xml:space="preserve"> </w:t>
      </w:r>
      <w:r w:rsidR="000C40F5" w:rsidRPr="00F368F4">
        <w:rPr>
          <w:rtl/>
        </w:rPr>
        <w:t>تحيط علماً</w:t>
      </w:r>
      <w:r w:rsidR="000C40F5">
        <w:rPr>
          <w:sz w:val="28"/>
          <w:szCs w:val="28"/>
          <w:u w:val="none"/>
        </w:rPr>
        <w:t xml:space="preserve"> </w:t>
      </w:r>
      <w:r>
        <w:rPr>
          <w:rFonts w:hint="cs"/>
          <w:u w:val="none"/>
          <w:rtl/>
        </w:rPr>
        <w:t>بما قدمته الجهات المانحة خلال فترة السنتين 2020-2021 من (أ) التبرعات التكميلية لأنشطة محددة لاتي وافقت عليها اللجنة، وهي أذربيجان وسويسرا وفرنسا والكويت وهولندا، والمركز الدولي للإعلام والربط الشبكي في مجال التراث الثقافي غير المادي لمنطقة آسيا والمحيط الهادي، وكذلك (ب) التبرعات التكميلية للصندوق الفرعي لتعزيز القدرات البشرية للأمانة العامة، وهي ليتوانيا وموناكو وفلسطين وسلوفاكيا ومؤسسة متحف كمان أنطونيو ستراديفاري</w:t>
      </w:r>
      <w:r w:rsidR="000C40F5" w:rsidRPr="00423664">
        <w:rPr>
          <w:u w:val="none"/>
          <w:rtl/>
        </w:rPr>
        <w:t>؛</w:t>
      </w:r>
    </w:p>
    <w:p w14:paraId="1AC6A8F4" w14:textId="162A4136" w:rsidR="006B668D" w:rsidRPr="00FB63EB" w:rsidRDefault="000C40F5" w:rsidP="00A31A2E">
      <w:pPr>
        <w:pStyle w:val="COMParaDecision"/>
        <w:keepLines/>
        <w:numPr>
          <w:ilvl w:val="0"/>
          <w:numId w:val="10"/>
        </w:numPr>
        <w:bidi/>
        <w:ind w:left="1134" w:hanging="567"/>
        <w:rPr>
          <w:rtl/>
        </w:rPr>
      </w:pPr>
      <w:r w:rsidRPr="00F368F4">
        <w:rPr>
          <w:rtl/>
        </w:rPr>
        <w:t>وتشكر</w:t>
      </w:r>
      <w:r w:rsidRPr="00F368F4" w:rsidDel="000C40F5">
        <w:rPr>
          <w:u w:val="none"/>
          <w:rtl/>
        </w:rPr>
        <w:t xml:space="preserve"> </w:t>
      </w:r>
      <w:r w:rsidR="00124C42">
        <w:rPr>
          <w:rFonts w:hint="cs"/>
          <w:u w:val="none"/>
          <w:rtl/>
        </w:rPr>
        <w:t>جميع المساهمين الذين دعموا الاتفاقية وأمانتها، منذ دورتها الأخيرة، من خلال أشكال مختلفة من الدعم المالي أو العيني كالتبرعات التكميلية لصندوق التراث الثقافي غير المادي، بما في ذلك الصندوق الفرعي لتعزيز القدرات البشرية للأمانة، أو الصناديق الاستئمانية، أو الموظفين المعارين، و</w:t>
      </w:r>
      <w:r w:rsidR="00124C42">
        <w:rPr>
          <w:rFonts w:hint="cs"/>
          <w:rtl/>
        </w:rPr>
        <w:t>تشجع</w:t>
      </w:r>
      <w:r w:rsidR="00124C42">
        <w:rPr>
          <w:rFonts w:hint="cs"/>
          <w:u w:val="none"/>
          <w:rtl/>
        </w:rPr>
        <w:t xml:space="preserve"> المساهمين المحتملين على النظر في إمكانية دعم الاتفاقية من خلال طريقة اختيارهم</w:t>
      </w:r>
      <w:r w:rsidRPr="00423664">
        <w:rPr>
          <w:u w:val="none"/>
          <w:rtl/>
        </w:rPr>
        <w:t>؛</w:t>
      </w:r>
      <w:r w:rsidR="00124C42">
        <w:rPr>
          <w:rFonts w:hint="cs"/>
          <w:u w:val="none"/>
          <w:rtl/>
        </w:rPr>
        <w:t xml:space="preserve"> </w:t>
      </w:r>
    </w:p>
    <w:p w14:paraId="7CF52EB3" w14:textId="116C2822" w:rsidR="00F37A31" w:rsidRPr="00FB63EB" w:rsidRDefault="00F37A31" w:rsidP="00D20486">
      <w:pPr>
        <w:pStyle w:val="COMParaDecision"/>
        <w:numPr>
          <w:ilvl w:val="0"/>
          <w:numId w:val="10"/>
        </w:numPr>
        <w:bidi/>
        <w:ind w:left="1134" w:hanging="567"/>
        <w:rPr>
          <w:rtl/>
        </w:rPr>
      </w:pPr>
      <w:r>
        <w:rPr>
          <w:rFonts w:hint="cs"/>
          <w:rtl/>
        </w:rPr>
        <w:t>وتكرر</w:t>
      </w:r>
      <w:r w:rsidRPr="00F368F4">
        <w:rPr>
          <w:u w:val="none"/>
          <w:rtl/>
        </w:rPr>
        <w:t xml:space="preserve"> </w:t>
      </w:r>
      <w:r>
        <w:rPr>
          <w:rFonts w:hint="cs"/>
          <w:u w:val="none"/>
          <w:rtl/>
        </w:rPr>
        <w:t>على الحاجة إلى تعزيز الموارد البشرية للأمانة على أساس دائم لتمكينها من الاستجابة بشكل أفضل لاحتياجات الدول الأطراف، و</w:t>
      </w:r>
      <w:r>
        <w:rPr>
          <w:rFonts w:hint="cs"/>
          <w:rtl/>
        </w:rPr>
        <w:t>تدعو</w:t>
      </w:r>
      <w:r>
        <w:rPr>
          <w:rFonts w:hint="cs"/>
          <w:u w:val="none"/>
          <w:rtl/>
        </w:rPr>
        <w:t xml:space="preserve"> الدول الأطراف إلى تقديم تبرعات تكميلية للصندوق الفرعي لتعزيز الموارد البشرية للأمانة</w:t>
      </w:r>
      <w:r w:rsidR="000C40F5" w:rsidRPr="00423664">
        <w:rPr>
          <w:u w:val="none"/>
          <w:rtl/>
        </w:rPr>
        <w:t>؛</w:t>
      </w:r>
    </w:p>
    <w:p w14:paraId="5EE20763" w14:textId="77777777" w:rsidR="00124C42" w:rsidRPr="00FB63EB" w:rsidRDefault="00124C42" w:rsidP="00124C42">
      <w:pPr>
        <w:pStyle w:val="COMParaDecision"/>
        <w:keepNext/>
        <w:keepLines/>
        <w:bidi/>
        <w:ind w:left="567" w:firstLine="0"/>
        <w:rPr>
          <w:b/>
          <w:bCs/>
          <w:u w:val="none"/>
          <w:rtl/>
        </w:rPr>
      </w:pPr>
      <w:r>
        <w:rPr>
          <w:rFonts w:hint="cs"/>
          <w:b/>
          <w:bCs/>
          <w:u w:val="none"/>
          <w:rtl/>
        </w:rPr>
        <w:t>خطة استخدام موارد الصندوق</w:t>
      </w:r>
    </w:p>
    <w:p w14:paraId="25DA63B7" w14:textId="751053FC" w:rsidR="00124C42" w:rsidRPr="00FB63EB" w:rsidRDefault="00124C42" w:rsidP="00124C42">
      <w:pPr>
        <w:pStyle w:val="COMParaDecision"/>
        <w:keepLines/>
        <w:numPr>
          <w:ilvl w:val="0"/>
          <w:numId w:val="10"/>
        </w:numPr>
        <w:bidi/>
        <w:ind w:left="1134" w:hanging="567"/>
        <w:rPr>
          <w:rtl/>
        </w:rPr>
      </w:pPr>
      <w:r>
        <w:rPr>
          <w:rFonts w:hint="cs"/>
          <w:rtl/>
        </w:rPr>
        <w:t>توافق</w:t>
      </w:r>
      <w:r>
        <w:rPr>
          <w:rFonts w:hint="cs"/>
          <w:u w:val="none"/>
          <w:rtl/>
        </w:rPr>
        <w:t xml:space="preserve"> على خطة استخدام موارد الصندوق للفترة من 1 كانون الثاني/يناير 2022 إلى 31 كانون الأول/ديسمبر 2023 وكذلك للفترة من 1 كانون الثاني/يناير 2024 إلى 30 حزيران/يونيو 2024 في مرفق هذا القرار</w:t>
      </w:r>
      <w:r w:rsidR="000C40F5" w:rsidRPr="00423664">
        <w:rPr>
          <w:u w:val="none"/>
          <w:rtl/>
        </w:rPr>
        <w:t>؛</w:t>
      </w:r>
    </w:p>
    <w:p w14:paraId="63F91BEE" w14:textId="59B03D4E" w:rsidR="00005681" w:rsidRPr="00FB63EB" w:rsidRDefault="00F14112" w:rsidP="00D20486">
      <w:pPr>
        <w:pStyle w:val="COMParaDecision"/>
        <w:keepLines/>
        <w:numPr>
          <w:ilvl w:val="0"/>
          <w:numId w:val="10"/>
        </w:numPr>
        <w:bidi/>
        <w:ind w:left="1134" w:hanging="567"/>
        <w:rPr>
          <w:u w:val="none"/>
          <w:rtl/>
        </w:rPr>
      </w:pPr>
      <w:r w:rsidRPr="00F368F4">
        <w:rPr>
          <w:rtl/>
        </w:rPr>
        <w:t>وتدرك</w:t>
      </w:r>
      <w:r w:rsidRPr="00F368F4" w:rsidDel="00F14112">
        <w:rPr>
          <w:u w:val="none"/>
          <w:rtl/>
        </w:rPr>
        <w:t xml:space="preserve"> </w:t>
      </w:r>
      <w:r w:rsidR="00005681">
        <w:rPr>
          <w:rFonts w:hint="cs"/>
          <w:u w:val="none"/>
          <w:rtl/>
        </w:rPr>
        <w:t xml:space="preserve">أنه يجوز لها عند انعقاد دورتها العاشرة في عام 2024، أن </w:t>
      </w:r>
      <w:r w:rsidRPr="00F368F4">
        <w:rPr>
          <w:u w:val="none"/>
          <w:rtl/>
        </w:rPr>
        <w:t>تعدّل</w:t>
      </w:r>
      <w:r w:rsidDel="00F14112">
        <w:rPr>
          <w:rFonts w:hint="cs"/>
          <w:u w:val="none"/>
          <w:rtl/>
        </w:rPr>
        <w:t xml:space="preserve"> </w:t>
      </w:r>
      <w:r w:rsidR="00005681">
        <w:rPr>
          <w:rFonts w:hint="cs"/>
          <w:u w:val="none"/>
          <w:rtl/>
        </w:rPr>
        <w:t>خطة الميزانية من 1 كانون الثاني/يناير 2024 إلى 30 حزيران/يونيو 2024؛ وإذا لم تتمكن الجمعية العامة من الاجتماع قبل 30 حزيران/يونيو 2024، فإن الأمانة تكون مخولة بمواصلة عملياتها إلى أن تتمكن الجمعية العامة من الاجتماع</w:t>
      </w:r>
      <w:r w:rsidR="000C40F5" w:rsidRPr="00423664">
        <w:rPr>
          <w:u w:val="none"/>
          <w:rtl/>
        </w:rPr>
        <w:t>؛</w:t>
      </w:r>
    </w:p>
    <w:p w14:paraId="75B48532" w14:textId="694E0744" w:rsidR="00E3618B" w:rsidRPr="00FB63EB" w:rsidRDefault="00D0090C" w:rsidP="00E3618B">
      <w:pPr>
        <w:pStyle w:val="COMParaDecision"/>
        <w:numPr>
          <w:ilvl w:val="0"/>
          <w:numId w:val="10"/>
        </w:numPr>
        <w:bidi/>
        <w:ind w:left="1134" w:hanging="567"/>
        <w:rPr>
          <w:u w:val="none"/>
          <w:rtl/>
        </w:rPr>
      </w:pPr>
      <w:r w:rsidRPr="00423664">
        <w:rPr>
          <w:rtl/>
        </w:rPr>
        <w:t>و</w:t>
      </w:r>
      <w:r w:rsidR="00E3618B">
        <w:rPr>
          <w:rFonts w:hint="cs"/>
          <w:rtl/>
        </w:rPr>
        <w:t>ترحب</w:t>
      </w:r>
      <w:r w:rsidR="00E3618B">
        <w:rPr>
          <w:rFonts w:hint="cs"/>
          <w:u w:val="none"/>
          <w:rtl/>
        </w:rPr>
        <w:t xml:space="preserve"> بالتعزيز المقترح لرصد وتقييم مشاريع المساعدة الدولية تمشيًا مع تقييم </w:t>
      </w:r>
      <w:r w:rsidR="00C137A9" w:rsidRPr="00F368F4">
        <w:rPr>
          <w:u w:val="none"/>
          <w:rtl/>
        </w:rPr>
        <w:t>خدمات الإشراف الداخلي</w:t>
      </w:r>
      <w:r w:rsidR="00C137A9">
        <w:rPr>
          <w:rStyle w:val="hps"/>
          <w:rFonts w:hint="cs"/>
          <w:rtl/>
        </w:rPr>
        <w:t xml:space="preserve"> </w:t>
      </w:r>
      <w:r w:rsidR="00E3618B">
        <w:rPr>
          <w:rFonts w:hint="cs"/>
          <w:u w:val="none"/>
          <w:rtl/>
        </w:rPr>
        <w:t>للإجراءات التي اتخذتها اليونسكو في إطار الاتفاقية، و</w:t>
      </w:r>
      <w:r w:rsidR="00E3618B">
        <w:rPr>
          <w:rFonts w:hint="cs"/>
          <w:rtl/>
        </w:rPr>
        <w:t>تحيط علمًا أيضًا</w:t>
      </w:r>
      <w:r w:rsidR="00E3618B">
        <w:rPr>
          <w:rFonts w:hint="cs"/>
          <w:u w:val="none"/>
          <w:rtl/>
        </w:rPr>
        <w:t xml:space="preserve"> بالإذن الذي منحته اللجنة للأمانة بأن تستخدم – على أساس تجريبي – مبلغًا لا تتجاوز نسبته 10% من الميزانية المعتمدة لكل مشروع من مشاريع المساعدة الدولية، بالإضافة إلى المبلغ الذي منحته اللجنة أو مكتبها لكل مشروع، لرصد وتقييم أثر المشاريع التي يدعمها الصندوق</w:t>
      </w:r>
      <w:r w:rsidR="000C40F5" w:rsidRPr="00423664">
        <w:rPr>
          <w:u w:val="none"/>
          <w:rtl/>
        </w:rPr>
        <w:t>؛</w:t>
      </w:r>
    </w:p>
    <w:p w14:paraId="463E4310" w14:textId="6CFF53AD" w:rsidR="002F1B4B" w:rsidRPr="00FB63EB" w:rsidRDefault="00DF74A1" w:rsidP="00D20486">
      <w:pPr>
        <w:pStyle w:val="COMParaDecision"/>
        <w:numPr>
          <w:ilvl w:val="0"/>
          <w:numId w:val="10"/>
        </w:numPr>
        <w:bidi/>
        <w:ind w:left="1134" w:hanging="567"/>
        <w:rPr>
          <w:u w:val="none"/>
          <w:rtl/>
        </w:rPr>
      </w:pPr>
      <w:r>
        <w:rPr>
          <w:rFonts w:hint="cs"/>
          <w:rtl/>
        </w:rPr>
        <w:t>و</w:t>
      </w:r>
      <w:r w:rsidR="00A00513" w:rsidRPr="00423664">
        <w:rPr>
          <w:rtl/>
        </w:rPr>
        <w:t>كما</w:t>
      </w:r>
      <w:r w:rsidR="00A00513" w:rsidRPr="00423664">
        <w:t xml:space="preserve"> </w:t>
      </w:r>
      <w:r>
        <w:rPr>
          <w:rFonts w:hint="cs"/>
          <w:rtl/>
        </w:rPr>
        <w:t>ترحب</w:t>
      </w:r>
      <w:r>
        <w:rPr>
          <w:rFonts w:hint="cs"/>
          <w:u w:val="none"/>
          <w:rtl/>
        </w:rPr>
        <w:t xml:space="preserve"> بالتعديلات في المخصصات المتوقعة لتفعيل نتائج التفكير </w:t>
      </w:r>
      <w:r w:rsidR="00A00513" w:rsidRPr="00F368F4">
        <w:rPr>
          <w:u w:val="none"/>
          <w:rtl/>
        </w:rPr>
        <w:t>الشامل</w:t>
      </w:r>
      <w:r>
        <w:rPr>
          <w:rFonts w:hint="cs"/>
          <w:u w:val="none"/>
          <w:rtl/>
        </w:rPr>
        <w:t xml:space="preserve"> في آليات الإدراج في اتفاقية 2003</w:t>
      </w:r>
      <w:r w:rsidR="000C40F5" w:rsidRPr="00423664">
        <w:rPr>
          <w:u w:val="none"/>
          <w:rtl/>
        </w:rPr>
        <w:t>؛</w:t>
      </w:r>
    </w:p>
    <w:p w14:paraId="138D7744" w14:textId="1A39F2B6" w:rsidR="009E78E8" w:rsidRPr="009E78E8" w:rsidRDefault="00AA3DDB" w:rsidP="009E78E8">
      <w:pPr>
        <w:pStyle w:val="COMParaDecision"/>
        <w:numPr>
          <w:ilvl w:val="0"/>
          <w:numId w:val="10"/>
        </w:numPr>
        <w:bidi/>
        <w:ind w:left="1134" w:hanging="567"/>
        <w:rPr>
          <w:rtl/>
        </w:rPr>
      </w:pPr>
      <w:r>
        <w:rPr>
          <w:rFonts w:hint="cs"/>
          <w:u w:val="none"/>
          <w:rtl/>
        </w:rPr>
        <w:t xml:space="preserve"> </w:t>
      </w:r>
      <w:r>
        <w:rPr>
          <w:rFonts w:hint="cs"/>
          <w:rtl/>
        </w:rPr>
        <w:t>وتحيط علمًا علاوة على ذلك</w:t>
      </w:r>
      <w:r>
        <w:rPr>
          <w:rFonts w:hint="cs"/>
          <w:u w:val="none"/>
          <w:rtl/>
        </w:rPr>
        <w:t xml:space="preserve"> بالإذن الذي منحته اللجنة للأمانة العامة، عند استخدام الأموال المخصصة في إطار البند 3 من الميزانية للخطة، بإجراء تحويلات بين الأنشطة المدرجة في إطار البند 3 من الميزانية بمبلغ تراكمي يعادل نسبة 5% من مجموع المخصصات الأولية المقترحة للجمعية العامة لهذا الغرض</w:t>
      </w:r>
      <w:r w:rsidR="000C40F5" w:rsidRPr="00423664">
        <w:rPr>
          <w:u w:val="none"/>
          <w:rtl/>
        </w:rPr>
        <w:t>؛</w:t>
      </w:r>
    </w:p>
    <w:p w14:paraId="35253848" w14:textId="7C963167" w:rsidR="009E78E8" w:rsidRPr="009E78E8" w:rsidRDefault="003E3F88" w:rsidP="009E78E8">
      <w:pPr>
        <w:pStyle w:val="COMParaDecision"/>
        <w:numPr>
          <w:ilvl w:val="0"/>
          <w:numId w:val="10"/>
        </w:numPr>
        <w:bidi/>
        <w:ind w:left="1134" w:hanging="567"/>
        <w:rPr>
          <w:u w:val="none"/>
          <w:rtl/>
        </w:rPr>
      </w:pPr>
      <w:r w:rsidRPr="00F368F4">
        <w:rPr>
          <w:rtl/>
        </w:rPr>
        <w:t>وتأذن</w:t>
      </w:r>
      <w:r w:rsidR="009E78E8">
        <w:rPr>
          <w:rFonts w:hint="cs"/>
          <w:u w:val="none"/>
          <w:rtl/>
        </w:rPr>
        <w:t xml:space="preserve"> </w:t>
      </w:r>
      <w:r w:rsidRPr="00F368F4">
        <w:rPr>
          <w:u w:val="none"/>
          <w:rtl/>
        </w:rPr>
        <w:t>للجنة بالاستخدام الفوري لأي مساهمات طوعية تكميلية يمكن تلقيها خلال هذه الفترات، على النحو المبيّن في المادة 27 من الاتفاقية، وفقاً للنسب المئوية المنصوص عليها في الخطة</w:t>
      </w:r>
      <w:r w:rsidR="000C40F5" w:rsidRPr="00423664">
        <w:rPr>
          <w:u w:val="none"/>
          <w:rtl/>
        </w:rPr>
        <w:t>؛</w:t>
      </w:r>
    </w:p>
    <w:p w14:paraId="6FECEE0E" w14:textId="044DBF27" w:rsidR="009E78E8" w:rsidRPr="009E78E8" w:rsidRDefault="003E3F88" w:rsidP="009E78E8">
      <w:pPr>
        <w:pStyle w:val="COMParaDecision"/>
        <w:numPr>
          <w:ilvl w:val="0"/>
          <w:numId w:val="10"/>
        </w:numPr>
        <w:bidi/>
        <w:ind w:left="1134" w:hanging="567"/>
        <w:rPr>
          <w:u w:val="none"/>
          <w:rtl/>
        </w:rPr>
      </w:pPr>
      <w:r w:rsidRPr="00F368F4">
        <w:rPr>
          <w:rtl/>
        </w:rPr>
        <w:t>وتأذن</w:t>
      </w:r>
      <w:r w:rsidRPr="00F368F4">
        <w:t xml:space="preserve"> </w:t>
      </w:r>
      <w:r w:rsidRPr="00F368F4">
        <w:rPr>
          <w:rtl/>
        </w:rPr>
        <w:t>أيضاً</w:t>
      </w:r>
      <w:r w:rsidRPr="00F368F4">
        <w:rPr>
          <w:u w:val="none"/>
          <w:rtl/>
        </w:rPr>
        <w:t xml:space="preserve"> للجنة بالاستخدام الفوري لأي مساهمات قد تقبلها، خلال هذه الفترات، لأغراض محددة تتعلق بمشاريع محددة، شريطة أن تكون تلك المشاريع قد حظيت بموافقة اللجنة قبل استلام الأموال، على النحو المبيّن في المادة 25.5 من الاتفاقية</w:t>
      </w:r>
      <w:r w:rsidR="000C40F5" w:rsidRPr="00423664">
        <w:rPr>
          <w:u w:val="none"/>
          <w:rtl/>
        </w:rPr>
        <w:t>؛</w:t>
      </w:r>
    </w:p>
    <w:p w14:paraId="6F758F5C" w14:textId="37B22965" w:rsidR="009E78E8" w:rsidRDefault="003E3F88" w:rsidP="009E78E8">
      <w:pPr>
        <w:pStyle w:val="COMParaDecision"/>
        <w:numPr>
          <w:ilvl w:val="0"/>
          <w:numId w:val="10"/>
        </w:numPr>
        <w:bidi/>
        <w:ind w:left="1134" w:hanging="567"/>
        <w:rPr>
          <w:u w:val="none"/>
          <w:rtl/>
        </w:rPr>
      </w:pPr>
      <w:r w:rsidRPr="00F368F4">
        <w:rPr>
          <w:rtl/>
        </w:rPr>
        <w:t>كما</w:t>
      </w:r>
      <w:r w:rsidRPr="00F368F4">
        <w:t xml:space="preserve"> </w:t>
      </w:r>
      <w:r w:rsidRPr="00F368F4">
        <w:rPr>
          <w:rtl/>
        </w:rPr>
        <w:t>تأذن</w:t>
      </w:r>
      <w:r w:rsidRPr="00F368F4">
        <w:rPr>
          <w:u w:val="none"/>
          <w:rtl/>
        </w:rPr>
        <w:t xml:space="preserve"> للأمانة بإجراء تحويلات بين أبواب الميزانية 4 و5 و6 و7 في حدود 30 في المائة من مجموع المخصصات الأولية، </w:t>
      </w:r>
      <w:r w:rsidRPr="00F368F4">
        <w:rPr>
          <w:rtl/>
        </w:rPr>
        <w:t>وتطلب</w:t>
      </w:r>
      <w:r w:rsidRPr="00F368F4">
        <w:rPr>
          <w:u w:val="none"/>
          <w:rtl/>
        </w:rPr>
        <w:t xml:space="preserve"> من الأمانة أن تبلغ اللجنة والجمعية العامة خطياً، في الدورة التي تلي هذا الإجراء، بتفاصيل هذه التحويلات وأسبابها</w:t>
      </w:r>
      <w:r w:rsidR="00C137A9">
        <w:t>.</w:t>
      </w:r>
    </w:p>
    <w:p w14:paraId="3AEEB6EA" w14:textId="2EA64491" w:rsidR="00695F92" w:rsidRDefault="00695F92" w:rsidP="009E78E8">
      <w:pPr>
        <w:pStyle w:val="COMParaDecision"/>
        <w:bidi/>
        <w:ind w:left="0" w:firstLine="0"/>
        <w:rPr>
          <w:rtl/>
        </w:rPr>
      </w:pPr>
      <w:r>
        <w:rPr>
          <w:rFonts w:hint="cs"/>
          <w:rtl/>
        </w:rPr>
        <w:br w:type="page"/>
      </w:r>
    </w:p>
    <w:p w14:paraId="3BA146CB" w14:textId="48EAC655" w:rsidR="00502D44" w:rsidRPr="006772FC" w:rsidRDefault="00695F92" w:rsidP="00695F92">
      <w:pPr>
        <w:pStyle w:val="COMParaDecision"/>
        <w:bidi/>
        <w:ind w:left="0" w:firstLine="0"/>
        <w:jc w:val="center"/>
        <w:rPr>
          <w:b/>
          <w:bCs/>
          <w:rtl/>
        </w:rPr>
      </w:pPr>
      <w:r>
        <w:rPr>
          <w:rFonts w:hint="cs"/>
          <w:b/>
          <w:bCs/>
          <w:rtl/>
        </w:rPr>
        <w:lastRenderedPageBreak/>
        <w:t>الملحق</w:t>
      </w:r>
    </w:p>
    <w:tbl>
      <w:tblPr>
        <w:bidiVisual/>
        <w:tblW w:w="10372" w:type="dxa"/>
        <w:tblLayout w:type="fixed"/>
        <w:tblLook w:val="04A0" w:firstRow="1" w:lastRow="0" w:firstColumn="1" w:lastColumn="0" w:noHBand="0" w:noVBand="1"/>
      </w:tblPr>
      <w:tblGrid>
        <w:gridCol w:w="562"/>
        <w:gridCol w:w="4536"/>
        <w:gridCol w:w="1318"/>
        <w:gridCol w:w="1319"/>
        <w:gridCol w:w="1318"/>
        <w:gridCol w:w="1308"/>
        <w:gridCol w:w="11"/>
      </w:tblGrid>
      <w:tr w:rsidR="004C3CA9" w:rsidRPr="0016686C" w14:paraId="29F12D3F" w14:textId="77777777" w:rsidTr="007670BA">
        <w:trPr>
          <w:trHeight w:val="472"/>
        </w:trPr>
        <w:tc>
          <w:tcPr>
            <w:tcW w:w="77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5A5C4" w14:textId="71C77F05" w:rsidR="004C3CA9" w:rsidRPr="000E54B7" w:rsidRDefault="004C3CA9" w:rsidP="000E54B7">
            <w:pPr>
              <w:bidi/>
              <w:jc w:val="center"/>
              <w:rPr>
                <w:rFonts w:ascii="Arial" w:hAnsi="Arial" w:cs="Arial"/>
                <w:color w:val="000000"/>
                <w:sz w:val="18"/>
                <w:szCs w:val="18"/>
                <w:rtl/>
              </w:rPr>
            </w:pPr>
            <w:bookmarkStart w:id="3" w:name="RANGE!A1:E22"/>
            <w:r>
              <w:rPr>
                <w:rFonts w:hint="cs"/>
                <w:b/>
                <w:bCs/>
                <w:rtl/>
              </w:rPr>
              <w:t xml:space="preserve"> </w:t>
            </w:r>
            <w:r>
              <w:rPr>
                <w:rFonts w:ascii="Arial" w:hAnsi="Arial" w:hint="cs"/>
                <w:b/>
                <w:bCs/>
                <w:color w:val="000000"/>
                <w:sz w:val="18"/>
                <w:szCs w:val="18"/>
                <w:rtl/>
              </w:rPr>
              <w:t>مشروع خطة استخدام موارد الصندوق</w:t>
            </w:r>
            <w:bookmarkEnd w:id="3"/>
          </w:p>
        </w:tc>
        <w:tc>
          <w:tcPr>
            <w:tcW w:w="1318" w:type="dxa"/>
            <w:tcBorders>
              <w:left w:val="single" w:sz="4" w:space="0" w:color="auto"/>
              <w:bottom w:val="dashed" w:sz="4" w:space="0" w:color="auto"/>
            </w:tcBorders>
            <w:shd w:val="clear" w:color="auto" w:fill="auto"/>
            <w:vAlign w:val="center"/>
          </w:tcPr>
          <w:p w14:paraId="12F5282C" w14:textId="1CC1E521" w:rsidR="004C3CA9" w:rsidRPr="000E54B7" w:rsidRDefault="004C3CA9" w:rsidP="000E54B7">
            <w:pPr>
              <w:jc w:val="center"/>
              <w:rPr>
                <w:rFonts w:ascii="Arial" w:hAnsi="Arial" w:cs="Arial"/>
                <w:color w:val="000000"/>
                <w:sz w:val="18"/>
                <w:szCs w:val="18"/>
                <w:lang w:val="en-GB" w:eastAsia="zh-CN"/>
              </w:rPr>
            </w:pPr>
          </w:p>
        </w:tc>
        <w:tc>
          <w:tcPr>
            <w:tcW w:w="1319" w:type="dxa"/>
            <w:gridSpan w:val="2"/>
            <w:tcBorders>
              <w:bottom w:val="dashed" w:sz="4" w:space="0" w:color="auto"/>
            </w:tcBorders>
            <w:shd w:val="clear" w:color="auto" w:fill="auto"/>
            <w:vAlign w:val="center"/>
          </w:tcPr>
          <w:p w14:paraId="6212DCE6" w14:textId="51B80C6F" w:rsidR="004C3CA9" w:rsidRPr="000E54B7" w:rsidRDefault="004C3CA9" w:rsidP="000E54B7">
            <w:pPr>
              <w:jc w:val="center"/>
              <w:rPr>
                <w:rFonts w:ascii="Arial" w:hAnsi="Arial" w:cs="Arial"/>
                <w:color w:val="000000"/>
                <w:sz w:val="18"/>
                <w:szCs w:val="18"/>
                <w:lang w:val="en-GB" w:eastAsia="zh-CN"/>
              </w:rPr>
            </w:pPr>
          </w:p>
        </w:tc>
      </w:tr>
      <w:tr w:rsidR="004C3CA9" w:rsidRPr="000E54B7" w14:paraId="2A12A059" w14:textId="77777777" w:rsidTr="007670BA">
        <w:trPr>
          <w:trHeight w:val="1380"/>
        </w:trPr>
        <w:tc>
          <w:tcPr>
            <w:tcW w:w="50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102CD75" w14:textId="3ABC1BA9" w:rsidR="004C3CA9" w:rsidRPr="000E54B7" w:rsidRDefault="004C3CA9" w:rsidP="004C3CA9">
            <w:pPr>
              <w:bidi/>
              <w:rPr>
                <w:rFonts w:ascii="Arial" w:hAnsi="Arial" w:cs="Arial"/>
                <w:color w:val="000000"/>
                <w:sz w:val="18"/>
                <w:szCs w:val="18"/>
                <w:rtl/>
              </w:rPr>
            </w:pPr>
            <w:r>
              <w:rPr>
                <w:rFonts w:ascii="Arial" w:hAnsi="Arial" w:hint="cs"/>
                <w:color w:val="000000"/>
                <w:sz w:val="18"/>
                <w:szCs w:val="18"/>
                <w:rtl/>
              </w:rPr>
              <w:t>بالنسبة للفترة من 1 كانون الثاني/يناير 2022 إلى 31 كانون الأول/ديسمبر 2023، وكذلك للفترة من 1 كانون الثاني/يناير إلى 30 حزيران/يونيو 2024، يمكن استخدام موارد صندوق التراث الثقافي غير المادي للأغراض التالية:</w:t>
            </w:r>
          </w:p>
        </w:tc>
        <w:tc>
          <w:tcPr>
            <w:tcW w:w="1318" w:type="dxa"/>
            <w:tcBorders>
              <w:top w:val="nil"/>
              <w:left w:val="nil"/>
              <w:bottom w:val="nil"/>
              <w:right w:val="single" w:sz="4" w:space="0" w:color="auto"/>
            </w:tcBorders>
            <w:shd w:val="clear" w:color="auto" w:fill="auto"/>
            <w:vAlign w:val="center"/>
          </w:tcPr>
          <w:p w14:paraId="1390F80B" w14:textId="5D7DEF58" w:rsidR="004C3CA9" w:rsidRPr="000E54B7" w:rsidRDefault="004C3CA9" w:rsidP="004C3CA9">
            <w:pPr>
              <w:bidi/>
              <w:jc w:val="center"/>
              <w:rPr>
                <w:rFonts w:ascii="Arial" w:hAnsi="Arial" w:cs="Arial"/>
                <w:color w:val="000000"/>
                <w:sz w:val="18"/>
                <w:szCs w:val="18"/>
                <w:rtl/>
              </w:rPr>
            </w:pPr>
            <w:r>
              <w:rPr>
                <w:rFonts w:ascii="Arial" w:hAnsi="Arial" w:hint="cs"/>
                <w:color w:val="000000"/>
                <w:sz w:val="18"/>
                <w:szCs w:val="18"/>
                <w:rtl/>
              </w:rPr>
              <w:t>النسبة المئوية المطبقة خلال فترة السنتين السابقة 2020-2021</w:t>
            </w:r>
          </w:p>
        </w:tc>
        <w:tc>
          <w:tcPr>
            <w:tcW w:w="1319" w:type="dxa"/>
            <w:tcBorders>
              <w:top w:val="single" w:sz="4" w:space="0" w:color="auto"/>
              <w:left w:val="nil"/>
              <w:bottom w:val="single" w:sz="4" w:space="0" w:color="auto"/>
              <w:right w:val="single" w:sz="4" w:space="0" w:color="auto"/>
            </w:tcBorders>
            <w:shd w:val="clear" w:color="auto" w:fill="auto"/>
            <w:vAlign w:val="center"/>
          </w:tcPr>
          <w:p w14:paraId="3B887F42" w14:textId="4353F1B6" w:rsidR="004C3CA9" w:rsidRPr="000E54B7" w:rsidRDefault="004C3CA9" w:rsidP="004C3CA9">
            <w:pPr>
              <w:bidi/>
              <w:jc w:val="center"/>
              <w:rPr>
                <w:rFonts w:ascii="Arial" w:hAnsi="Arial" w:cs="Arial"/>
                <w:color w:val="000000"/>
                <w:sz w:val="18"/>
                <w:szCs w:val="18"/>
                <w:rtl/>
              </w:rPr>
            </w:pPr>
            <w:bookmarkStart w:id="4" w:name="RANGE!D2"/>
            <w:r>
              <w:rPr>
                <w:rFonts w:ascii="Arial" w:hAnsi="Arial" w:hint="cs"/>
                <w:color w:val="000000"/>
                <w:sz w:val="18"/>
                <w:szCs w:val="18"/>
                <w:rtl/>
              </w:rPr>
              <w:t>النسبة المئوية من إجمالي المبلغ المقترح 2022-2023 [1]</w:t>
            </w:r>
            <w:bookmarkEnd w:id="4"/>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tcPr>
          <w:p w14:paraId="7E86E8D4" w14:textId="586417BC" w:rsidR="004C3CA9" w:rsidRPr="000E54B7" w:rsidRDefault="004C3CA9" w:rsidP="004C3CA9">
            <w:pPr>
              <w:bidi/>
              <w:jc w:val="center"/>
              <w:rPr>
                <w:rFonts w:ascii="Arial" w:hAnsi="Arial" w:cs="Arial"/>
                <w:color w:val="000000"/>
                <w:sz w:val="18"/>
                <w:szCs w:val="18"/>
                <w:rtl/>
              </w:rPr>
            </w:pPr>
            <w:r>
              <w:rPr>
                <w:rFonts w:ascii="Arial" w:hAnsi="Arial" w:hint="cs"/>
                <w:color w:val="000000"/>
                <w:sz w:val="18"/>
                <w:szCs w:val="18"/>
                <w:rtl/>
              </w:rPr>
              <w:t>المبالغ الإرشادية</w:t>
            </w:r>
            <w:r>
              <w:rPr>
                <w:rFonts w:ascii="Arial" w:hAnsi="Arial" w:hint="cs"/>
                <w:color w:val="000000"/>
                <w:sz w:val="18"/>
                <w:szCs w:val="18"/>
                <w:rtl/>
              </w:rPr>
              <w:br/>
              <w:t>2022-2023</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tcPr>
          <w:p w14:paraId="189F15C3" w14:textId="32801CFA" w:rsidR="004C3CA9" w:rsidRPr="000E54B7" w:rsidRDefault="004C3CA9" w:rsidP="004C3CA9">
            <w:pPr>
              <w:bidi/>
              <w:jc w:val="center"/>
              <w:rPr>
                <w:rFonts w:ascii="Arial" w:hAnsi="Arial" w:cs="Arial"/>
                <w:color w:val="000000"/>
                <w:sz w:val="18"/>
                <w:szCs w:val="18"/>
                <w:rtl/>
              </w:rPr>
            </w:pPr>
            <w:r>
              <w:rPr>
                <w:rFonts w:ascii="Arial" w:hAnsi="Arial" w:hint="cs"/>
                <w:color w:val="000000"/>
                <w:sz w:val="18"/>
                <w:szCs w:val="18"/>
                <w:rtl/>
              </w:rPr>
              <w:t>المبالغ الإرشادية</w:t>
            </w:r>
            <w:r>
              <w:rPr>
                <w:rFonts w:ascii="Arial" w:hAnsi="Arial" w:hint="cs"/>
                <w:color w:val="000000"/>
                <w:sz w:val="18"/>
                <w:szCs w:val="18"/>
                <w:rtl/>
              </w:rPr>
              <w:br/>
            </w:r>
            <w:r w:rsidR="006C7C85" w:rsidRPr="00F368F4">
              <w:rPr>
                <w:rFonts w:ascii="Arial" w:hAnsi="Arial"/>
                <w:color w:val="000000"/>
                <w:sz w:val="18"/>
                <w:szCs w:val="18"/>
                <w:rtl/>
              </w:rPr>
              <w:t>كانون الثاني/يناير- حزيران/يونيو</w:t>
            </w:r>
            <w:r w:rsidR="006C7C85">
              <w:rPr>
                <w:rFonts w:ascii="Arial" w:hAnsi="Arial"/>
                <w:color w:val="000000"/>
                <w:sz w:val="18"/>
                <w:szCs w:val="18"/>
              </w:rPr>
              <w:br/>
              <w:t>2024</w:t>
            </w:r>
          </w:p>
        </w:tc>
      </w:tr>
      <w:tr w:rsidR="00CF650F" w:rsidRPr="000E54B7" w14:paraId="3A2D2A45" w14:textId="77777777" w:rsidTr="00CB381E">
        <w:trPr>
          <w:trHeight w:val="1305"/>
        </w:trPr>
        <w:tc>
          <w:tcPr>
            <w:tcW w:w="562" w:type="dxa"/>
            <w:tcBorders>
              <w:top w:val="nil"/>
              <w:left w:val="single" w:sz="4" w:space="0" w:color="auto"/>
              <w:bottom w:val="single" w:sz="4" w:space="0" w:color="auto"/>
              <w:right w:val="nil"/>
            </w:tcBorders>
            <w:shd w:val="clear" w:color="auto" w:fill="auto"/>
            <w:noWrap/>
            <w:vAlign w:val="center"/>
            <w:hideMark/>
          </w:tcPr>
          <w:p w14:paraId="166CD0C0" w14:textId="77777777" w:rsidR="000E54B7" w:rsidRPr="000E54B7" w:rsidRDefault="000E54B7" w:rsidP="007670BA">
            <w:pPr>
              <w:bidi/>
              <w:rPr>
                <w:rFonts w:ascii="Arial" w:hAnsi="Arial" w:cs="Arial"/>
                <w:color w:val="000000"/>
                <w:sz w:val="18"/>
                <w:szCs w:val="18"/>
                <w:rtl/>
              </w:rPr>
            </w:pPr>
            <w:r>
              <w:rPr>
                <w:rFonts w:ascii="Arial" w:hAnsi="Arial" w:hint="cs"/>
                <w:color w:val="000000"/>
                <w:sz w:val="18"/>
                <w:szCs w:val="18"/>
                <w:rtl/>
              </w:rPr>
              <w:t>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7910674" w14:textId="0F17248B" w:rsidR="000E54B7" w:rsidRPr="000E54B7" w:rsidRDefault="00DA52E0" w:rsidP="007670BA">
            <w:pPr>
              <w:bidi/>
              <w:rPr>
                <w:rFonts w:ascii="Arial" w:hAnsi="Arial" w:cs="Arial"/>
                <w:color w:val="000000"/>
                <w:sz w:val="18"/>
                <w:szCs w:val="18"/>
                <w:rtl/>
              </w:rPr>
            </w:pPr>
            <w:r w:rsidRPr="00F368F4">
              <w:rPr>
                <w:rFonts w:ascii="Arial" w:hAnsi="Arial"/>
                <w:color w:val="000000"/>
                <w:sz w:val="18"/>
                <w:szCs w:val="18"/>
                <w:rtl/>
              </w:rPr>
              <w:t>المساعدة الدولية التي تشمل صون العناصر التراثية المدرجة في قائمة التراث الثقافي غير المادي الذي يحتاج إلى صون عاجل، وإعداد قوائم الحصر، ودعم البرامج والمشروعات والأنشطة الأخرى الخاصة بمجال الصون</w:t>
            </w:r>
            <w:r w:rsidRPr="003E244F">
              <w:rPr>
                <w:rFonts w:ascii="Arial" w:hAnsi="Arial"/>
                <w:color w:val="000000"/>
                <w:sz w:val="18"/>
                <w:szCs w:val="18"/>
                <w:rtl/>
              </w:rPr>
              <w:t>،</w:t>
            </w:r>
            <w:r>
              <w:rPr>
                <w:rFonts w:ascii="Arial" w:hAnsi="Arial"/>
                <w:color w:val="000000"/>
                <w:sz w:val="18"/>
                <w:szCs w:val="18"/>
              </w:rPr>
              <w:t xml:space="preserve"> </w:t>
            </w:r>
            <w:r w:rsidRPr="00F368F4">
              <w:rPr>
                <w:rFonts w:ascii="Arial" w:hAnsi="Arial" w:hint="eastAsia"/>
                <w:color w:val="000000"/>
                <w:sz w:val="18"/>
                <w:szCs w:val="18"/>
                <w:rtl/>
              </w:rPr>
              <w:t>بما</w:t>
            </w:r>
            <w:r w:rsidRPr="00F368F4">
              <w:rPr>
                <w:rFonts w:ascii="Arial" w:hAnsi="Arial"/>
                <w:color w:val="000000"/>
                <w:sz w:val="18"/>
                <w:szCs w:val="18"/>
                <w:rtl/>
              </w:rPr>
              <w:t xml:space="preserve"> </w:t>
            </w:r>
            <w:r w:rsidRPr="00F368F4">
              <w:rPr>
                <w:rFonts w:ascii="Arial" w:hAnsi="Arial" w:hint="eastAsia"/>
                <w:color w:val="000000"/>
                <w:sz w:val="18"/>
                <w:szCs w:val="18"/>
                <w:rtl/>
              </w:rPr>
              <w:t>في</w:t>
            </w:r>
            <w:r w:rsidRPr="00F368F4">
              <w:rPr>
                <w:rFonts w:ascii="Arial" w:hAnsi="Arial"/>
                <w:color w:val="000000"/>
                <w:sz w:val="18"/>
                <w:szCs w:val="18"/>
                <w:rtl/>
              </w:rPr>
              <w:t xml:space="preserve"> </w:t>
            </w:r>
            <w:r w:rsidRPr="00F368F4">
              <w:rPr>
                <w:rFonts w:ascii="Arial" w:hAnsi="Arial" w:hint="eastAsia"/>
                <w:color w:val="000000"/>
                <w:sz w:val="18"/>
                <w:szCs w:val="18"/>
                <w:rtl/>
              </w:rPr>
              <w:t>ذلك</w:t>
            </w:r>
            <w:r w:rsidRPr="00F368F4">
              <w:rPr>
                <w:rFonts w:ascii="Arial" w:hAnsi="Arial"/>
                <w:color w:val="000000"/>
                <w:sz w:val="18"/>
                <w:szCs w:val="18"/>
                <w:rtl/>
              </w:rPr>
              <w:t xml:space="preserve"> </w:t>
            </w:r>
            <w:r w:rsidRPr="00F368F4">
              <w:rPr>
                <w:rFonts w:ascii="Arial" w:hAnsi="Arial" w:hint="eastAsia"/>
                <w:color w:val="000000"/>
                <w:sz w:val="18"/>
                <w:szCs w:val="18"/>
                <w:rtl/>
              </w:rPr>
              <w:t>مراقبة</w:t>
            </w:r>
            <w:r w:rsidRPr="00F368F4">
              <w:rPr>
                <w:rFonts w:ascii="Arial" w:hAnsi="Arial"/>
                <w:color w:val="000000"/>
                <w:sz w:val="18"/>
                <w:szCs w:val="18"/>
                <w:rtl/>
              </w:rPr>
              <w:t xml:space="preserve"> </w:t>
            </w:r>
            <w:r w:rsidRPr="00F368F4">
              <w:rPr>
                <w:rFonts w:ascii="Arial" w:hAnsi="Arial" w:hint="eastAsia"/>
                <w:color w:val="000000"/>
                <w:sz w:val="18"/>
                <w:szCs w:val="18"/>
                <w:rtl/>
              </w:rPr>
              <w:t>وتقييم</w:t>
            </w:r>
            <w:r w:rsidRPr="00F368F4">
              <w:rPr>
                <w:rFonts w:ascii="Arial" w:hAnsi="Arial"/>
                <w:color w:val="000000"/>
                <w:sz w:val="18"/>
                <w:szCs w:val="18"/>
                <w:rtl/>
              </w:rPr>
              <w:t xml:space="preserve"> </w:t>
            </w:r>
            <w:r w:rsidRPr="00F368F4">
              <w:rPr>
                <w:rFonts w:ascii="Arial" w:hAnsi="Arial" w:hint="eastAsia"/>
                <w:color w:val="000000"/>
                <w:sz w:val="18"/>
                <w:szCs w:val="18"/>
                <w:rtl/>
              </w:rPr>
              <w:t>الطلبات</w:t>
            </w:r>
            <w:r w:rsidRPr="00F368F4">
              <w:rPr>
                <w:rFonts w:ascii="Arial" w:hAnsi="Arial"/>
                <w:color w:val="000000"/>
                <w:sz w:val="18"/>
                <w:szCs w:val="18"/>
                <w:rtl/>
              </w:rPr>
              <w:t xml:space="preserve"> </w:t>
            </w:r>
            <w:r w:rsidRPr="00F368F4">
              <w:rPr>
                <w:rFonts w:ascii="Arial" w:hAnsi="Arial" w:hint="eastAsia"/>
                <w:color w:val="000000"/>
                <w:sz w:val="18"/>
                <w:szCs w:val="18"/>
                <w:rtl/>
              </w:rPr>
              <w:t>المعتمدة</w:t>
            </w:r>
            <w:r w:rsidRPr="00F368F4">
              <w:rPr>
                <w:rFonts w:ascii="Arial" w:hAnsi="Arial"/>
                <w:color w:val="000000"/>
                <w:sz w:val="18"/>
                <w:szCs w:val="18"/>
                <w:rtl/>
              </w:rPr>
              <w:t>؛</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41B16C87"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51.96%</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4E9D4F75"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50.00%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3FE223C" w14:textId="3C5174B3" w:rsidR="000E54B7" w:rsidRPr="000E54B7" w:rsidRDefault="007A4A57" w:rsidP="000E54B7">
            <w:pPr>
              <w:bidi/>
              <w:jc w:val="center"/>
              <w:rPr>
                <w:rFonts w:ascii="Arial" w:hAnsi="Arial" w:cs="Arial"/>
                <w:color w:val="000000"/>
                <w:sz w:val="18"/>
                <w:szCs w:val="18"/>
                <w:rtl/>
              </w:rPr>
            </w:pPr>
            <w:r>
              <w:rPr>
                <w:rFonts w:ascii="Arial" w:hAnsi="Arial"/>
                <w:color w:val="000000"/>
                <w:sz w:val="18"/>
                <w:szCs w:val="18"/>
              </w:rPr>
              <w:t>327</w:t>
            </w:r>
            <w:r w:rsidRPr="003E244F">
              <w:rPr>
                <w:rFonts w:ascii="Arial" w:hAnsi="Arial"/>
                <w:color w:val="000000"/>
                <w:sz w:val="18"/>
                <w:szCs w:val="18"/>
                <w:rtl/>
              </w:rPr>
              <w:t>،</w:t>
            </w:r>
            <w:r>
              <w:rPr>
                <w:rFonts w:ascii="Arial" w:hAnsi="Arial"/>
                <w:color w:val="000000"/>
                <w:sz w:val="18"/>
                <w:szCs w:val="18"/>
              </w:rPr>
              <w:t>366</w:t>
            </w:r>
            <w:r w:rsidRPr="003E244F">
              <w:rPr>
                <w:rFonts w:ascii="Arial" w:hAnsi="Arial"/>
                <w:color w:val="000000"/>
                <w:sz w:val="18"/>
                <w:szCs w:val="18"/>
                <w:rtl/>
              </w:rPr>
              <w:t>،</w:t>
            </w:r>
            <w:r>
              <w:rPr>
                <w:rFonts w:ascii="Arial" w:hAnsi="Arial"/>
                <w:color w:val="000000"/>
                <w:sz w:val="18"/>
                <w:szCs w:val="18"/>
              </w:rPr>
              <w:t>4</w:t>
            </w:r>
            <w:r w:rsidR="000E54B7">
              <w:rPr>
                <w:rFonts w:ascii="Arial" w:hAnsi="Arial" w:hint="cs"/>
                <w:color w:val="000000"/>
                <w:sz w:val="18"/>
                <w:szCs w:val="18"/>
                <w:rtl/>
              </w:rPr>
              <w:t xml:space="preserve"> </w:t>
            </w:r>
            <w:r w:rsidRPr="00F368F4">
              <w:rPr>
                <w:rFonts w:ascii="Arial" w:hAnsi="Arial"/>
                <w:color w:val="000000"/>
                <w:sz w:val="18"/>
                <w:szCs w:val="18"/>
                <w:rtl/>
              </w:rPr>
              <w:t>دولاراً</w:t>
            </w:r>
            <w:r w:rsidDel="007A4A57">
              <w:rPr>
                <w:rFonts w:ascii="Arial" w:hAnsi="Arial" w:hint="cs"/>
                <w:color w:val="000000"/>
                <w:sz w:val="18"/>
                <w:szCs w:val="18"/>
                <w:rtl/>
              </w:rPr>
              <w:t xml:space="preserve">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47740C65" w14:textId="1DFEA5FC" w:rsidR="000E54B7" w:rsidRPr="000E54B7" w:rsidRDefault="007A4A57" w:rsidP="000E54B7">
            <w:pPr>
              <w:bidi/>
              <w:jc w:val="center"/>
              <w:rPr>
                <w:rFonts w:ascii="Arial" w:hAnsi="Arial" w:cs="Arial"/>
                <w:color w:val="000000"/>
                <w:sz w:val="18"/>
                <w:szCs w:val="18"/>
                <w:rtl/>
              </w:rPr>
            </w:pPr>
            <w:r>
              <w:rPr>
                <w:rFonts w:ascii="Arial" w:hAnsi="Arial"/>
                <w:color w:val="000000"/>
                <w:sz w:val="18"/>
                <w:szCs w:val="18"/>
              </w:rPr>
              <w:t>582</w:t>
            </w:r>
            <w:r w:rsidRPr="003E244F">
              <w:rPr>
                <w:rFonts w:ascii="Arial" w:hAnsi="Arial"/>
                <w:color w:val="000000"/>
                <w:sz w:val="18"/>
                <w:szCs w:val="18"/>
                <w:rtl/>
              </w:rPr>
              <w:t>،</w:t>
            </w:r>
            <w:r>
              <w:rPr>
                <w:rFonts w:ascii="Arial" w:hAnsi="Arial"/>
                <w:color w:val="000000"/>
                <w:sz w:val="18"/>
                <w:szCs w:val="18"/>
              </w:rPr>
              <w:t>091</w:t>
            </w:r>
            <w:r w:rsidRPr="003E244F">
              <w:rPr>
                <w:rFonts w:ascii="Arial" w:hAnsi="Arial"/>
                <w:color w:val="000000"/>
                <w:sz w:val="18"/>
                <w:szCs w:val="18"/>
                <w:rtl/>
              </w:rPr>
              <w:t>،</w:t>
            </w:r>
            <w:r>
              <w:rPr>
                <w:rFonts w:ascii="Arial" w:hAnsi="Arial"/>
                <w:color w:val="000000"/>
                <w:sz w:val="18"/>
                <w:szCs w:val="18"/>
              </w:rPr>
              <w:t>1</w:t>
            </w:r>
            <w:r w:rsidR="000E54B7">
              <w:rPr>
                <w:rFonts w:ascii="Arial" w:hAnsi="Arial" w:hint="cs"/>
                <w:color w:val="000000"/>
                <w:sz w:val="18"/>
                <w:szCs w:val="18"/>
                <w:rtl/>
              </w:rPr>
              <w:t xml:space="preserve"> </w:t>
            </w:r>
            <w:r w:rsidRPr="00F368F4">
              <w:rPr>
                <w:rFonts w:ascii="Arial" w:hAnsi="Arial"/>
                <w:color w:val="000000"/>
                <w:sz w:val="18"/>
                <w:szCs w:val="18"/>
                <w:rtl/>
              </w:rPr>
              <w:t>دولاراً</w:t>
            </w:r>
            <w:r w:rsidDel="007A4A57">
              <w:rPr>
                <w:rFonts w:ascii="Arial" w:hAnsi="Arial" w:hint="cs"/>
                <w:color w:val="000000"/>
                <w:sz w:val="18"/>
                <w:szCs w:val="18"/>
                <w:rtl/>
              </w:rPr>
              <w:t xml:space="preserve"> </w:t>
            </w:r>
          </w:p>
        </w:tc>
      </w:tr>
      <w:tr w:rsidR="00CF650F" w:rsidRPr="000E54B7" w14:paraId="318158B0" w14:textId="77777777" w:rsidTr="00CB381E">
        <w:trPr>
          <w:trHeight w:val="8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E4932" w14:textId="77777777" w:rsidR="000E54B7" w:rsidRPr="000E54B7" w:rsidRDefault="000E54B7" w:rsidP="007670BA">
            <w:pPr>
              <w:bidi/>
              <w:rPr>
                <w:rFonts w:ascii="Arial" w:hAnsi="Arial" w:cs="Arial"/>
                <w:color w:val="000000"/>
                <w:sz w:val="18"/>
                <w:szCs w:val="18"/>
                <w:rtl/>
              </w:rPr>
            </w:pPr>
            <w:r>
              <w:rPr>
                <w:rFonts w:ascii="Arial" w:hAnsi="Arial" w:hint="cs"/>
                <w:color w:val="000000"/>
                <w:sz w:val="18"/>
                <w:szCs w:val="18"/>
                <w:rtl/>
              </w:rPr>
              <w:t>1.1</w:t>
            </w:r>
          </w:p>
        </w:tc>
        <w:tc>
          <w:tcPr>
            <w:tcW w:w="4536" w:type="dxa"/>
            <w:tcBorders>
              <w:top w:val="nil"/>
              <w:left w:val="nil"/>
              <w:bottom w:val="nil"/>
              <w:right w:val="single" w:sz="4" w:space="0" w:color="auto"/>
            </w:tcBorders>
            <w:shd w:val="clear" w:color="auto" w:fill="auto"/>
            <w:vAlign w:val="center"/>
            <w:hideMark/>
          </w:tcPr>
          <w:p w14:paraId="286AD703" w14:textId="2E2CF4D4" w:rsidR="000E54B7" w:rsidRPr="00F368F4" w:rsidRDefault="00DA52E0" w:rsidP="007670BA">
            <w:pPr>
              <w:bidi/>
              <w:rPr>
                <w:rFonts w:ascii="Arial" w:hAnsi="Arial"/>
                <w:color w:val="000000"/>
                <w:sz w:val="18"/>
                <w:szCs w:val="18"/>
                <w:rtl/>
              </w:rPr>
            </w:pPr>
            <w:r w:rsidRPr="00F368F4">
              <w:rPr>
                <w:rFonts w:ascii="Arial" w:hAnsi="Arial"/>
                <w:color w:val="000000"/>
                <w:sz w:val="18"/>
                <w:szCs w:val="18"/>
                <w:rtl/>
              </w:rPr>
              <w:t xml:space="preserve">تعزيز الموارد البشرية لتحسين تنفيذ آليات المساعدة الدولية من خلال إنشاء ثلاث وظائف محددة المدة من خارج الميزانية (واحدة من فئة </w:t>
            </w:r>
            <w:r w:rsidRPr="00F368F4">
              <w:rPr>
                <w:rFonts w:ascii="Arial" w:hAnsi="Arial"/>
                <w:color w:val="000000"/>
                <w:sz w:val="18"/>
                <w:szCs w:val="18"/>
              </w:rPr>
              <w:t>P3</w:t>
            </w:r>
            <w:r w:rsidRPr="00F368F4">
              <w:rPr>
                <w:rFonts w:ascii="Arial" w:hAnsi="Arial"/>
                <w:color w:val="000000"/>
                <w:sz w:val="18"/>
                <w:szCs w:val="18"/>
                <w:rtl/>
              </w:rPr>
              <w:t xml:space="preserve"> وواحدة من فئة </w:t>
            </w:r>
            <w:r w:rsidRPr="00F368F4">
              <w:rPr>
                <w:rFonts w:ascii="Arial" w:hAnsi="Arial"/>
                <w:color w:val="000000"/>
                <w:sz w:val="18"/>
                <w:szCs w:val="18"/>
              </w:rPr>
              <w:t>P2</w:t>
            </w:r>
            <w:r w:rsidRPr="00F368F4">
              <w:rPr>
                <w:rFonts w:ascii="Arial" w:hAnsi="Arial"/>
                <w:color w:val="000000"/>
                <w:sz w:val="18"/>
                <w:szCs w:val="18"/>
                <w:rtl/>
              </w:rPr>
              <w:t xml:space="preserve"> وأخرى من فئة </w:t>
            </w:r>
            <w:r w:rsidRPr="00F368F4">
              <w:rPr>
                <w:rFonts w:ascii="Arial" w:hAnsi="Arial"/>
                <w:color w:val="000000"/>
                <w:sz w:val="18"/>
                <w:szCs w:val="18"/>
              </w:rPr>
              <w:t>G5</w:t>
            </w:r>
            <w:r w:rsidRPr="00F368F4">
              <w:rPr>
                <w:rFonts w:ascii="Arial" w:hAnsi="Arial"/>
                <w:color w:val="000000"/>
                <w:sz w:val="18"/>
                <w:szCs w:val="18"/>
                <w:rtl/>
              </w:rPr>
              <w:t>)؛</w:t>
            </w:r>
          </w:p>
        </w:tc>
        <w:tc>
          <w:tcPr>
            <w:tcW w:w="1318" w:type="dxa"/>
            <w:tcBorders>
              <w:top w:val="nil"/>
              <w:left w:val="nil"/>
              <w:bottom w:val="single" w:sz="4" w:space="0" w:color="auto"/>
              <w:right w:val="single" w:sz="4" w:space="0" w:color="auto"/>
            </w:tcBorders>
            <w:shd w:val="clear" w:color="auto" w:fill="auto"/>
            <w:vAlign w:val="center"/>
            <w:hideMark/>
          </w:tcPr>
          <w:p w14:paraId="25C74B62"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10.79%</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9A3B867"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10.00%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48E64466" w14:textId="17FBB516"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873</w:t>
            </w:r>
            <w:r w:rsidR="007A4A57" w:rsidRPr="003E244F">
              <w:rPr>
                <w:rFonts w:ascii="Arial" w:hAnsi="Arial"/>
                <w:color w:val="000000"/>
                <w:sz w:val="18"/>
                <w:szCs w:val="18"/>
                <w:rtl/>
              </w:rPr>
              <w:t>،</w:t>
            </w:r>
            <w:r>
              <w:rPr>
                <w:rFonts w:ascii="Arial" w:hAnsi="Arial" w:hint="cs"/>
                <w:color w:val="000000"/>
                <w:sz w:val="18"/>
                <w:szCs w:val="18"/>
                <w:rtl/>
              </w:rPr>
              <w:t xml:space="preserve">265 </w:t>
            </w:r>
            <w:r w:rsidR="00551777">
              <w:rPr>
                <w:rFonts w:ascii="Arial" w:hAnsi="Arial"/>
                <w:color w:val="000000"/>
                <w:sz w:val="18"/>
                <w:szCs w:val="18"/>
              </w:rPr>
              <w:br/>
            </w:r>
            <w:r w:rsidR="007A4A57" w:rsidRPr="00F368F4">
              <w:rPr>
                <w:rFonts w:ascii="Arial" w:hAnsi="Arial"/>
                <w:color w:val="000000"/>
                <w:sz w:val="18"/>
                <w:szCs w:val="18"/>
                <w:rtl/>
              </w:rPr>
              <w:t>دولاراً</w:t>
            </w:r>
            <w:r w:rsidR="007A4A57" w:rsidDel="007A4A57">
              <w:rPr>
                <w:rFonts w:ascii="Arial" w:hAnsi="Arial" w:hint="cs"/>
                <w:color w:val="000000"/>
                <w:sz w:val="18"/>
                <w:szCs w:val="18"/>
                <w:rtl/>
              </w:rPr>
              <w:t xml:space="preserve">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44DAD5FF" w14:textId="054F5EA8"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218</w:t>
            </w:r>
            <w:r w:rsidR="007A4A57" w:rsidRPr="003E244F">
              <w:rPr>
                <w:rFonts w:ascii="Arial" w:hAnsi="Arial"/>
                <w:color w:val="000000"/>
                <w:sz w:val="18"/>
                <w:szCs w:val="18"/>
                <w:rtl/>
              </w:rPr>
              <w:t>،</w:t>
            </w:r>
            <w:r>
              <w:rPr>
                <w:rFonts w:ascii="Arial" w:hAnsi="Arial" w:hint="cs"/>
                <w:color w:val="000000"/>
                <w:sz w:val="18"/>
                <w:szCs w:val="18"/>
                <w:rtl/>
              </w:rPr>
              <w:t>316</w:t>
            </w:r>
            <w:r w:rsidR="00551777">
              <w:rPr>
                <w:rFonts w:ascii="Arial" w:hAnsi="Arial"/>
                <w:color w:val="000000"/>
                <w:sz w:val="18"/>
                <w:szCs w:val="18"/>
              </w:rPr>
              <w:br/>
            </w:r>
            <w:r>
              <w:rPr>
                <w:rFonts w:ascii="Arial" w:hAnsi="Arial" w:hint="cs"/>
                <w:color w:val="000000"/>
                <w:sz w:val="18"/>
                <w:szCs w:val="18"/>
                <w:rtl/>
              </w:rPr>
              <w:t xml:space="preserve"> </w:t>
            </w:r>
            <w:r w:rsidR="007A4A57" w:rsidRPr="00F368F4">
              <w:rPr>
                <w:rFonts w:ascii="Arial" w:hAnsi="Arial"/>
                <w:color w:val="000000"/>
                <w:sz w:val="18"/>
                <w:szCs w:val="18"/>
                <w:rtl/>
              </w:rPr>
              <w:t>دولاراً</w:t>
            </w:r>
            <w:r w:rsidR="007A4A57" w:rsidDel="007A4A57">
              <w:rPr>
                <w:rFonts w:ascii="Arial" w:hAnsi="Arial" w:hint="cs"/>
                <w:color w:val="000000"/>
                <w:sz w:val="18"/>
                <w:szCs w:val="18"/>
                <w:rtl/>
              </w:rPr>
              <w:t xml:space="preserve"> </w:t>
            </w:r>
          </w:p>
        </w:tc>
      </w:tr>
      <w:tr w:rsidR="00CF650F" w:rsidRPr="000E54B7" w14:paraId="0420E2BD" w14:textId="77777777" w:rsidTr="00CB381E">
        <w:trPr>
          <w:trHeight w:val="14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DC60FD" w14:textId="77777777" w:rsidR="000E54B7" w:rsidRPr="000E54B7" w:rsidRDefault="000E54B7" w:rsidP="007670BA">
            <w:pPr>
              <w:bidi/>
              <w:rPr>
                <w:rFonts w:ascii="Arial" w:hAnsi="Arial" w:cs="Arial"/>
                <w:color w:val="000000"/>
                <w:sz w:val="18"/>
                <w:szCs w:val="18"/>
                <w:rtl/>
              </w:rPr>
            </w:pPr>
            <w:r>
              <w:rPr>
                <w:rFonts w:ascii="Arial" w:hAnsi="Arial" w:hint="cs"/>
                <w:color w:val="000000"/>
                <w:sz w:val="18"/>
                <w:szCs w:val="18"/>
                <w:rtl/>
              </w:rPr>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98193A3" w14:textId="7BFC24DA" w:rsidR="000E54B7" w:rsidRPr="000E54B7" w:rsidRDefault="00DA52E0" w:rsidP="007670BA">
            <w:pPr>
              <w:bidi/>
              <w:rPr>
                <w:rFonts w:ascii="Arial" w:hAnsi="Arial" w:cs="Arial"/>
                <w:color w:val="000000"/>
                <w:sz w:val="18"/>
                <w:szCs w:val="18"/>
                <w:rtl/>
              </w:rPr>
            </w:pPr>
            <w:r w:rsidRPr="00F368F4">
              <w:rPr>
                <w:rFonts w:ascii="Arial" w:hAnsi="Arial"/>
                <w:color w:val="000000"/>
                <w:sz w:val="18"/>
                <w:szCs w:val="18"/>
                <w:rtl/>
              </w:rPr>
              <w:t>المساعدة التمهيدية لطلبات المساعدة الدولية وفيما يتعلق بملفات الترشيح الخاصة بقائمة الصون العاجل، وكذلك فيما يتعلق بالاقتراحات الخاصة بسجل ممارسات الصون الجيدة</w:t>
            </w:r>
            <w:r w:rsidR="000E54B7">
              <w:rPr>
                <w:rFonts w:ascii="Arial" w:hAnsi="Arial" w:hint="cs"/>
                <w:color w:val="000000"/>
                <w:sz w:val="18"/>
                <w:szCs w:val="18"/>
                <w:rtl/>
              </w:rPr>
              <w:t>، ولنقل العناصر بين قوائم وسجل الاتفاقية، ولتسجيل العناصر على أساس موُسّع أو مُقلّص</w:t>
            </w:r>
            <w:r w:rsidRPr="00F368F4">
              <w:rPr>
                <w:rFonts w:ascii="Arial" w:hAnsi="Arial"/>
                <w:color w:val="000000"/>
                <w:sz w:val="18"/>
                <w:szCs w:val="18"/>
                <w:rtl/>
              </w:rPr>
              <w:t>؛</w:t>
            </w:r>
          </w:p>
        </w:tc>
        <w:tc>
          <w:tcPr>
            <w:tcW w:w="1318" w:type="dxa"/>
            <w:tcBorders>
              <w:top w:val="nil"/>
              <w:left w:val="nil"/>
              <w:bottom w:val="nil"/>
              <w:right w:val="single" w:sz="4" w:space="0" w:color="auto"/>
            </w:tcBorders>
            <w:shd w:val="clear" w:color="auto" w:fill="auto"/>
            <w:vAlign w:val="center"/>
            <w:hideMark/>
          </w:tcPr>
          <w:p w14:paraId="5B09CA3A"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2.00%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19FF022"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2.60%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FCC12C2" w14:textId="1F1FCC8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227</w:t>
            </w:r>
            <w:r w:rsidR="007A4A57" w:rsidRPr="003E244F">
              <w:rPr>
                <w:rFonts w:ascii="Arial" w:hAnsi="Arial"/>
                <w:color w:val="000000"/>
                <w:sz w:val="18"/>
                <w:szCs w:val="18"/>
                <w:rtl/>
              </w:rPr>
              <w:t>،</w:t>
            </w:r>
            <w:r>
              <w:rPr>
                <w:rFonts w:ascii="Arial" w:hAnsi="Arial" w:hint="cs"/>
                <w:color w:val="000000"/>
                <w:sz w:val="18"/>
                <w:szCs w:val="18"/>
                <w:rtl/>
              </w:rPr>
              <w:t xml:space="preserve">049 </w:t>
            </w:r>
            <w:r w:rsidR="00551777">
              <w:rPr>
                <w:rFonts w:ascii="Arial" w:hAnsi="Arial"/>
                <w:color w:val="000000"/>
                <w:sz w:val="18"/>
                <w:szCs w:val="18"/>
              </w:rPr>
              <w:br/>
            </w:r>
            <w:r w:rsidR="007A4A57" w:rsidRPr="00F368F4">
              <w:rPr>
                <w:rFonts w:ascii="Arial" w:hAnsi="Arial"/>
                <w:color w:val="000000"/>
                <w:sz w:val="18"/>
                <w:szCs w:val="18"/>
                <w:rtl/>
              </w:rPr>
              <w:t>دولاراً</w:t>
            </w:r>
            <w:r w:rsidR="007A4A57" w:rsidDel="007A4A57">
              <w:rPr>
                <w:rFonts w:ascii="Arial" w:hAnsi="Arial" w:hint="cs"/>
                <w:color w:val="000000"/>
                <w:sz w:val="18"/>
                <w:szCs w:val="18"/>
                <w:rtl/>
              </w:rPr>
              <w:t xml:space="preserve">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22F85E1E" w14:textId="7B06538F"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56</w:t>
            </w:r>
            <w:r w:rsidR="007A4A57" w:rsidRPr="003E244F">
              <w:rPr>
                <w:rFonts w:ascii="Arial" w:hAnsi="Arial"/>
                <w:color w:val="000000"/>
                <w:sz w:val="18"/>
                <w:szCs w:val="18"/>
                <w:rtl/>
              </w:rPr>
              <w:t>،</w:t>
            </w:r>
            <w:r>
              <w:rPr>
                <w:rFonts w:ascii="Arial" w:hAnsi="Arial" w:hint="cs"/>
                <w:color w:val="000000"/>
                <w:sz w:val="18"/>
                <w:szCs w:val="18"/>
                <w:rtl/>
              </w:rPr>
              <w:t xml:space="preserve">762 </w:t>
            </w:r>
            <w:r w:rsidR="007A4A57">
              <w:rPr>
                <w:rFonts w:ascii="Arial" w:hAnsi="Arial"/>
                <w:color w:val="000000"/>
                <w:sz w:val="18"/>
                <w:szCs w:val="18"/>
              </w:rPr>
              <w:br/>
            </w:r>
            <w:r w:rsidR="007A4A57" w:rsidRPr="00F368F4">
              <w:rPr>
                <w:rFonts w:ascii="Arial" w:hAnsi="Arial"/>
                <w:color w:val="000000"/>
                <w:sz w:val="18"/>
                <w:szCs w:val="18"/>
                <w:rtl/>
              </w:rPr>
              <w:t>دولاراً</w:t>
            </w:r>
            <w:r w:rsidR="007A4A57" w:rsidDel="007A4A57">
              <w:rPr>
                <w:rFonts w:ascii="Arial" w:hAnsi="Arial" w:hint="cs"/>
                <w:color w:val="000000"/>
                <w:sz w:val="18"/>
                <w:szCs w:val="18"/>
                <w:rtl/>
              </w:rPr>
              <w:t xml:space="preserve"> </w:t>
            </w:r>
          </w:p>
        </w:tc>
      </w:tr>
      <w:tr w:rsidR="00CF650F" w:rsidRPr="000E54B7" w14:paraId="36232599" w14:textId="77777777" w:rsidTr="00CB381E">
        <w:trPr>
          <w:trHeight w:val="1920"/>
        </w:trPr>
        <w:tc>
          <w:tcPr>
            <w:tcW w:w="562" w:type="dxa"/>
            <w:tcBorders>
              <w:top w:val="nil"/>
              <w:left w:val="single" w:sz="4" w:space="0" w:color="auto"/>
              <w:bottom w:val="nil"/>
              <w:right w:val="nil"/>
            </w:tcBorders>
            <w:shd w:val="clear" w:color="auto" w:fill="auto"/>
            <w:noWrap/>
            <w:vAlign w:val="center"/>
            <w:hideMark/>
          </w:tcPr>
          <w:p w14:paraId="72DAA4C9" w14:textId="77777777" w:rsidR="000E54B7" w:rsidRPr="000E54B7" w:rsidRDefault="000E54B7" w:rsidP="007670BA">
            <w:pPr>
              <w:bidi/>
              <w:rPr>
                <w:rFonts w:ascii="Arial" w:hAnsi="Arial" w:cs="Arial"/>
                <w:color w:val="000000"/>
                <w:sz w:val="18"/>
                <w:szCs w:val="18"/>
                <w:rtl/>
              </w:rPr>
            </w:pPr>
            <w:r>
              <w:rPr>
                <w:rFonts w:ascii="Arial" w:hAnsi="Arial" w:hint="cs"/>
                <w:color w:val="000000"/>
                <w:sz w:val="18"/>
                <w:szCs w:val="18"/>
                <w:rtl/>
              </w:rPr>
              <w:t>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8F0A1B0" w14:textId="3FD6D0FE" w:rsidR="000E54B7" w:rsidRPr="000E54B7" w:rsidRDefault="00DA52E0" w:rsidP="007670BA">
            <w:pPr>
              <w:bidi/>
              <w:rPr>
                <w:rFonts w:ascii="Arial" w:hAnsi="Arial" w:cs="Arial"/>
                <w:color w:val="000000"/>
                <w:sz w:val="18"/>
                <w:szCs w:val="18"/>
                <w:rtl/>
              </w:rPr>
            </w:pPr>
            <w:r w:rsidRPr="00F368F4">
              <w:rPr>
                <w:rFonts w:ascii="Arial" w:hAnsi="Arial"/>
                <w:color w:val="000000"/>
                <w:sz w:val="18"/>
                <w:szCs w:val="18"/>
                <w:rtl/>
              </w:rPr>
              <w:t xml:space="preserve">وتهدف مهام اللجنة الأخرى، على النحو المبين في المادة 7 من الاتفاقية، إلى تعزيز أهداف الاتفاقية وتشجيع ورصد تنفيذها، ولا سيما عن طريق تعزيز القدرات على </w:t>
            </w:r>
            <w:r w:rsidR="00C137A9" w:rsidRPr="009028B3">
              <w:rPr>
                <w:rFonts w:ascii="Arial" w:hAnsi="Arial"/>
                <w:color w:val="000000"/>
                <w:sz w:val="18"/>
                <w:szCs w:val="18"/>
                <w:rtl/>
              </w:rPr>
              <w:t>صون</w:t>
            </w:r>
            <w:r w:rsidRPr="00F368F4">
              <w:rPr>
                <w:rFonts w:ascii="Arial" w:hAnsi="Arial"/>
                <w:color w:val="000000"/>
                <w:sz w:val="18"/>
                <w:szCs w:val="18"/>
                <w:rtl/>
              </w:rPr>
              <w:t xml:space="preserve"> التراث الثقافي غير المادي بفعالية، والتوعية بأهمية هذا التراث، وتقديم التوجيه بشأن ممارسات الصون الجيدة وتحديث القوائم وسجل ممارسات الصون الجيدة ونشرها؛</w:t>
            </w:r>
          </w:p>
        </w:tc>
        <w:tc>
          <w:tcPr>
            <w:tcW w:w="1318" w:type="dxa"/>
            <w:tcBorders>
              <w:top w:val="single" w:sz="4" w:space="0" w:color="auto"/>
              <w:left w:val="nil"/>
              <w:bottom w:val="nil"/>
              <w:right w:val="single" w:sz="4" w:space="0" w:color="auto"/>
            </w:tcBorders>
            <w:shd w:val="clear" w:color="auto" w:fill="auto"/>
            <w:vAlign w:val="center"/>
            <w:hideMark/>
          </w:tcPr>
          <w:p w14:paraId="5277C1B7"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 xml:space="preserve"> 20.00%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74F6F15"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20.00%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1D655E29" w14:textId="62D994B5" w:rsidR="000E54B7" w:rsidRPr="000E54B7" w:rsidRDefault="007A4A57" w:rsidP="000E54B7">
            <w:pPr>
              <w:bidi/>
              <w:jc w:val="center"/>
              <w:rPr>
                <w:rFonts w:ascii="Arial" w:hAnsi="Arial" w:cs="Arial"/>
                <w:color w:val="000000"/>
                <w:sz w:val="18"/>
                <w:szCs w:val="18"/>
                <w:rtl/>
              </w:rPr>
            </w:pPr>
            <w:r>
              <w:rPr>
                <w:rFonts w:ascii="Arial" w:hAnsi="Arial"/>
                <w:color w:val="000000"/>
                <w:sz w:val="18"/>
                <w:szCs w:val="18"/>
              </w:rPr>
              <w:t>531</w:t>
            </w:r>
            <w:r w:rsidRPr="003E244F">
              <w:rPr>
                <w:rFonts w:ascii="Arial" w:hAnsi="Arial"/>
                <w:color w:val="000000"/>
                <w:sz w:val="18"/>
                <w:szCs w:val="18"/>
                <w:rtl/>
              </w:rPr>
              <w:t>،</w:t>
            </w:r>
            <w:r>
              <w:rPr>
                <w:rFonts w:ascii="Arial" w:hAnsi="Arial"/>
                <w:color w:val="000000"/>
                <w:sz w:val="18"/>
                <w:szCs w:val="18"/>
              </w:rPr>
              <w:t>746</w:t>
            </w:r>
            <w:r w:rsidRPr="003E244F">
              <w:rPr>
                <w:rFonts w:ascii="Arial" w:hAnsi="Arial"/>
                <w:color w:val="000000"/>
                <w:sz w:val="18"/>
                <w:szCs w:val="18"/>
                <w:rtl/>
              </w:rPr>
              <w:t>،</w:t>
            </w:r>
            <w:r>
              <w:rPr>
                <w:rFonts w:ascii="Arial" w:hAnsi="Arial"/>
                <w:color w:val="000000"/>
                <w:sz w:val="18"/>
                <w:szCs w:val="18"/>
              </w:rPr>
              <w:t>1</w:t>
            </w:r>
            <w:r w:rsidR="000E54B7">
              <w:rPr>
                <w:rFonts w:ascii="Arial" w:hAnsi="Arial" w:hint="cs"/>
                <w:color w:val="000000"/>
                <w:sz w:val="18"/>
                <w:szCs w:val="18"/>
                <w:rtl/>
              </w:rPr>
              <w:t xml:space="preserve"> </w:t>
            </w:r>
            <w:r w:rsidRPr="00F368F4">
              <w:rPr>
                <w:rFonts w:ascii="Arial" w:hAnsi="Arial"/>
                <w:color w:val="000000"/>
                <w:sz w:val="18"/>
                <w:szCs w:val="18"/>
                <w:rtl/>
              </w:rPr>
              <w:t>دولاراً</w:t>
            </w:r>
            <w:r w:rsidDel="007A4A57">
              <w:rPr>
                <w:rFonts w:ascii="Arial" w:hAnsi="Arial" w:hint="cs"/>
                <w:color w:val="000000"/>
                <w:sz w:val="18"/>
                <w:szCs w:val="18"/>
                <w:rtl/>
              </w:rPr>
              <w:t xml:space="preserve">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54DA0317" w14:textId="17360E2A"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436</w:t>
            </w:r>
            <w:r w:rsidR="007A4A57" w:rsidRPr="003E244F">
              <w:rPr>
                <w:rFonts w:ascii="Arial" w:hAnsi="Arial"/>
                <w:color w:val="000000"/>
                <w:sz w:val="18"/>
                <w:szCs w:val="18"/>
                <w:rtl/>
              </w:rPr>
              <w:t>،</w:t>
            </w:r>
            <w:r>
              <w:rPr>
                <w:rFonts w:ascii="Arial" w:hAnsi="Arial" w:hint="cs"/>
                <w:color w:val="000000"/>
                <w:sz w:val="18"/>
                <w:szCs w:val="18"/>
                <w:rtl/>
              </w:rPr>
              <w:t xml:space="preserve">633 </w:t>
            </w:r>
            <w:r w:rsidR="00551777">
              <w:rPr>
                <w:rFonts w:ascii="Arial" w:hAnsi="Arial"/>
                <w:color w:val="000000"/>
                <w:sz w:val="18"/>
                <w:szCs w:val="18"/>
              </w:rPr>
              <w:br/>
            </w:r>
            <w:r w:rsidR="007A4A57" w:rsidRPr="00F368F4">
              <w:rPr>
                <w:rFonts w:ascii="Arial" w:hAnsi="Arial"/>
                <w:color w:val="000000"/>
                <w:sz w:val="18"/>
                <w:szCs w:val="18"/>
                <w:rtl/>
              </w:rPr>
              <w:t>دولاراً</w:t>
            </w:r>
            <w:r w:rsidR="007A4A57" w:rsidDel="007A4A57">
              <w:rPr>
                <w:rFonts w:ascii="Arial" w:hAnsi="Arial" w:hint="cs"/>
                <w:color w:val="000000"/>
                <w:sz w:val="18"/>
                <w:szCs w:val="18"/>
                <w:rtl/>
              </w:rPr>
              <w:t xml:space="preserve"> </w:t>
            </w:r>
          </w:p>
        </w:tc>
      </w:tr>
      <w:tr w:rsidR="00CF650F" w:rsidRPr="000E54B7" w14:paraId="719DA454" w14:textId="77777777" w:rsidTr="00CB381E">
        <w:trPr>
          <w:trHeight w:val="465"/>
        </w:trPr>
        <w:tc>
          <w:tcPr>
            <w:tcW w:w="562" w:type="dxa"/>
            <w:tcBorders>
              <w:top w:val="single" w:sz="4" w:space="0" w:color="auto"/>
              <w:left w:val="single" w:sz="4" w:space="0" w:color="auto"/>
              <w:bottom w:val="nil"/>
              <w:right w:val="single" w:sz="4" w:space="0" w:color="auto"/>
            </w:tcBorders>
            <w:shd w:val="clear" w:color="000000" w:fill="E7E6E6"/>
            <w:noWrap/>
            <w:vAlign w:val="center"/>
            <w:hideMark/>
          </w:tcPr>
          <w:p w14:paraId="2CFE7794" w14:textId="77777777" w:rsidR="000E54B7" w:rsidRPr="000E54B7" w:rsidRDefault="000E54B7" w:rsidP="007670BA">
            <w:pPr>
              <w:bidi/>
              <w:rPr>
                <w:rFonts w:ascii="Arial" w:hAnsi="Arial" w:cs="Arial"/>
                <w:i/>
                <w:iCs/>
                <w:color w:val="000000"/>
                <w:sz w:val="18"/>
                <w:szCs w:val="18"/>
                <w:rtl/>
              </w:rPr>
            </w:pPr>
            <w:r>
              <w:rPr>
                <w:rFonts w:ascii="Arial" w:hAnsi="Arial" w:hint="cs"/>
                <w:i/>
                <w:iCs/>
                <w:color w:val="000000"/>
                <w:sz w:val="18"/>
                <w:szCs w:val="18"/>
                <w:rtl/>
              </w:rPr>
              <w:t> </w:t>
            </w:r>
          </w:p>
        </w:tc>
        <w:tc>
          <w:tcPr>
            <w:tcW w:w="4536" w:type="dxa"/>
            <w:tcBorders>
              <w:top w:val="nil"/>
              <w:left w:val="nil"/>
              <w:bottom w:val="nil"/>
              <w:right w:val="nil"/>
            </w:tcBorders>
            <w:shd w:val="clear" w:color="000000" w:fill="E7E6E6"/>
            <w:vAlign w:val="center"/>
            <w:hideMark/>
          </w:tcPr>
          <w:p w14:paraId="393E283B" w14:textId="56A700AD" w:rsidR="000E54B7" w:rsidRPr="000E54B7" w:rsidRDefault="00DA52E0" w:rsidP="007670BA">
            <w:pPr>
              <w:bidi/>
              <w:rPr>
                <w:rFonts w:ascii="Arial" w:hAnsi="Arial" w:cs="Arial"/>
                <w:b/>
                <w:bCs/>
                <w:i/>
                <w:iCs/>
                <w:color w:val="000000"/>
                <w:sz w:val="16"/>
                <w:szCs w:val="16"/>
                <w:rtl/>
              </w:rPr>
            </w:pPr>
            <w:r w:rsidRPr="00F368F4">
              <w:rPr>
                <w:rFonts w:ascii="Arial" w:hAnsi="Arial"/>
                <w:b/>
                <w:bCs/>
                <w:i/>
                <w:iCs/>
                <w:color w:val="000000"/>
                <w:sz w:val="16"/>
                <w:szCs w:val="16"/>
                <w:rtl/>
              </w:rPr>
              <w:t>النتيجة المنشودة 1</w:t>
            </w:r>
            <w:r w:rsidRPr="00F368F4">
              <w:rPr>
                <w:rFonts w:ascii="Arial" w:hAnsi="Arial"/>
                <w:i/>
                <w:iCs/>
                <w:color w:val="000000"/>
                <w:sz w:val="16"/>
                <w:szCs w:val="16"/>
                <w:rtl/>
              </w:rPr>
              <w:t>: تيسير الحوكمة السليمة لاتفاقية عام 2003 من خلال تعزيز خدمات الرصد وإدارة المعارف</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09A3381" w14:textId="2ECD3E1E"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5.40%</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6B6AE0F" w14:textId="77777777"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5.00%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39405941" w14:textId="0D41A54E" w:rsidR="000E54B7" w:rsidRPr="000E54B7" w:rsidRDefault="00551777" w:rsidP="000E54B7">
            <w:pPr>
              <w:bidi/>
              <w:jc w:val="center"/>
              <w:rPr>
                <w:rFonts w:ascii="Arial" w:hAnsi="Arial" w:cs="Arial"/>
                <w:color w:val="000000"/>
                <w:sz w:val="16"/>
                <w:szCs w:val="16"/>
                <w:rtl/>
              </w:rPr>
            </w:pPr>
            <w:r>
              <w:rPr>
                <w:rFonts w:ascii="Arial" w:hAnsi="Arial"/>
                <w:color w:val="000000"/>
                <w:sz w:val="16"/>
                <w:szCs w:val="16"/>
              </w:rPr>
              <w:t>633</w:t>
            </w:r>
            <w:r w:rsidRPr="00F368F4">
              <w:rPr>
                <w:rFonts w:ascii="Arial" w:hAnsi="Arial"/>
                <w:color w:val="000000"/>
                <w:sz w:val="16"/>
                <w:szCs w:val="16"/>
                <w:rtl/>
              </w:rPr>
              <w:t>،</w:t>
            </w:r>
            <w:r w:rsidRPr="00F368F4">
              <w:rPr>
                <w:rFonts w:ascii="Arial" w:hAnsi="Arial"/>
                <w:color w:val="000000"/>
                <w:sz w:val="16"/>
                <w:szCs w:val="16"/>
              </w:rPr>
              <w:t>436</w:t>
            </w:r>
            <w:r w:rsidR="000E54B7" w:rsidRPr="00F368F4">
              <w:rPr>
                <w:rFonts w:ascii="Arial" w:hAnsi="Arial"/>
                <w:color w:val="000000"/>
                <w:sz w:val="18"/>
                <w:szCs w:val="18"/>
                <w:rtl/>
              </w:rPr>
              <w:t xml:space="preserve"> </w:t>
            </w:r>
            <w:r>
              <w:rPr>
                <w:rFonts w:ascii="Arial" w:hAnsi="Arial"/>
                <w:color w:val="000000"/>
                <w:sz w:val="18"/>
                <w:szCs w:val="18"/>
              </w:rPr>
              <w:br/>
            </w:r>
            <w:r w:rsidRPr="00F368F4">
              <w:rPr>
                <w:rFonts w:ascii="Arial" w:hAnsi="Arial"/>
                <w:color w:val="000000"/>
                <w:sz w:val="18"/>
                <w:szCs w:val="18"/>
                <w:rtl/>
              </w:rPr>
              <w:t>دولاراً</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74ACEA5A" w14:textId="0A71D41F" w:rsidR="000E54B7" w:rsidRPr="000E54B7" w:rsidRDefault="000E54B7" w:rsidP="000E54B7">
            <w:pPr>
              <w:bidi/>
              <w:jc w:val="center"/>
              <w:rPr>
                <w:rFonts w:ascii="Arial" w:hAnsi="Arial" w:cs="Arial"/>
                <w:color w:val="000000"/>
                <w:sz w:val="16"/>
                <w:szCs w:val="16"/>
                <w:rtl/>
              </w:rPr>
            </w:pPr>
            <w:r>
              <w:rPr>
                <w:rFonts w:ascii="Arial" w:hAnsi="Arial" w:hint="cs"/>
                <w:color w:val="000000"/>
                <w:sz w:val="16"/>
                <w:szCs w:val="16"/>
                <w:rtl/>
              </w:rPr>
              <w:t>109</w:t>
            </w:r>
            <w:r w:rsidR="00551777" w:rsidRPr="003E244F">
              <w:rPr>
                <w:rFonts w:ascii="Arial" w:hAnsi="Arial"/>
                <w:color w:val="000000"/>
                <w:sz w:val="16"/>
                <w:szCs w:val="16"/>
                <w:rtl/>
              </w:rPr>
              <w:t>،</w:t>
            </w:r>
            <w:r>
              <w:rPr>
                <w:rFonts w:ascii="Arial" w:hAnsi="Arial" w:hint="cs"/>
                <w:color w:val="000000"/>
                <w:sz w:val="16"/>
                <w:szCs w:val="16"/>
                <w:rtl/>
              </w:rPr>
              <w:t xml:space="preserve">158 </w:t>
            </w:r>
            <w:r w:rsidR="00551777">
              <w:rPr>
                <w:rFonts w:ascii="Arial" w:hAnsi="Arial"/>
                <w:color w:val="000000"/>
                <w:sz w:val="16"/>
                <w:szCs w:val="16"/>
              </w:rPr>
              <w:br/>
            </w:r>
            <w:r w:rsidR="00551777" w:rsidRPr="003E244F">
              <w:rPr>
                <w:rFonts w:ascii="Arial" w:hAnsi="Arial"/>
                <w:color w:val="000000"/>
                <w:sz w:val="18"/>
                <w:szCs w:val="18"/>
                <w:rtl/>
              </w:rPr>
              <w:t>دولاراً</w:t>
            </w:r>
          </w:p>
        </w:tc>
      </w:tr>
      <w:tr w:rsidR="00CF650F" w:rsidRPr="000E54B7" w14:paraId="158F51B8" w14:textId="77777777" w:rsidTr="00CB381E">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3B04432A" w14:textId="77777777" w:rsidR="000E54B7" w:rsidRPr="000E54B7" w:rsidRDefault="000E54B7" w:rsidP="007670BA">
            <w:pPr>
              <w:bidi/>
              <w:rPr>
                <w:rFonts w:ascii="Arial" w:hAnsi="Arial" w:cs="Arial"/>
                <w:i/>
                <w:iCs/>
                <w:color w:val="000000"/>
                <w:sz w:val="18"/>
                <w:szCs w:val="18"/>
                <w:rtl/>
              </w:rPr>
            </w:pPr>
            <w:r>
              <w:rPr>
                <w:rFonts w:ascii="Arial" w:hAnsi="Arial" w:hint="cs"/>
                <w:i/>
                <w:iCs/>
                <w:color w:val="000000"/>
                <w:sz w:val="18"/>
                <w:szCs w:val="18"/>
                <w:rtl/>
              </w:rPr>
              <w:t> </w:t>
            </w:r>
          </w:p>
        </w:tc>
        <w:tc>
          <w:tcPr>
            <w:tcW w:w="4536" w:type="dxa"/>
            <w:tcBorders>
              <w:top w:val="nil"/>
              <w:left w:val="nil"/>
              <w:bottom w:val="nil"/>
              <w:right w:val="nil"/>
            </w:tcBorders>
            <w:shd w:val="clear" w:color="000000" w:fill="E7E6E6"/>
            <w:vAlign w:val="center"/>
            <w:hideMark/>
          </w:tcPr>
          <w:p w14:paraId="2D9173EE" w14:textId="77777777" w:rsidR="000E54B7" w:rsidRPr="000E54B7" w:rsidRDefault="000E54B7" w:rsidP="000E54B7">
            <w:pPr>
              <w:bidi/>
              <w:ind w:firstLineChars="100" w:firstLine="161"/>
              <w:rPr>
                <w:rFonts w:ascii="Arial" w:hAnsi="Arial" w:cs="Arial"/>
                <w:b/>
                <w:bCs/>
                <w:i/>
                <w:iCs/>
                <w:color w:val="000000"/>
                <w:sz w:val="16"/>
                <w:szCs w:val="16"/>
                <w:rtl/>
              </w:rPr>
            </w:pPr>
            <w:r>
              <w:rPr>
                <w:rFonts w:ascii="Arial" w:hAnsi="Arial" w:hint="cs"/>
                <w:b/>
                <w:bCs/>
                <w:i/>
                <w:iCs/>
                <w:color w:val="000000"/>
                <w:sz w:val="16"/>
                <w:szCs w:val="16"/>
                <w:rtl/>
              </w:rPr>
              <w:t> </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0194ADA" w14:textId="4BE35026"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 xml:space="preserve">(27% من </w:t>
            </w:r>
            <w:r w:rsidR="00DC5132" w:rsidRPr="00F368F4">
              <w:rPr>
                <w:rFonts w:ascii="Arial" w:hAnsi="Arial"/>
                <w:i/>
                <w:iCs/>
                <w:color w:val="000000"/>
                <w:sz w:val="16"/>
                <w:szCs w:val="16"/>
                <w:rtl/>
              </w:rPr>
              <w:t>البند</w:t>
            </w:r>
            <w:r>
              <w:rPr>
                <w:rFonts w:ascii="Arial" w:hAnsi="Arial" w:hint="cs"/>
                <w:i/>
                <w:iCs/>
                <w:color w:val="000000"/>
                <w:sz w:val="16"/>
                <w:szCs w:val="16"/>
                <w:rtl/>
              </w:rPr>
              <w:t xml:space="preserve"> 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25595B6C" w14:textId="6A86A60E"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(25% من</w:t>
            </w:r>
            <w:r w:rsidR="00DC5132">
              <w:rPr>
                <w:rFonts w:ascii="Arial" w:hAnsi="Arial" w:hint="cs"/>
                <w:i/>
                <w:iCs/>
                <w:color w:val="000000"/>
                <w:sz w:val="16"/>
                <w:szCs w:val="16"/>
                <w:rtl/>
              </w:rPr>
              <w:t xml:space="preserve"> </w:t>
            </w:r>
            <w:r w:rsidR="00DC5132" w:rsidRPr="003E244F">
              <w:rPr>
                <w:rFonts w:ascii="Arial" w:hAnsi="Arial"/>
                <w:i/>
                <w:iCs/>
                <w:color w:val="000000"/>
                <w:sz w:val="16"/>
                <w:szCs w:val="16"/>
                <w:rtl/>
              </w:rPr>
              <w:t>البند</w:t>
            </w:r>
            <w:r w:rsidR="00DC5132">
              <w:rPr>
                <w:rFonts w:ascii="Arial" w:hAnsi="Arial" w:hint="cs"/>
                <w:i/>
                <w:iCs/>
                <w:color w:val="000000"/>
                <w:sz w:val="16"/>
                <w:szCs w:val="16"/>
                <w:rtl/>
              </w:rPr>
              <w:t xml:space="preserve"> </w:t>
            </w:r>
            <w:r>
              <w:rPr>
                <w:rFonts w:ascii="Arial" w:hAnsi="Arial" w:hint="cs"/>
                <w:i/>
                <w:iCs/>
                <w:color w:val="000000"/>
                <w:sz w:val="16"/>
                <w:szCs w:val="16"/>
                <w:rtl/>
              </w:rPr>
              <w:t>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701509FC" w14:textId="77777777" w:rsidR="000E54B7" w:rsidRPr="000E54B7" w:rsidRDefault="000E54B7" w:rsidP="000E54B7">
            <w:pPr>
              <w:rPr>
                <w:rFonts w:ascii="Arial" w:hAnsi="Arial" w:cs="Arial"/>
                <w:color w:val="000000"/>
                <w:sz w:val="16"/>
                <w:szCs w:val="16"/>
                <w:lang w:val="en-GB"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722CFAE2" w14:textId="77777777" w:rsidR="000E54B7" w:rsidRPr="000E54B7" w:rsidRDefault="000E54B7" w:rsidP="000E54B7">
            <w:pPr>
              <w:rPr>
                <w:rFonts w:ascii="Arial" w:hAnsi="Arial" w:cs="Arial"/>
                <w:color w:val="000000"/>
                <w:sz w:val="16"/>
                <w:szCs w:val="16"/>
                <w:lang w:val="en-GB" w:eastAsia="zh-CN"/>
              </w:rPr>
            </w:pPr>
          </w:p>
        </w:tc>
      </w:tr>
      <w:tr w:rsidR="00CF650F" w:rsidRPr="000E54B7" w14:paraId="570897CA" w14:textId="77777777" w:rsidTr="00CB381E">
        <w:trPr>
          <w:trHeight w:val="465"/>
        </w:trPr>
        <w:tc>
          <w:tcPr>
            <w:tcW w:w="562" w:type="dxa"/>
            <w:tcBorders>
              <w:top w:val="single" w:sz="4" w:space="0" w:color="auto"/>
              <w:left w:val="single" w:sz="4" w:space="0" w:color="auto"/>
              <w:bottom w:val="nil"/>
              <w:right w:val="single" w:sz="4" w:space="0" w:color="auto"/>
            </w:tcBorders>
            <w:shd w:val="clear" w:color="000000" w:fill="E7E6E6"/>
            <w:noWrap/>
            <w:vAlign w:val="center"/>
            <w:hideMark/>
          </w:tcPr>
          <w:p w14:paraId="510965AB" w14:textId="77777777" w:rsidR="000E54B7" w:rsidRPr="000E54B7" w:rsidRDefault="000E54B7" w:rsidP="007670BA">
            <w:pPr>
              <w:bidi/>
              <w:rPr>
                <w:rFonts w:ascii="Arial" w:hAnsi="Arial" w:cs="Arial"/>
                <w:i/>
                <w:iCs/>
                <w:color w:val="000000"/>
                <w:sz w:val="18"/>
                <w:szCs w:val="18"/>
                <w:rtl/>
              </w:rPr>
            </w:pPr>
            <w:r>
              <w:rPr>
                <w:rFonts w:ascii="Arial" w:hAnsi="Arial" w:hint="cs"/>
                <w:i/>
                <w:iCs/>
                <w:color w:val="000000"/>
                <w:sz w:val="18"/>
                <w:szCs w:val="18"/>
                <w:rtl/>
              </w:rPr>
              <w:t> </w:t>
            </w:r>
          </w:p>
        </w:tc>
        <w:tc>
          <w:tcPr>
            <w:tcW w:w="4536" w:type="dxa"/>
            <w:tcBorders>
              <w:top w:val="single" w:sz="4" w:space="0" w:color="auto"/>
              <w:left w:val="nil"/>
              <w:bottom w:val="nil"/>
              <w:right w:val="single" w:sz="4" w:space="0" w:color="auto"/>
            </w:tcBorders>
            <w:shd w:val="clear" w:color="000000" w:fill="E7E6E6"/>
            <w:vAlign w:val="center"/>
            <w:hideMark/>
          </w:tcPr>
          <w:p w14:paraId="708E257D" w14:textId="13C4113B" w:rsidR="000E54B7" w:rsidRPr="000E54B7" w:rsidRDefault="00120029" w:rsidP="007670BA">
            <w:pPr>
              <w:bidi/>
              <w:rPr>
                <w:rFonts w:ascii="Arial" w:hAnsi="Arial" w:cs="Arial"/>
                <w:b/>
                <w:bCs/>
                <w:i/>
                <w:iCs/>
                <w:color w:val="000000"/>
                <w:sz w:val="16"/>
                <w:szCs w:val="16"/>
                <w:rtl/>
              </w:rPr>
            </w:pPr>
            <w:r w:rsidRPr="00F368F4">
              <w:rPr>
                <w:rFonts w:ascii="Arial" w:hAnsi="Arial"/>
                <w:b/>
                <w:bCs/>
                <w:i/>
                <w:iCs/>
                <w:color w:val="000000"/>
                <w:sz w:val="16"/>
                <w:szCs w:val="16"/>
                <w:rtl/>
              </w:rPr>
              <w:t>النتيجة المنشودة 2</w:t>
            </w:r>
            <w:r w:rsidRPr="00F368F4">
              <w:rPr>
                <w:rFonts w:ascii="Arial" w:hAnsi="Arial"/>
                <w:i/>
                <w:iCs/>
                <w:color w:val="000000"/>
                <w:sz w:val="16"/>
                <w:szCs w:val="16"/>
                <w:rtl/>
              </w:rPr>
              <w:t>: تشجيع تنفيذ الاتفاقية في الدول الأعضاء من خلال برنامج معزّز لبناء القدرات</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18411A7C" w14:textId="12D4C976"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6.60%</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14A1B415" w14:textId="77777777"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6.60%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1A86437A" w14:textId="194DB3B3" w:rsidR="000E54B7" w:rsidRPr="000E54B7" w:rsidRDefault="000E54B7" w:rsidP="000E54B7">
            <w:pPr>
              <w:bidi/>
              <w:jc w:val="center"/>
              <w:rPr>
                <w:rFonts w:ascii="Arial" w:hAnsi="Arial" w:cs="Arial"/>
                <w:color w:val="000000"/>
                <w:sz w:val="16"/>
                <w:szCs w:val="16"/>
                <w:rtl/>
              </w:rPr>
            </w:pPr>
            <w:r>
              <w:rPr>
                <w:rFonts w:ascii="Arial" w:hAnsi="Arial" w:hint="cs"/>
                <w:color w:val="000000"/>
                <w:sz w:val="16"/>
                <w:szCs w:val="16"/>
                <w:rtl/>
              </w:rPr>
              <w:t>576</w:t>
            </w:r>
            <w:r w:rsidR="00551777" w:rsidRPr="003E244F">
              <w:rPr>
                <w:rFonts w:ascii="Arial" w:hAnsi="Arial"/>
                <w:color w:val="000000"/>
                <w:sz w:val="16"/>
                <w:szCs w:val="16"/>
                <w:rtl/>
              </w:rPr>
              <w:t>،</w:t>
            </w:r>
            <w:r>
              <w:rPr>
                <w:rFonts w:ascii="Arial" w:hAnsi="Arial" w:hint="cs"/>
                <w:color w:val="000000"/>
                <w:sz w:val="16"/>
                <w:szCs w:val="16"/>
                <w:rtl/>
              </w:rPr>
              <w:t xml:space="preserve">355 </w:t>
            </w:r>
            <w:r w:rsidR="00551777">
              <w:rPr>
                <w:rFonts w:ascii="Arial" w:hAnsi="Arial"/>
                <w:color w:val="000000"/>
                <w:sz w:val="16"/>
                <w:szCs w:val="16"/>
              </w:rPr>
              <w:br/>
            </w:r>
            <w:r w:rsidR="00551777" w:rsidRPr="003E244F">
              <w:rPr>
                <w:rFonts w:ascii="Arial" w:hAnsi="Arial"/>
                <w:color w:val="000000"/>
                <w:sz w:val="18"/>
                <w:szCs w:val="18"/>
                <w:rtl/>
              </w:rPr>
              <w:t>دولاراً</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2BD75B7D" w14:textId="1E6BA0D5" w:rsidR="000E54B7" w:rsidRPr="000E54B7" w:rsidRDefault="000E54B7" w:rsidP="000E54B7">
            <w:pPr>
              <w:bidi/>
              <w:jc w:val="center"/>
              <w:rPr>
                <w:rFonts w:ascii="Arial" w:hAnsi="Arial" w:cs="Arial"/>
                <w:color w:val="000000"/>
                <w:sz w:val="16"/>
                <w:szCs w:val="16"/>
                <w:rtl/>
              </w:rPr>
            </w:pPr>
            <w:r>
              <w:rPr>
                <w:rFonts w:ascii="Arial" w:hAnsi="Arial" w:hint="cs"/>
                <w:color w:val="000000"/>
                <w:sz w:val="16"/>
                <w:szCs w:val="16"/>
                <w:rtl/>
              </w:rPr>
              <w:t>144</w:t>
            </w:r>
            <w:r w:rsidR="00551777" w:rsidRPr="003E244F">
              <w:rPr>
                <w:rFonts w:ascii="Arial" w:hAnsi="Arial"/>
                <w:color w:val="000000"/>
                <w:sz w:val="16"/>
                <w:szCs w:val="16"/>
                <w:rtl/>
              </w:rPr>
              <w:t>،</w:t>
            </w:r>
            <w:r>
              <w:rPr>
                <w:rFonts w:ascii="Arial" w:hAnsi="Arial" w:hint="cs"/>
                <w:color w:val="000000"/>
                <w:sz w:val="16"/>
                <w:szCs w:val="16"/>
                <w:rtl/>
              </w:rPr>
              <w:t xml:space="preserve">089 </w:t>
            </w:r>
            <w:r w:rsidR="00551777">
              <w:rPr>
                <w:rFonts w:ascii="Arial" w:hAnsi="Arial"/>
                <w:color w:val="000000"/>
                <w:sz w:val="16"/>
                <w:szCs w:val="16"/>
              </w:rPr>
              <w:br/>
            </w:r>
            <w:r w:rsidR="00551777" w:rsidRPr="003E244F">
              <w:rPr>
                <w:rFonts w:ascii="Arial" w:hAnsi="Arial"/>
                <w:color w:val="000000"/>
                <w:sz w:val="18"/>
                <w:szCs w:val="18"/>
                <w:rtl/>
              </w:rPr>
              <w:t>دولاراً</w:t>
            </w:r>
          </w:p>
        </w:tc>
      </w:tr>
      <w:tr w:rsidR="00CF650F" w:rsidRPr="000E54B7" w14:paraId="7FBBF5E1" w14:textId="77777777" w:rsidTr="00417BA0">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7421265C" w14:textId="77777777" w:rsidR="000E54B7" w:rsidRPr="000E54B7" w:rsidRDefault="000E54B7" w:rsidP="007670BA">
            <w:pPr>
              <w:bidi/>
              <w:rPr>
                <w:rFonts w:ascii="Arial" w:hAnsi="Arial" w:cs="Arial"/>
                <w:i/>
                <w:iCs/>
                <w:color w:val="000000"/>
                <w:sz w:val="18"/>
                <w:szCs w:val="18"/>
                <w:rtl/>
              </w:rPr>
            </w:pPr>
            <w:r>
              <w:rPr>
                <w:rFonts w:ascii="Arial" w:hAnsi="Arial" w:hint="cs"/>
                <w:i/>
                <w:iCs/>
                <w:color w:val="000000"/>
                <w:sz w:val="18"/>
                <w:szCs w:val="18"/>
                <w:rtl/>
              </w:rPr>
              <w:t> </w:t>
            </w:r>
          </w:p>
        </w:tc>
        <w:tc>
          <w:tcPr>
            <w:tcW w:w="4536" w:type="dxa"/>
            <w:tcBorders>
              <w:top w:val="nil"/>
              <w:left w:val="nil"/>
              <w:bottom w:val="single" w:sz="4" w:space="0" w:color="auto"/>
              <w:right w:val="single" w:sz="4" w:space="0" w:color="auto"/>
            </w:tcBorders>
            <w:shd w:val="clear" w:color="000000" w:fill="E7E6E6"/>
            <w:vAlign w:val="center"/>
            <w:hideMark/>
          </w:tcPr>
          <w:p w14:paraId="36C9912E" w14:textId="77777777" w:rsidR="000E54B7" w:rsidRPr="000E54B7" w:rsidRDefault="000E54B7" w:rsidP="000E54B7">
            <w:pPr>
              <w:bidi/>
              <w:ind w:firstLineChars="100" w:firstLine="161"/>
              <w:rPr>
                <w:rFonts w:ascii="Arial" w:hAnsi="Arial" w:cs="Arial"/>
                <w:b/>
                <w:bCs/>
                <w:i/>
                <w:iCs/>
                <w:color w:val="000000"/>
                <w:sz w:val="16"/>
                <w:szCs w:val="16"/>
                <w:rtl/>
              </w:rPr>
            </w:pPr>
            <w:r>
              <w:rPr>
                <w:rFonts w:ascii="Arial" w:hAnsi="Arial" w:hint="cs"/>
                <w:b/>
                <w:bCs/>
                <w:i/>
                <w:iCs/>
                <w:color w:val="000000"/>
                <w:sz w:val="16"/>
                <w:szCs w:val="16"/>
                <w:rtl/>
              </w:rPr>
              <w:t> </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6DD371FE" w14:textId="2205C141"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(33% من</w:t>
            </w:r>
            <w:r w:rsidR="00DC5132">
              <w:rPr>
                <w:rFonts w:ascii="Arial" w:hAnsi="Arial" w:hint="cs"/>
                <w:i/>
                <w:iCs/>
                <w:color w:val="000000"/>
                <w:sz w:val="16"/>
                <w:szCs w:val="16"/>
                <w:rtl/>
              </w:rPr>
              <w:t xml:space="preserve"> </w:t>
            </w:r>
            <w:r w:rsidR="00DC5132" w:rsidRPr="003E244F">
              <w:rPr>
                <w:rFonts w:ascii="Arial" w:hAnsi="Arial"/>
                <w:i/>
                <w:iCs/>
                <w:color w:val="000000"/>
                <w:sz w:val="16"/>
                <w:szCs w:val="16"/>
                <w:rtl/>
              </w:rPr>
              <w:t>البند</w:t>
            </w:r>
            <w:r w:rsidR="00DC5132">
              <w:rPr>
                <w:rFonts w:ascii="Arial" w:hAnsi="Arial" w:hint="cs"/>
                <w:i/>
                <w:iCs/>
                <w:color w:val="000000"/>
                <w:sz w:val="16"/>
                <w:szCs w:val="16"/>
                <w:rtl/>
              </w:rPr>
              <w:t xml:space="preserve"> </w:t>
            </w:r>
            <w:r>
              <w:rPr>
                <w:rFonts w:ascii="Arial" w:hAnsi="Arial" w:hint="cs"/>
                <w:i/>
                <w:iCs/>
                <w:color w:val="000000"/>
                <w:sz w:val="16"/>
                <w:szCs w:val="16"/>
                <w:rtl/>
              </w:rPr>
              <w:t>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63C906C5" w14:textId="51D3A517"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(33% من</w:t>
            </w:r>
            <w:r w:rsidR="00DC5132">
              <w:rPr>
                <w:rFonts w:ascii="Arial" w:hAnsi="Arial" w:hint="cs"/>
                <w:i/>
                <w:iCs/>
                <w:color w:val="000000"/>
                <w:sz w:val="16"/>
                <w:szCs w:val="16"/>
                <w:rtl/>
              </w:rPr>
              <w:t xml:space="preserve"> </w:t>
            </w:r>
            <w:r w:rsidR="00DC5132" w:rsidRPr="003E244F">
              <w:rPr>
                <w:rFonts w:ascii="Arial" w:hAnsi="Arial"/>
                <w:i/>
                <w:iCs/>
                <w:color w:val="000000"/>
                <w:sz w:val="16"/>
                <w:szCs w:val="16"/>
                <w:rtl/>
              </w:rPr>
              <w:t>البند</w:t>
            </w:r>
            <w:r w:rsidR="00DC5132">
              <w:rPr>
                <w:rFonts w:ascii="Arial" w:hAnsi="Arial" w:hint="cs"/>
                <w:i/>
                <w:iCs/>
                <w:color w:val="000000"/>
                <w:sz w:val="16"/>
                <w:szCs w:val="16"/>
                <w:rtl/>
              </w:rPr>
              <w:t xml:space="preserve"> </w:t>
            </w:r>
            <w:r>
              <w:rPr>
                <w:rFonts w:ascii="Arial" w:hAnsi="Arial" w:hint="cs"/>
                <w:i/>
                <w:iCs/>
                <w:color w:val="000000"/>
                <w:sz w:val="16"/>
                <w:szCs w:val="16"/>
                <w:rtl/>
              </w:rPr>
              <w:t>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3215AA2E" w14:textId="77777777" w:rsidR="000E54B7" w:rsidRPr="000E54B7" w:rsidRDefault="000E54B7" w:rsidP="000E54B7">
            <w:pPr>
              <w:rPr>
                <w:rFonts w:ascii="Arial" w:hAnsi="Arial" w:cs="Arial"/>
                <w:color w:val="000000"/>
                <w:sz w:val="16"/>
                <w:szCs w:val="16"/>
                <w:lang w:val="en-GB"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042E6ECC" w14:textId="77777777" w:rsidR="000E54B7" w:rsidRPr="000E54B7" w:rsidRDefault="000E54B7" w:rsidP="000E54B7">
            <w:pPr>
              <w:rPr>
                <w:rFonts w:ascii="Arial" w:hAnsi="Arial" w:cs="Arial"/>
                <w:color w:val="000000"/>
                <w:sz w:val="16"/>
                <w:szCs w:val="16"/>
                <w:lang w:val="en-GB" w:eastAsia="zh-CN"/>
              </w:rPr>
            </w:pPr>
          </w:p>
        </w:tc>
      </w:tr>
      <w:tr w:rsidR="00CF650F" w:rsidRPr="000E54B7" w14:paraId="6DFAC09E" w14:textId="77777777" w:rsidTr="00417BA0">
        <w:trPr>
          <w:trHeight w:val="465"/>
        </w:trPr>
        <w:tc>
          <w:tcPr>
            <w:tcW w:w="562" w:type="dxa"/>
            <w:tcBorders>
              <w:top w:val="nil"/>
              <w:left w:val="single" w:sz="4" w:space="0" w:color="auto"/>
              <w:bottom w:val="nil"/>
              <w:right w:val="single" w:sz="4" w:space="0" w:color="auto"/>
            </w:tcBorders>
            <w:shd w:val="clear" w:color="000000" w:fill="E7E6E6"/>
            <w:noWrap/>
            <w:vAlign w:val="center"/>
            <w:hideMark/>
          </w:tcPr>
          <w:p w14:paraId="06428C7F" w14:textId="77777777" w:rsidR="000E54B7" w:rsidRPr="000E54B7" w:rsidRDefault="000E54B7" w:rsidP="007670BA">
            <w:pPr>
              <w:bidi/>
              <w:rPr>
                <w:rFonts w:ascii="Arial" w:hAnsi="Arial" w:cs="Arial"/>
                <w:i/>
                <w:iCs/>
                <w:color w:val="000000"/>
                <w:sz w:val="18"/>
                <w:szCs w:val="18"/>
                <w:rtl/>
              </w:rPr>
            </w:pPr>
            <w:r>
              <w:rPr>
                <w:rFonts w:ascii="Arial" w:hAnsi="Arial" w:hint="cs"/>
                <w:i/>
                <w:iCs/>
                <w:color w:val="000000"/>
                <w:sz w:val="18"/>
                <w:szCs w:val="18"/>
                <w:rtl/>
              </w:rPr>
              <w:t> </w:t>
            </w:r>
          </w:p>
        </w:tc>
        <w:tc>
          <w:tcPr>
            <w:tcW w:w="4536" w:type="dxa"/>
            <w:tcBorders>
              <w:top w:val="nil"/>
              <w:left w:val="nil"/>
              <w:bottom w:val="nil"/>
              <w:right w:val="single" w:sz="4" w:space="0" w:color="auto"/>
            </w:tcBorders>
            <w:shd w:val="clear" w:color="000000" w:fill="E7E6E6"/>
            <w:vAlign w:val="center"/>
            <w:hideMark/>
          </w:tcPr>
          <w:p w14:paraId="4214A64C" w14:textId="7970145D" w:rsidR="000E54B7" w:rsidRPr="000E54B7" w:rsidRDefault="00120029" w:rsidP="007670BA">
            <w:pPr>
              <w:bidi/>
              <w:rPr>
                <w:rFonts w:ascii="Arial" w:hAnsi="Arial" w:cs="Arial"/>
                <w:b/>
                <w:bCs/>
                <w:i/>
                <w:iCs/>
                <w:color w:val="000000"/>
                <w:sz w:val="16"/>
                <w:szCs w:val="16"/>
                <w:rtl/>
              </w:rPr>
            </w:pPr>
            <w:r w:rsidRPr="00F368F4">
              <w:rPr>
                <w:rFonts w:ascii="Arial" w:hAnsi="Arial"/>
                <w:b/>
                <w:bCs/>
                <w:i/>
                <w:iCs/>
                <w:color w:val="000000"/>
                <w:sz w:val="16"/>
                <w:szCs w:val="16"/>
                <w:rtl/>
              </w:rPr>
              <w:t>النتيجة المنشودة 3</w:t>
            </w:r>
            <w:r w:rsidRPr="00F368F4">
              <w:rPr>
                <w:rFonts w:ascii="Arial" w:hAnsi="Arial"/>
                <w:i/>
                <w:iCs/>
                <w:color w:val="000000"/>
                <w:sz w:val="16"/>
                <w:szCs w:val="16"/>
                <w:rtl/>
              </w:rPr>
              <w:t>: دمج التراث الثقافي غير المادي في خطط وسياسات وبرامج التنمية المدعومة</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2D3C9A5C" w14:textId="08416F10"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2.60%</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08FA92B8" w14:textId="77777777"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3.70%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0FDB4169" w14:textId="7578D6D4" w:rsidR="000E54B7" w:rsidRPr="000E54B7" w:rsidRDefault="000E54B7" w:rsidP="000E54B7">
            <w:pPr>
              <w:bidi/>
              <w:jc w:val="center"/>
              <w:rPr>
                <w:rFonts w:ascii="Arial" w:hAnsi="Arial" w:cs="Arial"/>
                <w:color w:val="000000"/>
                <w:sz w:val="16"/>
                <w:szCs w:val="16"/>
                <w:rtl/>
              </w:rPr>
            </w:pPr>
            <w:r>
              <w:rPr>
                <w:rFonts w:ascii="Arial" w:hAnsi="Arial" w:hint="cs"/>
                <w:color w:val="000000"/>
                <w:sz w:val="16"/>
                <w:szCs w:val="16"/>
                <w:rtl/>
              </w:rPr>
              <w:t>323</w:t>
            </w:r>
            <w:r w:rsidR="00551777" w:rsidRPr="003E244F">
              <w:rPr>
                <w:rFonts w:ascii="Arial" w:hAnsi="Arial"/>
                <w:color w:val="000000"/>
                <w:sz w:val="16"/>
                <w:szCs w:val="16"/>
                <w:rtl/>
              </w:rPr>
              <w:t>،</w:t>
            </w:r>
            <w:r>
              <w:rPr>
                <w:rFonts w:ascii="Arial" w:hAnsi="Arial" w:hint="cs"/>
                <w:color w:val="000000"/>
                <w:sz w:val="16"/>
                <w:szCs w:val="16"/>
                <w:rtl/>
              </w:rPr>
              <w:t xml:space="preserve">108 </w:t>
            </w:r>
            <w:r w:rsidR="00551777">
              <w:rPr>
                <w:rFonts w:ascii="Arial" w:hAnsi="Arial"/>
                <w:color w:val="000000"/>
                <w:sz w:val="16"/>
                <w:szCs w:val="16"/>
              </w:rPr>
              <w:br/>
            </w:r>
            <w:r w:rsidR="00551777" w:rsidRPr="003E244F">
              <w:rPr>
                <w:rFonts w:ascii="Arial" w:hAnsi="Arial"/>
                <w:color w:val="000000"/>
                <w:sz w:val="18"/>
                <w:szCs w:val="18"/>
                <w:rtl/>
              </w:rPr>
              <w:t>دولاراً</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69692532" w14:textId="3B0A71F3" w:rsidR="000E54B7" w:rsidRPr="000E54B7" w:rsidRDefault="000E54B7" w:rsidP="000E54B7">
            <w:pPr>
              <w:bidi/>
              <w:jc w:val="center"/>
              <w:rPr>
                <w:rFonts w:ascii="Arial" w:hAnsi="Arial" w:cs="Arial"/>
                <w:color w:val="000000"/>
                <w:sz w:val="16"/>
                <w:szCs w:val="16"/>
                <w:rtl/>
              </w:rPr>
            </w:pPr>
            <w:r>
              <w:rPr>
                <w:rFonts w:ascii="Arial" w:hAnsi="Arial" w:hint="cs"/>
                <w:color w:val="000000"/>
                <w:sz w:val="16"/>
                <w:szCs w:val="16"/>
                <w:rtl/>
              </w:rPr>
              <w:t>80</w:t>
            </w:r>
            <w:r w:rsidR="00551777" w:rsidRPr="003E244F">
              <w:rPr>
                <w:rFonts w:ascii="Arial" w:hAnsi="Arial"/>
                <w:color w:val="000000"/>
                <w:sz w:val="16"/>
                <w:szCs w:val="16"/>
                <w:rtl/>
              </w:rPr>
              <w:t>،</w:t>
            </w:r>
            <w:r>
              <w:rPr>
                <w:rFonts w:ascii="Arial" w:hAnsi="Arial" w:hint="cs"/>
                <w:color w:val="000000"/>
                <w:sz w:val="16"/>
                <w:szCs w:val="16"/>
                <w:rtl/>
              </w:rPr>
              <w:t>777</w:t>
            </w:r>
            <w:r w:rsidR="00551777">
              <w:rPr>
                <w:rFonts w:ascii="Arial" w:hAnsi="Arial"/>
                <w:color w:val="000000"/>
                <w:sz w:val="16"/>
                <w:szCs w:val="16"/>
              </w:rPr>
              <w:br/>
            </w:r>
            <w:r>
              <w:rPr>
                <w:rFonts w:ascii="Arial" w:hAnsi="Arial" w:hint="cs"/>
                <w:color w:val="000000"/>
                <w:sz w:val="16"/>
                <w:szCs w:val="16"/>
                <w:rtl/>
              </w:rPr>
              <w:t xml:space="preserve"> </w:t>
            </w:r>
            <w:r w:rsidR="00551777" w:rsidRPr="003E244F">
              <w:rPr>
                <w:rFonts w:ascii="Arial" w:hAnsi="Arial"/>
                <w:color w:val="000000"/>
                <w:sz w:val="18"/>
                <w:szCs w:val="18"/>
                <w:rtl/>
              </w:rPr>
              <w:t>دولاراً</w:t>
            </w:r>
          </w:p>
        </w:tc>
      </w:tr>
      <w:tr w:rsidR="00CF650F" w:rsidRPr="000E54B7" w14:paraId="42EF7413" w14:textId="77777777" w:rsidTr="00417BA0">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777984D9" w14:textId="77777777" w:rsidR="000E54B7" w:rsidRPr="000E54B7" w:rsidRDefault="000E54B7" w:rsidP="007670BA">
            <w:pPr>
              <w:bidi/>
              <w:rPr>
                <w:rFonts w:ascii="Arial" w:hAnsi="Arial" w:cs="Arial"/>
                <w:i/>
                <w:iCs/>
                <w:color w:val="000000"/>
                <w:sz w:val="18"/>
                <w:szCs w:val="18"/>
                <w:rtl/>
              </w:rPr>
            </w:pPr>
            <w:r>
              <w:rPr>
                <w:rFonts w:ascii="Arial" w:hAnsi="Arial" w:hint="cs"/>
                <w:i/>
                <w:iCs/>
                <w:color w:val="000000"/>
                <w:sz w:val="18"/>
                <w:szCs w:val="18"/>
                <w:rtl/>
              </w:rPr>
              <w:t> </w:t>
            </w:r>
          </w:p>
        </w:tc>
        <w:tc>
          <w:tcPr>
            <w:tcW w:w="4536" w:type="dxa"/>
            <w:tcBorders>
              <w:top w:val="nil"/>
              <w:left w:val="nil"/>
              <w:bottom w:val="single" w:sz="4" w:space="0" w:color="auto"/>
              <w:right w:val="single" w:sz="4" w:space="0" w:color="auto"/>
            </w:tcBorders>
            <w:shd w:val="clear" w:color="000000" w:fill="E7E6E6"/>
            <w:vAlign w:val="center"/>
            <w:hideMark/>
          </w:tcPr>
          <w:p w14:paraId="0BEA7538" w14:textId="77777777" w:rsidR="000E54B7" w:rsidRPr="000E54B7" w:rsidRDefault="000E54B7" w:rsidP="000E54B7">
            <w:pPr>
              <w:bidi/>
              <w:ind w:firstLineChars="100" w:firstLine="161"/>
              <w:rPr>
                <w:rFonts w:ascii="Arial" w:hAnsi="Arial" w:cs="Arial"/>
                <w:b/>
                <w:bCs/>
                <w:i/>
                <w:iCs/>
                <w:color w:val="000000"/>
                <w:sz w:val="16"/>
                <w:szCs w:val="16"/>
                <w:rtl/>
              </w:rPr>
            </w:pPr>
            <w:r>
              <w:rPr>
                <w:rFonts w:ascii="Arial" w:hAnsi="Arial" w:hint="cs"/>
                <w:b/>
                <w:bCs/>
                <w:i/>
                <w:iCs/>
                <w:color w:val="000000"/>
                <w:sz w:val="16"/>
                <w:szCs w:val="16"/>
                <w:rtl/>
              </w:rPr>
              <w:t> </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3C9F9D9E" w14:textId="1AC25DA2"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(13% من</w:t>
            </w:r>
            <w:r w:rsidR="00DC5132">
              <w:rPr>
                <w:rFonts w:ascii="Arial" w:hAnsi="Arial" w:hint="cs"/>
                <w:i/>
                <w:iCs/>
                <w:color w:val="000000"/>
                <w:sz w:val="16"/>
                <w:szCs w:val="16"/>
                <w:rtl/>
              </w:rPr>
              <w:t xml:space="preserve"> </w:t>
            </w:r>
            <w:r w:rsidR="00DC5132" w:rsidRPr="003E244F">
              <w:rPr>
                <w:rFonts w:ascii="Arial" w:hAnsi="Arial"/>
                <w:i/>
                <w:iCs/>
                <w:color w:val="000000"/>
                <w:sz w:val="16"/>
                <w:szCs w:val="16"/>
                <w:rtl/>
              </w:rPr>
              <w:t>البند</w:t>
            </w:r>
            <w:r w:rsidR="00DC5132">
              <w:rPr>
                <w:rFonts w:ascii="Arial" w:hAnsi="Arial" w:hint="cs"/>
                <w:i/>
                <w:iCs/>
                <w:color w:val="000000"/>
                <w:sz w:val="16"/>
                <w:szCs w:val="16"/>
                <w:rtl/>
              </w:rPr>
              <w:t xml:space="preserve"> </w:t>
            </w:r>
            <w:r>
              <w:rPr>
                <w:rFonts w:ascii="Arial" w:hAnsi="Arial" w:hint="cs"/>
                <w:i/>
                <w:iCs/>
                <w:color w:val="000000"/>
                <w:sz w:val="16"/>
                <w:szCs w:val="16"/>
                <w:rtl/>
              </w:rPr>
              <w:t>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26E79AF" w14:textId="2D8EC7F9"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(19% من</w:t>
            </w:r>
            <w:r w:rsidR="00DC5132">
              <w:rPr>
                <w:rFonts w:ascii="Arial" w:hAnsi="Arial" w:hint="cs"/>
                <w:i/>
                <w:iCs/>
                <w:color w:val="000000"/>
                <w:sz w:val="16"/>
                <w:szCs w:val="16"/>
                <w:rtl/>
              </w:rPr>
              <w:t xml:space="preserve"> </w:t>
            </w:r>
            <w:r w:rsidR="00DC5132" w:rsidRPr="003E244F">
              <w:rPr>
                <w:rFonts w:ascii="Arial" w:hAnsi="Arial"/>
                <w:i/>
                <w:iCs/>
                <w:color w:val="000000"/>
                <w:sz w:val="16"/>
                <w:szCs w:val="16"/>
                <w:rtl/>
              </w:rPr>
              <w:t>البند</w:t>
            </w:r>
            <w:r w:rsidR="00DC5132">
              <w:rPr>
                <w:rFonts w:ascii="Arial" w:hAnsi="Arial" w:hint="cs"/>
                <w:i/>
                <w:iCs/>
                <w:color w:val="000000"/>
                <w:sz w:val="16"/>
                <w:szCs w:val="16"/>
                <w:rtl/>
              </w:rPr>
              <w:t xml:space="preserve"> </w:t>
            </w:r>
            <w:r>
              <w:rPr>
                <w:rFonts w:ascii="Arial" w:hAnsi="Arial" w:hint="cs"/>
                <w:i/>
                <w:iCs/>
                <w:color w:val="000000"/>
                <w:sz w:val="16"/>
                <w:szCs w:val="16"/>
                <w:rtl/>
              </w:rPr>
              <w:t>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733F0CC2" w14:textId="77777777" w:rsidR="000E54B7" w:rsidRPr="000E54B7" w:rsidRDefault="000E54B7" w:rsidP="000E54B7">
            <w:pPr>
              <w:rPr>
                <w:rFonts w:ascii="Arial" w:hAnsi="Arial" w:cs="Arial"/>
                <w:color w:val="000000"/>
                <w:sz w:val="16"/>
                <w:szCs w:val="16"/>
                <w:lang w:val="en-GB"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54D954AE" w14:textId="77777777" w:rsidR="000E54B7" w:rsidRPr="000E54B7" w:rsidRDefault="000E54B7" w:rsidP="000E54B7">
            <w:pPr>
              <w:rPr>
                <w:rFonts w:ascii="Arial" w:hAnsi="Arial" w:cs="Arial"/>
                <w:color w:val="000000"/>
                <w:sz w:val="16"/>
                <w:szCs w:val="16"/>
                <w:lang w:val="en-GB" w:eastAsia="zh-CN"/>
              </w:rPr>
            </w:pPr>
          </w:p>
        </w:tc>
      </w:tr>
      <w:tr w:rsidR="00CF650F" w:rsidRPr="000E54B7" w14:paraId="628C9333" w14:textId="77777777" w:rsidTr="00417BA0">
        <w:trPr>
          <w:trHeight w:val="465"/>
        </w:trPr>
        <w:tc>
          <w:tcPr>
            <w:tcW w:w="562" w:type="dxa"/>
            <w:tcBorders>
              <w:top w:val="nil"/>
              <w:left w:val="single" w:sz="4" w:space="0" w:color="auto"/>
              <w:bottom w:val="nil"/>
              <w:right w:val="single" w:sz="4" w:space="0" w:color="auto"/>
            </w:tcBorders>
            <w:shd w:val="clear" w:color="000000" w:fill="E7E6E6"/>
            <w:noWrap/>
            <w:vAlign w:val="center"/>
            <w:hideMark/>
          </w:tcPr>
          <w:p w14:paraId="7BA3616D" w14:textId="77777777" w:rsidR="000E54B7" w:rsidRPr="000E54B7" w:rsidRDefault="000E54B7" w:rsidP="007670BA">
            <w:pPr>
              <w:bidi/>
              <w:rPr>
                <w:rFonts w:ascii="Arial" w:hAnsi="Arial" w:cs="Arial"/>
                <w:i/>
                <w:iCs/>
                <w:color w:val="000000"/>
                <w:sz w:val="18"/>
                <w:szCs w:val="18"/>
                <w:rtl/>
              </w:rPr>
            </w:pPr>
            <w:r>
              <w:rPr>
                <w:rFonts w:ascii="Arial" w:hAnsi="Arial" w:hint="cs"/>
                <w:i/>
                <w:iCs/>
                <w:color w:val="000000"/>
                <w:sz w:val="18"/>
                <w:szCs w:val="18"/>
                <w:rtl/>
              </w:rPr>
              <w:t> </w:t>
            </w:r>
          </w:p>
        </w:tc>
        <w:tc>
          <w:tcPr>
            <w:tcW w:w="4536" w:type="dxa"/>
            <w:tcBorders>
              <w:top w:val="nil"/>
              <w:left w:val="nil"/>
              <w:bottom w:val="nil"/>
              <w:right w:val="nil"/>
            </w:tcBorders>
            <w:shd w:val="clear" w:color="000000" w:fill="E7E6E6"/>
            <w:vAlign w:val="center"/>
            <w:hideMark/>
          </w:tcPr>
          <w:p w14:paraId="45DD9EA3" w14:textId="77777777" w:rsidR="000E54B7" w:rsidRPr="000E54B7" w:rsidRDefault="000E54B7" w:rsidP="007670BA">
            <w:pPr>
              <w:bidi/>
              <w:rPr>
                <w:rFonts w:ascii="Arial" w:hAnsi="Arial" w:cs="Arial"/>
                <w:b/>
                <w:bCs/>
                <w:i/>
                <w:iCs/>
                <w:color w:val="000000"/>
                <w:sz w:val="16"/>
                <w:szCs w:val="16"/>
                <w:rtl/>
              </w:rPr>
            </w:pPr>
            <w:r>
              <w:rPr>
                <w:rFonts w:ascii="Arial" w:hAnsi="Arial" w:hint="cs"/>
                <w:b/>
                <w:bCs/>
                <w:i/>
                <w:iCs/>
                <w:color w:val="000000"/>
                <w:sz w:val="16"/>
                <w:szCs w:val="16"/>
                <w:rtl/>
              </w:rPr>
              <w:t>النتيجة المتوقعة 4:</w:t>
            </w:r>
            <w:r>
              <w:rPr>
                <w:rFonts w:ascii="Arial" w:hAnsi="Arial" w:hint="cs"/>
                <w:i/>
                <w:iCs/>
                <w:color w:val="000000"/>
                <w:sz w:val="16"/>
                <w:szCs w:val="16"/>
                <w:rtl/>
              </w:rPr>
              <w:t xml:space="preserve"> تعزيز أهداف الاتفاقية من خلال التوعية والتواصل</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21BBFC9" w14:textId="514E7F52"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5.40%</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D99636D" w14:textId="77777777"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4.70%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60882B88" w14:textId="15DA930D" w:rsidR="000E54B7" w:rsidRPr="000E54B7" w:rsidRDefault="000E54B7" w:rsidP="000E54B7">
            <w:pPr>
              <w:bidi/>
              <w:jc w:val="center"/>
              <w:rPr>
                <w:rFonts w:ascii="Arial" w:hAnsi="Arial" w:cs="Arial"/>
                <w:color w:val="000000"/>
                <w:sz w:val="16"/>
                <w:szCs w:val="16"/>
                <w:rtl/>
              </w:rPr>
            </w:pPr>
            <w:r>
              <w:rPr>
                <w:rFonts w:ascii="Arial" w:hAnsi="Arial" w:hint="cs"/>
                <w:color w:val="000000"/>
                <w:sz w:val="16"/>
                <w:szCs w:val="16"/>
                <w:rtl/>
              </w:rPr>
              <w:t>410</w:t>
            </w:r>
            <w:r w:rsidR="00551777" w:rsidRPr="003E244F">
              <w:rPr>
                <w:rFonts w:ascii="Arial" w:hAnsi="Arial"/>
                <w:color w:val="000000"/>
                <w:sz w:val="16"/>
                <w:szCs w:val="16"/>
                <w:rtl/>
              </w:rPr>
              <w:t>،</w:t>
            </w:r>
            <w:r>
              <w:rPr>
                <w:rFonts w:ascii="Arial" w:hAnsi="Arial" w:hint="cs"/>
                <w:color w:val="000000"/>
                <w:sz w:val="16"/>
                <w:szCs w:val="16"/>
                <w:rtl/>
              </w:rPr>
              <w:t xml:space="preserve">435 </w:t>
            </w:r>
            <w:r w:rsidR="00551777">
              <w:rPr>
                <w:rFonts w:ascii="Arial" w:hAnsi="Arial"/>
                <w:color w:val="000000"/>
                <w:sz w:val="16"/>
                <w:szCs w:val="16"/>
              </w:rPr>
              <w:br/>
            </w:r>
            <w:r w:rsidR="00551777" w:rsidRPr="003E244F">
              <w:rPr>
                <w:rFonts w:ascii="Arial" w:hAnsi="Arial"/>
                <w:color w:val="000000"/>
                <w:sz w:val="18"/>
                <w:szCs w:val="18"/>
                <w:rtl/>
              </w:rPr>
              <w:t>دولاراً</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62FADF90" w14:textId="51ECBB27" w:rsidR="000E54B7" w:rsidRPr="000E54B7" w:rsidRDefault="000E54B7" w:rsidP="000E54B7">
            <w:pPr>
              <w:bidi/>
              <w:jc w:val="center"/>
              <w:rPr>
                <w:rFonts w:ascii="Arial" w:hAnsi="Arial" w:cs="Arial"/>
                <w:color w:val="000000"/>
                <w:sz w:val="16"/>
                <w:szCs w:val="16"/>
                <w:rtl/>
              </w:rPr>
            </w:pPr>
            <w:r>
              <w:rPr>
                <w:rFonts w:ascii="Arial" w:hAnsi="Arial" w:hint="cs"/>
                <w:color w:val="000000"/>
                <w:sz w:val="16"/>
                <w:szCs w:val="16"/>
                <w:rtl/>
              </w:rPr>
              <w:t>102</w:t>
            </w:r>
            <w:r w:rsidR="00551777" w:rsidRPr="003E244F">
              <w:rPr>
                <w:rFonts w:ascii="Arial" w:hAnsi="Arial"/>
                <w:color w:val="000000"/>
                <w:sz w:val="16"/>
                <w:szCs w:val="16"/>
                <w:rtl/>
              </w:rPr>
              <w:t>،</w:t>
            </w:r>
            <w:r>
              <w:rPr>
                <w:rFonts w:ascii="Arial" w:hAnsi="Arial" w:hint="cs"/>
                <w:color w:val="000000"/>
                <w:sz w:val="16"/>
                <w:szCs w:val="16"/>
                <w:rtl/>
              </w:rPr>
              <w:t xml:space="preserve">609 </w:t>
            </w:r>
            <w:r w:rsidR="00551777">
              <w:rPr>
                <w:rFonts w:ascii="Arial" w:hAnsi="Arial"/>
                <w:color w:val="000000"/>
                <w:sz w:val="16"/>
                <w:szCs w:val="16"/>
              </w:rPr>
              <w:br/>
            </w:r>
            <w:r w:rsidR="00551777" w:rsidRPr="003E244F">
              <w:rPr>
                <w:rFonts w:ascii="Arial" w:hAnsi="Arial"/>
                <w:color w:val="000000"/>
                <w:sz w:val="18"/>
                <w:szCs w:val="18"/>
                <w:rtl/>
              </w:rPr>
              <w:t>دولاراً</w:t>
            </w:r>
          </w:p>
        </w:tc>
      </w:tr>
      <w:tr w:rsidR="00CF650F" w:rsidRPr="000E54B7" w14:paraId="784F8E94" w14:textId="77777777" w:rsidTr="00417BA0">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6572C993" w14:textId="77777777" w:rsidR="000E54B7" w:rsidRPr="000E54B7" w:rsidRDefault="000E54B7" w:rsidP="007670BA">
            <w:pPr>
              <w:bidi/>
              <w:rPr>
                <w:rFonts w:ascii="Arial" w:hAnsi="Arial" w:cs="Arial"/>
                <w:i/>
                <w:iCs/>
                <w:color w:val="000000"/>
                <w:sz w:val="18"/>
                <w:szCs w:val="18"/>
                <w:rtl/>
              </w:rPr>
            </w:pPr>
            <w:r>
              <w:rPr>
                <w:rFonts w:ascii="Arial" w:hAnsi="Arial" w:hint="cs"/>
                <w:i/>
                <w:iCs/>
                <w:color w:val="000000"/>
                <w:sz w:val="18"/>
                <w:szCs w:val="18"/>
                <w:rtl/>
              </w:rPr>
              <w:t> </w:t>
            </w:r>
          </w:p>
        </w:tc>
        <w:tc>
          <w:tcPr>
            <w:tcW w:w="4536" w:type="dxa"/>
            <w:tcBorders>
              <w:top w:val="nil"/>
              <w:left w:val="nil"/>
              <w:bottom w:val="nil"/>
              <w:right w:val="nil"/>
            </w:tcBorders>
            <w:shd w:val="clear" w:color="000000" w:fill="E7E6E6"/>
            <w:vAlign w:val="center"/>
            <w:hideMark/>
          </w:tcPr>
          <w:p w14:paraId="7FABF539" w14:textId="77777777" w:rsidR="000E54B7" w:rsidRPr="000E54B7" w:rsidRDefault="000E54B7" w:rsidP="000E54B7">
            <w:pPr>
              <w:bidi/>
              <w:ind w:firstLineChars="100" w:firstLine="161"/>
              <w:rPr>
                <w:rFonts w:ascii="Arial" w:hAnsi="Arial" w:cs="Arial"/>
                <w:b/>
                <w:bCs/>
                <w:i/>
                <w:iCs/>
                <w:color w:val="000000"/>
                <w:sz w:val="16"/>
                <w:szCs w:val="16"/>
                <w:rtl/>
              </w:rPr>
            </w:pPr>
            <w:r>
              <w:rPr>
                <w:rFonts w:ascii="Arial" w:hAnsi="Arial" w:hint="cs"/>
                <w:b/>
                <w:bCs/>
                <w:i/>
                <w:iCs/>
                <w:color w:val="000000"/>
                <w:sz w:val="16"/>
                <w:szCs w:val="16"/>
                <w:rtl/>
              </w:rPr>
              <w:t> </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2EB9056" w14:textId="01D4AE0C"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(27% من</w:t>
            </w:r>
            <w:r w:rsidR="00DC5132">
              <w:rPr>
                <w:rFonts w:ascii="Arial" w:hAnsi="Arial" w:hint="cs"/>
                <w:i/>
                <w:iCs/>
                <w:color w:val="000000"/>
                <w:sz w:val="16"/>
                <w:szCs w:val="16"/>
                <w:rtl/>
              </w:rPr>
              <w:t xml:space="preserve"> </w:t>
            </w:r>
            <w:r w:rsidR="00DC5132" w:rsidRPr="003E244F">
              <w:rPr>
                <w:rFonts w:ascii="Arial" w:hAnsi="Arial"/>
                <w:i/>
                <w:iCs/>
                <w:color w:val="000000"/>
                <w:sz w:val="16"/>
                <w:szCs w:val="16"/>
                <w:rtl/>
              </w:rPr>
              <w:t>البند</w:t>
            </w:r>
            <w:r w:rsidR="00DC5132">
              <w:rPr>
                <w:rFonts w:ascii="Arial" w:hAnsi="Arial" w:hint="cs"/>
                <w:i/>
                <w:iCs/>
                <w:color w:val="000000"/>
                <w:sz w:val="16"/>
                <w:szCs w:val="16"/>
                <w:rtl/>
              </w:rPr>
              <w:t xml:space="preserve"> </w:t>
            </w:r>
            <w:r>
              <w:rPr>
                <w:rFonts w:ascii="Arial" w:hAnsi="Arial" w:hint="cs"/>
                <w:i/>
                <w:iCs/>
                <w:color w:val="000000"/>
                <w:sz w:val="16"/>
                <w:szCs w:val="16"/>
                <w:rtl/>
              </w:rPr>
              <w:t>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220CD3D7" w14:textId="5725C4E5" w:rsidR="000E54B7" w:rsidRPr="000E54B7" w:rsidRDefault="000E54B7" w:rsidP="000E54B7">
            <w:pPr>
              <w:bidi/>
              <w:jc w:val="center"/>
              <w:rPr>
                <w:rFonts w:ascii="Arial" w:hAnsi="Arial" w:cs="Arial"/>
                <w:i/>
                <w:iCs/>
                <w:color w:val="000000"/>
                <w:sz w:val="16"/>
                <w:szCs w:val="16"/>
                <w:rtl/>
              </w:rPr>
            </w:pPr>
            <w:r>
              <w:rPr>
                <w:rFonts w:ascii="Arial" w:hAnsi="Arial" w:hint="cs"/>
                <w:i/>
                <w:iCs/>
                <w:color w:val="000000"/>
                <w:sz w:val="16"/>
                <w:szCs w:val="16"/>
                <w:rtl/>
              </w:rPr>
              <w:t>(23% من</w:t>
            </w:r>
            <w:r w:rsidR="00DC5132">
              <w:rPr>
                <w:rFonts w:ascii="Arial" w:hAnsi="Arial" w:hint="cs"/>
                <w:i/>
                <w:iCs/>
                <w:color w:val="000000"/>
                <w:sz w:val="16"/>
                <w:szCs w:val="16"/>
                <w:rtl/>
              </w:rPr>
              <w:t xml:space="preserve"> </w:t>
            </w:r>
            <w:r w:rsidR="00DC5132" w:rsidRPr="003E244F">
              <w:rPr>
                <w:rFonts w:ascii="Arial" w:hAnsi="Arial"/>
                <w:i/>
                <w:iCs/>
                <w:color w:val="000000"/>
                <w:sz w:val="16"/>
                <w:szCs w:val="16"/>
                <w:rtl/>
              </w:rPr>
              <w:t>البند</w:t>
            </w:r>
            <w:r w:rsidR="00DC5132">
              <w:rPr>
                <w:rFonts w:ascii="Arial" w:hAnsi="Arial" w:hint="cs"/>
                <w:i/>
                <w:iCs/>
                <w:color w:val="000000"/>
                <w:sz w:val="16"/>
                <w:szCs w:val="16"/>
                <w:rtl/>
              </w:rPr>
              <w:t xml:space="preserve"> </w:t>
            </w:r>
            <w:r>
              <w:rPr>
                <w:rFonts w:ascii="Arial" w:hAnsi="Arial" w:hint="cs"/>
                <w:i/>
                <w:iCs/>
                <w:color w:val="000000"/>
                <w:sz w:val="16"/>
                <w:szCs w:val="16"/>
                <w:rtl/>
              </w:rPr>
              <w:t>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6127931B" w14:textId="77777777" w:rsidR="000E54B7" w:rsidRPr="000E54B7" w:rsidRDefault="000E54B7" w:rsidP="000E54B7">
            <w:pPr>
              <w:rPr>
                <w:rFonts w:ascii="Arial" w:hAnsi="Arial" w:cs="Arial"/>
                <w:color w:val="000000"/>
                <w:sz w:val="16"/>
                <w:szCs w:val="16"/>
                <w:lang w:val="en-GB"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464365E6" w14:textId="77777777" w:rsidR="000E54B7" w:rsidRPr="000E54B7" w:rsidRDefault="000E54B7" w:rsidP="000E54B7">
            <w:pPr>
              <w:rPr>
                <w:rFonts w:ascii="Arial" w:hAnsi="Arial" w:cs="Arial"/>
                <w:color w:val="000000"/>
                <w:sz w:val="16"/>
                <w:szCs w:val="16"/>
                <w:lang w:val="en-GB" w:eastAsia="zh-CN"/>
              </w:rPr>
            </w:pPr>
          </w:p>
        </w:tc>
      </w:tr>
      <w:tr w:rsidR="00CF650F" w:rsidRPr="000E54B7" w14:paraId="6CABA8FF" w14:textId="77777777" w:rsidTr="007670BA">
        <w:trPr>
          <w:trHeight w:val="825"/>
        </w:trPr>
        <w:tc>
          <w:tcPr>
            <w:tcW w:w="562" w:type="dxa"/>
            <w:tcBorders>
              <w:top w:val="nil"/>
              <w:left w:val="single" w:sz="4" w:space="0" w:color="auto"/>
              <w:bottom w:val="nil"/>
              <w:right w:val="nil"/>
            </w:tcBorders>
            <w:shd w:val="clear" w:color="auto" w:fill="auto"/>
            <w:noWrap/>
            <w:vAlign w:val="center"/>
            <w:hideMark/>
          </w:tcPr>
          <w:p w14:paraId="48CDAE5D" w14:textId="77777777" w:rsidR="000E54B7" w:rsidRPr="000E54B7" w:rsidRDefault="000E54B7" w:rsidP="007670BA">
            <w:pPr>
              <w:bidi/>
              <w:rPr>
                <w:rFonts w:ascii="Arial" w:hAnsi="Arial" w:cs="Arial"/>
                <w:color w:val="000000"/>
                <w:sz w:val="18"/>
                <w:szCs w:val="18"/>
                <w:rtl/>
              </w:rPr>
            </w:pPr>
            <w:r>
              <w:rPr>
                <w:rFonts w:ascii="Arial" w:hAnsi="Arial" w:hint="cs"/>
                <w:color w:val="000000"/>
                <w:sz w:val="18"/>
                <w:szCs w:val="18"/>
                <w:rtl/>
              </w:rPr>
              <w:t>4.</w:t>
            </w:r>
          </w:p>
        </w:tc>
        <w:tc>
          <w:tcPr>
            <w:tcW w:w="4536" w:type="dxa"/>
            <w:tcBorders>
              <w:top w:val="single" w:sz="4" w:space="0" w:color="auto"/>
              <w:left w:val="single" w:sz="4" w:space="0" w:color="auto"/>
              <w:bottom w:val="nil"/>
              <w:right w:val="single" w:sz="4" w:space="0" w:color="auto"/>
            </w:tcBorders>
            <w:shd w:val="clear" w:color="auto" w:fill="auto"/>
            <w:vAlign w:val="center"/>
            <w:hideMark/>
          </w:tcPr>
          <w:p w14:paraId="15A6FF2D" w14:textId="5EFF6A6C" w:rsidR="000E54B7" w:rsidRPr="000E54B7" w:rsidRDefault="00120029" w:rsidP="007670BA">
            <w:pPr>
              <w:bidi/>
              <w:rPr>
                <w:rFonts w:ascii="Arial" w:hAnsi="Arial" w:cs="Arial"/>
                <w:color w:val="000000"/>
                <w:sz w:val="18"/>
                <w:szCs w:val="18"/>
                <w:rtl/>
              </w:rPr>
            </w:pPr>
            <w:r w:rsidRPr="00F368F4">
              <w:rPr>
                <w:rFonts w:ascii="Arial" w:hAnsi="Arial"/>
                <w:color w:val="000000"/>
                <w:sz w:val="18"/>
                <w:szCs w:val="18"/>
                <w:rtl/>
              </w:rPr>
              <w:t>تمكين الخبراء في التراث الثقافي غير المادي الذين يمثلون البلدان النامية التي هي دول أعضاء في اللجنة من المشاركة في دورات اللجنة وفي اجتماعات مكتبها وهيئاتها الفرعية؛</w:t>
            </w:r>
          </w:p>
        </w:tc>
        <w:tc>
          <w:tcPr>
            <w:tcW w:w="1318" w:type="dxa"/>
            <w:tcBorders>
              <w:top w:val="nil"/>
              <w:left w:val="nil"/>
              <w:bottom w:val="nil"/>
              <w:right w:val="single" w:sz="4" w:space="0" w:color="auto"/>
            </w:tcBorders>
            <w:shd w:val="clear" w:color="auto" w:fill="auto"/>
            <w:vAlign w:val="center"/>
            <w:hideMark/>
          </w:tcPr>
          <w:p w14:paraId="42982F93"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2.63%</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365E627"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3.10%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573B5882" w14:textId="01B869D6"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270</w:t>
            </w:r>
            <w:r w:rsidR="00551777" w:rsidRPr="003E244F">
              <w:rPr>
                <w:rFonts w:ascii="Arial" w:hAnsi="Arial"/>
                <w:color w:val="000000"/>
                <w:sz w:val="16"/>
                <w:szCs w:val="16"/>
                <w:rtl/>
              </w:rPr>
              <w:t>،</w:t>
            </w:r>
            <w:r>
              <w:rPr>
                <w:rFonts w:ascii="Arial" w:hAnsi="Arial" w:hint="cs"/>
                <w:color w:val="000000"/>
                <w:sz w:val="18"/>
                <w:szCs w:val="18"/>
                <w:rtl/>
              </w:rPr>
              <w:t xml:space="preserve">712 </w:t>
            </w:r>
            <w:r w:rsidR="00551777">
              <w:rPr>
                <w:rFonts w:ascii="Arial" w:hAnsi="Arial"/>
                <w:color w:val="000000"/>
                <w:sz w:val="18"/>
                <w:szCs w:val="18"/>
              </w:rPr>
              <w:br/>
            </w:r>
            <w:r w:rsidR="00551777" w:rsidRPr="003E244F">
              <w:rPr>
                <w:rFonts w:ascii="Arial" w:hAnsi="Arial"/>
                <w:color w:val="000000"/>
                <w:sz w:val="18"/>
                <w:szCs w:val="18"/>
                <w:rtl/>
              </w:rPr>
              <w:t>دولاراً</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1ABF541D" w14:textId="77112A91"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67</w:t>
            </w:r>
            <w:r w:rsidR="00551777" w:rsidRPr="003E244F">
              <w:rPr>
                <w:rFonts w:ascii="Arial" w:hAnsi="Arial"/>
                <w:color w:val="000000"/>
                <w:sz w:val="16"/>
                <w:szCs w:val="16"/>
                <w:rtl/>
              </w:rPr>
              <w:t>،</w:t>
            </w:r>
            <w:r>
              <w:rPr>
                <w:rFonts w:ascii="Arial" w:hAnsi="Arial" w:hint="cs"/>
                <w:color w:val="000000"/>
                <w:sz w:val="18"/>
                <w:szCs w:val="18"/>
                <w:rtl/>
              </w:rPr>
              <w:t xml:space="preserve">678 </w:t>
            </w:r>
            <w:r w:rsidR="00551777">
              <w:rPr>
                <w:rFonts w:ascii="Arial" w:hAnsi="Arial"/>
                <w:color w:val="000000"/>
                <w:sz w:val="18"/>
                <w:szCs w:val="18"/>
              </w:rPr>
              <w:br/>
            </w:r>
            <w:r w:rsidR="00551777" w:rsidRPr="003E244F">
              <w:rPr>
                <w:rFonts w:ascii="Arial" w:hAnsi="Arial"/>
                <w:color w:val="000000"/>
                <w:sz w:val="18"/>
                <w:szCs w:val="18"/>
                <w:rtl/>
              </w:rPr>
              <w:t>دولاراً</w:t>
            </w:r>
          </w:p>
        </w:tc>
      </w:tr>
      <w:tr w:rsidR="00CF650F" w:rsidRPr="000E54B7" w14:paraId="606C09C2" w14:textId="77777777" w:rsidTr="007670BA">
        <w:trPr>
          <w:trHeight w:val="106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77DF1" w14:textId="77777777" w:rsidR="000E54B7" w:rsidRPr="000E54B7" w:rsidRDefault="000E54B7" w:rsidP="007670BA">
            <w:pPr>
              <w:bidi/>
              <w:rPr>
                <w:rFonts w:ascii="Arial" w:hAnsi="Arial" w:cs="Arial"/>
                <w:color w:val="000000"/>
                <w:sz w:val="18"/>
                <w:szCs w:val="18"/>
                <w:rtl/>
              </w:rPr>
            </w:pPr>
            <w:r>
              <w:rPr>
                <w:rFonts w:ascii="Arial" w:hAnsi="Arial" w:hint="cs"/>
                <w:color w:val="000000"/>
                <w:sz w:val="18"/>
                <w:szCs w:val="18"/>
                <w:rtl/>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72777FE" w14:textId="19889C15" w:rsidR="000E54B7" w:rsidRPr="000E54B7" w:rsidRDefault="00120029" w:rsidP="007670BA">
            <w:pPr>
              <w:bidi/>
              <w:rPr>
                <w:rFonts w:ascii="Arial" w:hAnsi="Arial" w:cs="Arial"/>
                <w:color w:val="000000"/>
                <w:sz w:val="18"/>
                <w:szCs w:val="18"/>
                <w:rtl/>
              </w:rPr>
            </w:pPr>
            <w:r w:rsidRPr="00F368F4">
              <w:rPr>
                <w:rFonts w:ascii="Arial" w:hAnsi="Arial"/>
                <w:color w:val="000000"/>
                <w:sz w:val="18"/>
                <w:szCs w:val="18"/>
                <w:rtl/>
              </w:rPr>
              <w:t xml:space="preserve">تمكين الخبراء في التراث الثقافي غير المادي الذين يمثلون البلدان النامية التي هي دول أطراف في </w:t>
            </w:r>
            <w:r w:rsidRPr="00120029">
              <w:rPr>
                <w:rFonts w:ascii="Arial" w:hAnsi="Arial" w:hint="eastAsia"/>
                <w:color w:val="000000"/>
                <w:sz w:val="18"/>
                <w:szCs w:val="18"/>
                <w:rtl/>
              </w:rPr>
              <w:t>الاتفاقية،</w:t>
            </w:r>
            <w:r w:rsidRPr="00F368F4">
              <w:rPr>
                <w:rFonts w:ascii="Arial" w:hAnsi="Arial"/>
                <w:color w:val="000000"/>
                <w:sz w:val="18"/>
                <w:szCs w:val="18"/>
                <w:rtl/>
              </w:rPr>
              <w:t xml:space="preserve"> ولكنها ليست دولاً أعضاء في اللجنة من المشاركة في دورات اللجنة؛</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20332544"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3.31%</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5295AF2"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3.30%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7E92ED6C" w14:textId="1615475F"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288</w:t>
            </w:r>
            <w:r w:rsidR="00551777" w:rsidRPr="003E244F">
              <w:rPr>
                <w:rFonts w:ascii="Arial" w:hAnsi="Arial"/>
                <w:color w:val="000000"/>
                <w:sz w:val="16"/>
                <w:szCs w:val="16"/>
                <w:rtl/>
              </w:rPr>
              <w:t>،</w:t>
            </w:r>
            <w:r>
              <w:rPr>
                <w:rFonts w:ascii="Arial" w:hAnsi="Arial" w:hint="cs"/>
                <w:color w:val="000000"/>
                <w:sz w:val="18"/>
                <w:szCs w:val="18"/>
                <w:rtl/>
              </w:rPr>
              <w:t>178</w:t>
            </w:r>
            <w:r w:rsidR="00551777">
              <w:rPr>
                <w:rFonts w:ascii="Arial" w:hAnsi="Arial"/>
                <w:color w:val="000000"/>
                <w:sz w:val="18"/>
                <w:szCs w:val="18"/>
              </w:rPr>
              <w:br/>
            </w:r>
            <w:r>
              <w:rPr>
                <w:rFonts w:ascii="Arial" w:hAnsi="Arial" w:hint="cs"/>
                <w:color w:val="000000"/>
                <w:sz w:val="18"/>
                <w:szCs w:val="18"/>
                <w:rtl/>
              </w:rPr>
              <w:t xml:space="preserve"> </w:t>
            </w:r>
            <w:r w:rsidR="00551777" w:rsidRPr="003E244F">
              <w:rPr>
                <w:rFonts w:ascii="Arial" w:hAnsi="Arial"/>
                <w:color w:val="000000"/>
                <w:sz w:val="18"/>
                <w:szCs w:val="18"/>
                <w:rtl/>
              </w:rPr>
              <w:t>دولاراً</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65AB3D92" w14:textId="790B284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72</w:t>
            </w:r>
            <w:r w:rsidR="00551777" w:rsidRPr="003E244F">
              <w:rPr>
                <w:rFonts w:ascii="Arial" w:hAnsi="Arial"/>
                <w:color w:val="000000"/>
                <w:sz w:val="16"/>
                <w:szCs w:val="16"/>
                <w:rtl/>
              </w:rPr>
              <w:t>،</w:t>
            </w:r>
            <w:r>
              <w:rPr>
                <w:rFonts w:ascii="Arial" w:hAnsi="Arial" w:hint="cs"/>
                <w:color w:val="000000"/>
                <w:sz w:val="18"/>
                <w:szCs w:val="18"/>
                <w:rtl/>
              </w:rPr>
              <w:t xml:space="preserve">044 </w:t>
            </w:r>
            <w:r w:rsidR="00551777">
              <w:rPr>
                <w:rFonts w:ascii="Arial" w:hAnsi="Arial"/>
                <w:color w:val="000000"/>
                <w:sz w:val="18"/>
                <w:szCs w:val="18"/>
              </w:rPr>
              <w:br/>
            </w:r>
            <w:r w:rsidR="00551777" w:rsidRPr="003E244F">
              <w:rPr>
                <w:rFonts w:ascii="Arial" w:hAnsi="Arial"/>
                <w:color w:val="000000"/>
                <w:sz w:val="18"/>
                <w:szCs w:val="18"/>
                <w:rtl/>
              </w:rPr>
              <w:t>دولاراً</w:t>
            </w:r>
          </w:p>
        </w:tc>
      </w:tr>
      <w:tr w:rsidR="00CF650F" w:rsidRPr="000E54B7" w14:paraId="25BAA399" w14:textId="77777777" w:rsidTr="007670BA">
        <w:trPr>
          <w:trHeight w:val="157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E268" w14:textId="77777777" w:rsidR="000E54B7" w:rsidRPr="000E54B7" w:rsidRDefault="000E54B7" w:rsidP="007670BA">
            <w:pPr>
              <w:bidi/>
              <w:rPr>
                <w:rFonts w:ascii="Arial" w:hAnsi="Arial" w:cs="Arial"/>
                <w:color w:val="000000"/>
                <w:sz w:val="18"/>
                <w:szCs w:val="18"/>
                <w:rtl/>
              </w:rPr>
            </w:pPr>
            <w:r>
              <w:rPr>
                <w:rFonts w:ascii="Arial" w:hAnsi="Arial" w:hint="cs"/>
                <w:color w:val="000000"/>
                <w:sz w:val="18"/>
                <w:szCs w:val="18"/>
                <w:rtl/>
              </w:rPr>
              <w:lastRenderedPageBreak/>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5C08C52" w14:textId="31A0001F" w:rsidR="000E54B7" w:rsidRPr="000E54B7" w:rsidRDefault="00120029" w:rsidP="007670BA">
            <w:pPr>
              <w:bidi/>
              <w:rPr>
                <w:rFonts w:ascii="Arial" w:hAnsi="Arial" w:cs="Arial"/>
                <w:color w:val="000000"/>
                <w:sz w:val="18"/>
                <w:szCs w:val="18"/>
                <w:rtl/>
              </w:rPr>
            </w:pPr>
            <w:r w:rsidRPr="00F368F4">
              <w:rPr>
                <w:rFonts w:ascii="Arial" w:hAnsi="Arial"/>
                <w:color w:val="000000"/>
                <w:sz w:val="18"/>
                <w:szCs w:val="18"/>
                <w:rtl/>
              </w:rPr>
              <w:t>تمكين الهيئات العامة أو الخاصة والأفراد، وبخاصة الأشخاص التابعين للجماعات والمجموعات، الذين دعتهم اللجنة إلى استشارتها بشأن مسائل محددة، وكذلك الخبراء في التراث الثقافي غير المادي الذين يمثلون المنظمات غير الحكومية المعتمدة في البلدان النامية، من المشاركة في دورات اللجنة وفي اجتماعات مكتبها وهيئاتها الفرعية والاستشارية؛</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16D3E5C8"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3.31%</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A22E1C7"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3.30%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73C6B02" w14:textId="1C7641B2"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288</w:t>
            </w:r>
            <w:r w:rsidR="00551777" w:rsidRPr="003E244F">
              <w:rPr>
                <w:rFonts w:ascii="Arial" w:hAnsi="Arial"/>
                <w:color w:val="000000"/>
                <w:sz w:val="16"/>
                <w:szCs w:val="16"/>
                <w:rtl/>
              </w:rPr>
              <w:t>،</w:t>
            </w:r>
            <w:r>
              <w:rPr>
                <w:rFonts w:ascii="Arial" w:hAnsi="Arial" w:hint="cs"/>
                <w:color w:val="000000"/>
                <w:sz w:val="18"/>
                <w:szCs w:val="18"/>
                <w:rtl/>
              </w:rPr>
              <w:t xml:space="preserve">178 </w:t>
            </w:r>
            <w:r w:rsidR="00551777">
              <w:rPr>
                <w:rFonts w:ascii="Arial" w:hAnsi="Arial"/>
                <w:color w:val="000000"/>
                <w:sz w:val="18"/>
                <w:szCs w:val="18"/>
              </w:rPr>
              <w:br/>
            </w:r>
            <w:r w:rsidR="00551777" w:rsidRPr="003E244F">
              <w:rPr>
                <w:rFonts w:ascii="Arial" w:hAnsi="Arial"/>
                <w:color w:val="000000"/>
                <w:sz w:val="18"/>
                <w:szCs w:val="18"/>
                <w:rtl/>
              </w:rPr>
              <w:t>دولاراً</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33E1EBCB" w14:textId="75A7290F"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72</w:t>
            </w:r>
            <w:r w:rsidR="00551777" w:rsidRPr="003E244F">
              <w:rPr>
                <w:rFonts w:ascii="Arial" w:hAnsi="Arial"/>
                <w:color w:val="000000"/>
                <w:sz w:val="16"/>
                <w:szCs w:val="16"/>
                <w:rtl/>
              </w:rPr>
              <w:t>،</w:t>
            </w:r>
            <w:r>
              <w:rPr>
                <w:rFonts w:ascii="Arial" w:hAnsi="Arial" w:hint="cs"/>
                <w:color w:val="000000"/>
                <w:sz w:val="18"/>
                <w:szCs w:val="18"/>
                <w:rtl/>
              </w:rPr>
              <w:t xml:space="preserve">044 </w:t>
            </w:r>
            <w:r w:rsidR="00551777">
              <w:rPr>
                <w:rFonts w:ascii="Arial" w:hAnsi="Arial"/>
                <w:color w:val="000000"/>
                <w:sz w:val="18"/>
                <w:szCs w:val="18"/>
              </w:rPr>
              <w:br/>
            </w:r>
            <w:r w:rsidR="00551777" w:rsidRPr="003E244F">
              <w:rPr>
                <w:rFonts w:ascii="Arial" w:hAnsi="Arial"/>
                <w:color w:val="000000"/>
                <w:sz w:val="18"/>
                <w:szCs w:val="18"/>
                <w:rtl/>
              </w:rPr>
              <w:t>دولاراً</w:t>
            </w:r>
          </w:p>
        </w:tc>
      </w:tr>
      <w:tr w:rsidR="00CF650F" w:rsidRPr="000E54B7" w14:paraId="4D893023" w14:textId="77777777" w:rsidTr="007670BA">
        <w:trPr>
          <w:trHeight w:val="16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F7AE55" w14:textId="77777777" w:rsidR="000E54B7" w:rsidRPr="000E54B7" w:rsidRDefault="000E54B7" w:rsidP="007670BA">
            <w:pPr>
              <w:bidi/>
              <w:rPr>
                <w:rFonts w:ascii="Arial" w:hAnsi="Arial" w:cs="Arial"/>
                <w:color w:val="000000"/>
                <w:sz w:val="18"/>
                <w:szCs w:val="18"/>
                <w:rtl/>
              </w:rPr>
            </w:pPr>
            <w:r>
              <w:rPr>
                <w:rFonts w:ascii="Arial" w:hAnsi="Arial" w:hint="cs"/>
                <w:color w:val="000000"/>
                <w:sz w:val="18"/>
                <w:szCs w:val="18"/>
                <w:rtl/>
              </w:rPr>
              <w:t>7.</w:t>
            </w:r>
          </w:p>
        </w:tc>
        <w:tc>
          <w:tcPr>
            <w:tcW w:w="4536" w:type="dxa"/>
            <w:tcBorders>
              <w:top w:val="nil"/>
              <w:left w:val="nil"/>
              <w:bottom w:val="single" w:sz="4" w:space="0" w:color="auto"/>
              <w:right w:val="single" w:sz="4" w:space="0" w:color="auto"/>
            </w:tcBorders>
            <w:shd w:val="clear" w:color="auto" w:fill="auto"/>
            <w:vAlign w:val="center"/>
            <w:hideMark/>
          </w:tcPr>
          <w:p w14:paraId="61E7D9C1" w14:textId="7831962B" w:rsidR="000E54B7" w:rsidRPr="000E54B7" w:rsidRDefault="00120029" w:rsidP="007670BA">
            <w:pPr>
              <w:bidi/>
              <w:rPr>
                <w:rFonts w:ascii="Arial" w:hAnsi="Arial" w:cs="Arial"/>
                <w:color w:val="000000"/>
                <w:sz w:val="18"/>
                <w:szCs w:val="18"/>
                <w:rtl/>
              </w:rPr>
            </w:pPr>
            <w:r w:rsidRPr="00F368F4">
              <w:rPr>
                <w:rFonts w:ascii="Arial" w:hAnsi="Arial"/>
                <w:color w:val="000000"/>
                <w:sz w:val="18"/>
                <w:szCs w:val="18"/>
                <w:rtl/>
              </w:rPr>
              <w:t>تكاليف الخدمات الاستشارية التي يتعين تقديمها بناءً على طلب اللجنة، بما في ذلك دعم البلدان النامية التي تم تعيين ممثليها إلى هيئة التقييم</w:t>
            </w:r>
            <w:r w:rsidR="000E54B7">
              <w:rPr>
                <w:rFonts w:ascii="Arial" w:hAnsi="Arial" w:hint="cs"/>
                <w:color w:val="000000"/>
                <w:sz w:val="18"/>
                <w:szCs w:val="18"/>
                <w:rtl/>
              </w:rPr>
              <w:t>، ونقل العناصر بين قوائم الاتفاقية وسجلها، وتسجيل العناصر على أساس موسّع أو مقلّص، ومتابعة العناصر المدرجة في قوائم الاتفاقية</w:t>
            </w:r>
            <w:r w:rsidRPr="00F368F4">
              <w:rPr>
                <w:rFonts w:ascii="Arial" w:hAnsi="Arial"/>
                <w:color w:val="000000"/>
                <w:sz w:val="18"/>
                <w:szCs w:val="18"/>
                <w:rtl/>
              </w:rPr>
              <w:t>؛</w:t>
            </w:r>
          </w:p>
        </w:tc>
        <w:tc>
          <w:tcPr>
            <w:tcW w:w="1318" w:type="dxa"/>
            <w:tcBorders>
              <w:top w:val="nil"/>
              <w:left w:val="nil"/>
              <w:bottom w:val="single" w:sz="4" w:space="0" w:color="auto"/>
              <w:right w:val="single" w:sz="4" w:space="0" w:color="auto"/>
            </w:tcBorders>
            <w:shd w:val="clear" w:color="auto" w:fill="auto"/>
            <w:vAlign w:val="center"/>
            <w:hideMark/>
          </w:tcPr>
          <w:p w14:paraId="1699AA04"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6.00%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01C1A52" w14:textId="77777777"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7.70%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712A7E79" w14:textId="39F6F4A8"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672</w:t>
            </w:r>
            <w:r w:rsidR="00551777" w:rsidRPr="003E244F">
              <w:rPr>
                <w:rFonts w:ascii="Arial" w:hAnsi="Arial"/>
                <w:color w:val="000000"/>
                <w:sz w:val="16"/>
                <w:szCs w:val="16"/>
                <w:rtl/>
              </w:rPr>
              <w:t>،</w:t>
            </w:r>
            <w:r>
              <w:rPr>
                <w:rFonts w:ascii="Arial" w:hAnsi="Arial" w:hint="cs"/>
                <w:color w:val="000000"/>
                <w:sz w:val="18"/>
                <w:szCs w:val="18"/>
                <w:rtl/>
              </w:rPr>
              <w:t xml:space="preserve">414 </w:t>
            </w:r>
            <w:r w:rsidR="00551777">
              <w:rPr>
                <w:rFonts w:ascii="Arial" w:hAnsi="Arial"/>
                <w:color w:val="000000"/>
                <w:sz w:val="18"/>
                <w:szCs w:val="18"/>
              </w:rPr>
              <w:br/>
            </w:r>
            <w:r w:rsidR="00551777" w:rsidRPr="003E244F">
              <w:rPr>
                <w:rFonts w:ascii="Arial" w:hAnsi="Arial"/>
                <w:color w:val="000000"/>
                <w:sz w:val="18"/>
                <w:szCs w:val="18"/>
                <w:rtl/>
              </w:rPr>
              <w:t>دولاراً</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0642DB20" w14:textId="7D7BE3B9" w:rsidR="000E54B7" w:rsidRPr="000E54B7" w:rsidRDefault="000E54B7" w:rsidP="000E54B7">
            <w:pPr>
              <w:bidi/>
              <w:jc w:val="center"/>
              <w:rPr>
                <w:rFonts w:ascii="Arial" w:hAnsi="Arial" w:cs="Arial"/>
                <w:color w:val="000000"/>
                <w:sz w:val="18"/>
                <w:szCs w:val="18"/>
                <w:rtl/>
              </w:rPr>
            </w:pPr>
            <w:r>
              <w:rPr>
                <w:rFonts w:ascii="Arial" w:hAnsi="Arial" w:hint="cs"/>
                <w:color w:val="000000"/>
                <w:sz w:val="18"/>
                <w:szCs w:val="18"/>
                <w:rtl/>
              </w:rPr>
              <w:t>168</w:t>
            </w:r>
            <w:r w:rsidR="00551777" w:rsidRPr="003E244F">
              <w:rPr>
                <w:rFonts w:ascii="Arial" w:hAnsi="Arial"/>
                <w:color w:val="000000"/>
                <w:sz w:val="16"/>
                <w:szCs w:val="16"/>
                <w:rtl/>
              </w:rPr>
              <w:t>،</w:t>
            </w:r>
            <w:r>
              <w:rPr>
                <w:rFonts w:ascii="Arial" w:hAnsi="Arial" w:hint="cs"/>
                <w:color w:val="000000"/>
                <w:sz w:val="18"/>
                <w:szCs w:val="18"/>
                <w:rtl/>
              </w:rPr>
              <w:t>104</w:t>
            </w:r>
            <w:r w:rsidR="00551777" w:rsidRPr="003E244F">
              <w:rPr>
                <w:rFonts w:ascii="Arial" w:hAnsi="Arial"/>
                <w:color w:val="000000"/>
                <w:sz w:val="18"/>
                <w:szCs w:val="18"/>
                <w:rtl/>
              </w:rPr>
              <w:t xml:space="preserve"> </w:t>
            </w:r>
            <w:r w:rsidR="00551777">
              <w:rPr>
                <w:rFonts w:ascii="Arial" w:hAnsi="Arial"/>
                <w:color w:val="000000"/>
                <w:sz w:val="18"/>
                <w:szCs w:val="18"/>
              </w:rPr>
              <w:br/>
            </w:r>
            <w:r w:rsidR="00551777" w:rsidRPr="003E244F">
              <w:rPr>
                <w:rFonts w:ascii="Arial" w:hAnsi="Arial"/>
                <w:color w:val="000000"/>
                <w:sz w:val="18"/>
                <w:szCs w:val="18"/>
                <w:rtl/>
              </w:rPr>
              <w:t>دولاراً</w:t>
            </w:r>
          </w:p>
        </w:tc>
      </w:tr>
      <w:tr w:rsidR="00CF650F" w:rsidRPr="000E54B7" w14:paraId="48B36105" w14:textId="77777777" w:rsidTr="007670BA">
        <w:trPr>
          <w:trHeight w:val="600"/>
        </w:trPr>
        <w:tc>
          <w:tcPr>
            <w:tcW w:w="562" w:type="dxa"/>
            <w:tcBorders>
              <w:top w:val="nil"/>
              <w:left w:val="single" w:sz="4" w:space="0" w:color="auto"/>
              <w:bottom w:val="single" w:sz="4" w:space="0" w:color="auto"/>
              <w:right w:val="nil"/>
            </w:tcBorders>
            <w:shd w:val="clear" w:color="auto" w:fill="auto"/>
            <w:noWrap/>
            <w:vAlign w:val="center"/>
            <w:hideMark/>
          </w:tcPr>
          <w:p w14:paraId="358100F6" w14:textId="77777777" w:rsidR="000E54B7" w:rsidRPr="000E54B7" w:rsidRDefault="000E54B7" w:rsidP="000E54B7">
            <w:pPr>
              <w:bidi/>
              <w:ind w:firstLineChars="100" w:firstLine="201"/>
              <w:rPr>
                <w:rFonts w:ascii="Arial" w:hAnsi="Arial" w:cs="Arial"/>
                <w:b/>
                <w:bCs/>
                <w:color w:val="000000"/>
                <w:sz w:val="20"/>
                <w:szCs w:val="20"/>
                <w:rtl/>
              </w:rPr>
            </w:pPr>
            <w:r>
              <w:rPr>
                <w:rFonts w:ascii="Arial" w:hAnsi="Arial" w:hint="cs"/>
                <w:b/>
                <w:bCs/>
                <w:color w:val="000000"/>
                <w:sz w:val="20"/>
                <w:szCs w:val="20"/>
                <w:rtl/>
              </w:rPr>
              <w:t> </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10EB303" w14:textId="77777777" w:rsidR="000E54B7" w:rsidRPr="000E54B7" w:rsidRDefault="000E54B7" w:rsidP="000E54B7">
            <w:pPr>
              <w:bidi/>
              <w:jc w:val="both"/>
              <w:rPr>
                <w:rFonts w:ascii="Arial" w:hAnsi="Arial" w:cs="Arial"/>
                <w:b/>
                <w:bCs/>
                <w:color w:val="000000"/>
                <w:sz w:val="18"/>
                <w:szCs w:val="18"/>
                <w:rtl/>
              </w:rPr>
            </w:pPr>
            <w:r>
              <w:rPr>
                <w:rFonts w:ascii="Arial" w:hAnsi="Arial" w:hint="cs"/>
                <w:b/>
                <w:bCs/>
                <w:color w:val="000000"/>
                <w:sz w:val="18"/>
                <w:szCs w:val="18"/>
                <w:rtl/>
              </w:rPr>
              <w:t>المجموع</w:t>
            </w:r>
          </w:p>
        </w:tc>
        <w:tc>
          <w:tcPr>
            <w:tcW w:w="1318" w:type="dxa"/>
            <w:tcBorders>
              <w:top w:val="nil"/>
              <w:left w:val="nil"/>
              <w:bottom w:val="single" w:sz="4" w:space="0" w:color="auto"/>
              <w:right w:val="single" w:sz="4" w:space="0" w:color="auto"/>
            </w:tcBorders>
            <w:shd w:val="clear" w:color="auto" w:fill="auto"/>
            <w:vAlign w:val="center"/>
            <w:hideMark/>
          </w:tcPr>
          <w:p w14:paraId="1BF6452C" w14:textId="77777777" w:rsidR="000E54B7" w:rsidRPr="000E54B7" w:rsidRDefault="000E54B7" w:rsidP="000E54B7">
            <w:pPr>
              <w:bidi/>
              <w:jc w:val="center"/>
              <w:rPr>
                <w:rFonts w:ascii="Arial" w:hAnsi="Arial" w:cs="Arial"/>
                <w:b/>
                <w:bCs/>
                <w:color w:val="000000"/>
                <w:sz w:val="18"/>
                <w:szCs w:val="18"/>
                <w:rtl/>
              </w:rPr>
            </w:pPr>
            <w:r>
              <w:rPr>
                <w:rFonts w:ascii="Arial" w:hAnsi="Arial" w:hint="cs"/>
                <w:b/>
                <w:bCs/>
                <w:color w:val="000000"/>
                <w:sz w:val="18"/>
                <w:szCs w:val="18"/>
                <w:rtl/>
              </w:rPr>
              <w:t>100.00%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1C85C9C" w14:textId="77777777" w:rsidR="000E54B7" w:rsidRPr="000E54B7" w:rsidRDefault="000E54B7" w:rsidP="000E54B7">
            <w:pPr>
              <w:bidi/>
              <w:jc w:val="center"/>
              <w:rPr>
                <w:rFonts w:ascii="Arial" w:hAnsi="Arial" w:cs="Arial"/>
                <w:b/>
                <w:bCs/>
                <w:color w:val="000000"/>
                <w:sz w:val="18"/>
                <w:szCs w:val="18"/>
                <w:rtl/>
              </w:rPr>
            </w:pPr>
            <w:r>
              <w:rPr>
                <w:rFonts w:ascii="Arial" w:hAnsi="Arial" w:hint="cs"/>
                <w:b/>
                <w:bCs/>
                <w:color w:val="000000"/>
                <w:sz w:val="18"/>
                <w:szCs w:val="18"/>
                <w:rtl/>
              </w:rPr>
              <w:t>100.00%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E95AC49" w14:textId="5F3F9232" w:rsidR="000E54B7" w:rsidRPr="000E54B7" w:rsidRDefault="00551777" w:rsidP="000E54B7">
            <w:pPr>
              <w:bidi/>
              <w:jc w:val="center"/>
              <w:rPr>
                <w:rFonts w:ascii="Arial" w:hAnsi="Arial" w:cs="Arial"/>
                <w:b/>
                <w:bCs/>
                <w:color w:val="000000"/>
                <w:sz w:val="18"/>
                <w:szCs w:val="18"/>
                <w:rtl/>
              </w:rPr>
            </w:pPr>
            <w:r>
              <w:rPr>
                <w:rFonts w:ascii="Arial" w:hAnsi="Arial"/>
                <w:b/>
                <w:bCs/>
                <w:color w:val="000000"/>
                <w:sz w:val="18"/>
                <w:szCs w:val="18"/>
              </w:rPr>
              <w:t>653</w:t>
            </w:r>
            <w:r w:rsidRPr="00F368F4">
              <w:rPr>
                <w:rFonts w:ascii="Arial" w:hAnsi="Arial"/>
                <w:b/>
                <w:bCs/>
                <w:color w:val="000000"/>
                <w:sz w:val="18"/>
                <w:szCs w:val="18"/>
                <w:rtl/>
              </w:rPr>
              <w:t>،</w:t>
            </w:r>
            <w:r w:rsidRPr="00F368F4">
              <w:rPr>
                <w:rFonts w:ascii="Arial" w:hAnsi="Arial"/>
                <w:b/>
                <w:bCs/>
                <w:color w:val="000000"/>
                <w:sz w:val="18"/>
                <w:szCs w:val="18"/>
              </w:rPr>
              <w:t>732</w:t>
            </w:r>
            <w:r w:rsidRPr="00F368F4">
              <w:rPr>
                <w:rFonts w:ascii="Arial" w:hAnsi="Arial"/>
                <w:b/>
                <w:bCs/>
                <w:color w:val="000000"/>
                <w:sz w:val="18"/>
                <w:szCs w:val="18"/>
                <w:rtl/>
              </w:rPr>
              <w:t>،</w:t>
            </w:r>
            <w:r w:rsidRPr="00F368F4">
              <w:rPr>
                <w:rFonts w:ascii="Arial" w:hAnsi="Arial"/>
                <w:b/>
                <w:bCs/>
                <w:color w:val="000000"/>
                <w:sz w:val="18"/>
                <w:szCs w:val="18"/>
              </w:rPr>
              <w:t>8</w:t>
            </w:r>
            <w:r w:rsidR="000E54B7">
              <w:rPr>
                <w:rFonts w:ascii="Arial" w:hAnsi="Arial" w:hint="cs"/>
                <w:b/>
                <w:bCs/>
                <w:color w:val="000000"/>
                <w:sz w:val="18"/>
                <w:szCs w:val="18"/>
                <w:rtl/>
              </w:rPr>
              <w:t xml:space="preserve"> </w:t>
            </w:r>
            <w:r w:rsidRPr="00F368F4">
              <w:rPr>
                <w:rFonts w:ascii="Arial" w:hAnsi="Arial"/>
                <w:b/>
                <w:bCs/>
                <w:color w:val="000000"/>
                <w:sz w:val="18"/>
                <w:szCs w:val="18"/>
                <w:rtl/>
              </w:rPr>
              <w:t>دولاراً</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1EFF174E" w14:textId="1F848BE3" w:rsidR="000E54B7" w:rsidRPr="000E54B7" w:rsidRDefault="00551777" w:rsidP="000E54B7">
            <w:pPr>
              <w:bidi/>
              <w:jc w:val="center"/>
              <w:rPr>
                <w:rFonts w:ascii="Arial" w:hAnsi="Arial" w:cs="Arial"/>
                <w:b/>
                <w:bCs/>
                <w:color w:val="000000"/>
                <w:sz w:val="18"/>
                <w:szCs w:val="18"/>
                <w:rtl/>
              </w:rPr>
            </w:pPr>
            <w:r>
              <w:rPr>
                <w:rFonts w:ascii="Arial" w:hAnsi="Arial"/>
                <w:b/>
                <w:bCs/>
                <w:color w:val="000000"/>
                <w:sz w:val="18"/>
                <w:szCs w:val="18"/>
              </w:rPr>
              <w:t>163</w:t>
            </w:r>
            <w:r w:rsidRPr="00F368F4">
              <w:rPr>
                <w:rFonts w:ascii="Arial" w:hAnsi="Arial"/>
                <w:b/>
                <w:bCs/>
                <w:color w:val="000000"/>
                <w:sz w:val="18"/>
                <w:szCs w:val="18"/>
                <w:rtl/>
              </w:rPr>
              <w:t>،</w:t>
            </w:r>
            <w:r w:rsidRPr="00F368F4">
              <w:rPr>
                <w:rFonts w:ascii="Arial" w:hAnsi="Arial"/>
                <w:b/>
                <w:bCs/>
                <w:color w:val="000000"/>
                <w:sz w:val="18"/>
                <w:szCs w:val="18"/>
              </w:rPr>
              <w:t>183</w:t>
            </w:r>
            <w:r w:rsidRPr="00F368F4">
              <w:rPr>
                <w:rFonts w:ascii="Arial" w:hAnsi="Arial"/>
                <w:b/>
                <w:bCs/>
                <w:color w:val="000000"/>
                <w:sz w:val="18"/>
                <w:szCs w:val="18"/>
                <w:rtl/>
              </w:rPr>
              <w:t>،</w:t>
            </w:r>
            <w:r w:rsidRPr="00F368F4">
              <w:rPr>
                <w:rFonts w:ascii="Arial" w:hAnsi="Arial"/>
                <w:b/>
                <w:bCs/>
                <w:color w:val="000000"/>
                <w:sz w:val="18"/>
                <w:szCs w:val="18"/>
              </w:rPr>
              <w:t>2</w:t>
            </w:r>
            <w:r w:rsidR="000E54B7">
              <w:rPr>
                <w:rFonts w:ascii="Arial" w:hAnsi="Arial" w:hint="cs"/>
                <w:b/>
                <w:bCs/>
                <w:color w:val="000000"/>
                <w:sz w:val="18"/>
                <w:szCs w:val="18"/>
                <w:rtl/>
              </w:rPr>
              <w:t xml:space="preserve"> </w:t>
            </w:r>
            <w:r w:rsidRPr="00F368F4">
              <w:rPr>
                <w:rFonts w:ascii="Arial" w:hAnsi="Arial"/>
                <w:b/>
                <w:bCs/>
                <w:color w:val="000000"/>
                <w:sz w:val="18"/>
                <w:szCs w:val="18"/>
                <w:rtl/>
              </w:rPr>
              <w:t>دولاراً</w:t>
            </w:r>
          </w:p>
        </w:tc>
      </w:tr>
      <w:tr w:rsidR="00CF650F" w:rsidRPr="000E54B7" w14:paraId="16C0BC10" w14:textId="77777777" w:rsidTr="007670BA">
        <w:trPr>
          <w:gridAfter w:val="1"/>
          <w:wAfter w:w="11" w:type="dxa"/>
          <w:trHeight w:val="60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1CF3C5" w14:textId="2D2C8555" w:rsidR="000E54B7" w:rsidRPr="000E54B7" w:rsidRDefault="000E54B7" w:rsidP="000E54B7">
            <w:pPr>
              <w:bidi/>
              <w:rPr>
                <w:rFonts w:ascii="Arial" w:hAnsi="Arial" w:cs="Arial"/>
                <w:color w:val="000000"/>
                <w:sz w:val="18"/>
                <w:szCs w:val="18"/>
                <w:rtl/>
              </w:rPr>
            </w:pPr>
            <w:r>
              <w:rPr>
                <w:rFonts w:ascii="Arial" w:hAnsi="Arial" w:hint="cs"/>
                <w:color w:val="000000"/>
                <w:sz w:val="18"/>
                <w:szCs w:val="18"/>
                <w:rtl/>
              </w:rPr>
              <w:t>[1] تطبق النسب المئوية على رصيد الصندوق</w:t>
            </w:r>
            <w:r w:rsidR="00DC5132">
              <w:rPr>
                <w:rFonts w:ascii="Arial" w:hAnsi="Arial"/>
                <w:color w:val="000000"/>
                <w:sz w:val="18"/>
                <w:szCs w:val="18"/>
              </w:rPr>
              <w:t xml:space="preserve"> </w:t>
            </w:r>
            <w:r w:rsidR="00DC5132" w:rsidRPr="00F368F4">
              <w:rPr>
                <w:rFonts w:ascii="Arial" w:hAnsi="Arial" w:hint="eastAsia"/>
                <w:color w:val="000000"/>
                <w:sz w:val="18"/>
                <w:szCs w:val="18"/>
                <w:rtl/>
              </w:rPr>
              <w:t>المتعلق</w:t>
            </w:r>
            <w:r w:rsidR="00DC5132" w:rsidRPr="00F368F4">
              <w:rPr>
                <w:rFonts w:ascii="Arial" w:hAnsi="Arial"/>
                <w:color w:val="000000"/>
                <w:sz w:val="18"/>
                <w:szCs w:val="18"/>
                <w:rtl/>
              </w:rPr>
              <w:t xml:space="preserve"> </w:t>
            </w:r>
            <w:r w:rsidR="00DC5132" w:rsidRPr="00F368F4">
              <w:rPr>
                <w:rFonts w:ascii="Arial" w:hAnsi="Arial" w:hint="eastAsia"/>
                <w:color w:val="000000"/>
                <w:sz w:val="18"/>
                <w:szCs w:val="18"/>
                <w:rtl/>
              </w:rPr>
              <w:t>بأنشطة</w:t>
            </w:r>
            <w:r w:rsidR="00DC5132" w:rsidRPr="00F368F4">
              <w:rPr>
                <w:rFonts w:ascii="Arial" w:hAnsi="Arial"/>
                <w:color w:val="000000"/>
                <w:sz w:val="18"/>
                <w:szCs w:val="18"/>
                <w:rtl/>
              </w:rPr>
              <w:t xml:space="preserve"> </w:t>
            </w:r>
            <w:r w:rsidR="00DC5132" w:rsidRPr="00F368F4">
              <w:rPr>
                <w:rFonts w:ascii="Arial" w:hAnsi="Arial" w:hint="eastAsia"/>
                <w:color w:val="000000"/>
                <w:sz w:val="18"/>
                <w:szCs w:val="18"/>
                <w:rtl/>
              </w:rPr>
              <w:t>البرنامج</w:t>
            </w:r>
            <w:r>
              <w:rPr>
                <w:rFonts w:ascii="Arial" w:hAnsi="Arial" w:hint="cs"/>
                <w:color w:val="000000"/>
                <w:sz w:val="18"/>
                <w:szCs w:val="18"/>
                <w:rtl/>
              </w:rPr>
              <w:t xml:space="preserve"> في 31 كانون الأول/ديسمبر 2021. ولا يشمل هذا الرصيد صندوق الاحتياطي (البالغ</w:t>
            </w:r>
            <w:r w:rsidR="006A178F">
              <w:rPr>
                <w:rFonts w:ascii="Arial" w:hAnsi="Arial"/>
                <w:color w:val="000000"/>
                <w:sz w:val="18"/>
                <w:szCs w:val="18"/>
              </w:rPr>
              <w:t>000 </w:t>
            </w:r>
            <w:r w:rsidR="006A178F">
              <w:rPr>
                <w:rFonts w:ascii="Arial" w:hAnsi="Arial" w:hint="cs"/>
                <w:color w:val="000000"/>
                <w:sz w:val="18"/>
                <w:szCs w:val="18"/>
                <w:rtl/>
              </w:rPr>
              <w:t>،</w:t>
            </w:r>
            <w:r w:rsidR="006A178F">
              <w:rPr>
                <w:rFonts w:ascii="Arial" w:hAnsi="Arial"/>
                <w:color w:val="000000"/>
                <w:sz w:val="18"/>
                <w:szCs w:val="18"/>
              </w:rPr>
              <w:t>000</w:t>
            </w:r>
            <w:r w:rsidR="006A178F">
              <w:rPr>
                <w:rFonts w:ascii="Arial" w:hAnsi="Arial" w:hint="cs"/>
                <w:color w:val="000000"/>
                <w:sz w:val="18"/>
                <w:szCs w:val="18"/>
                <w:rtl/>
              </w:rPr>
              <w:t>،</w:t>
            </w:r>
            <w:r w:rsidR="006A178F">
              <w:rPr>
                <w:rFonts w:ascii="Arial" w:hAnsi="Arial"/>
                <w:color w:val="000000"/>
                <w:sz w:val="18"/>
                <w:szCs w:val="18"/>
              </w:rPr>
              <w:t>1</w:t>
            </w:r>
            <w:r>
              <w:rPr>
                <w:rFonts w:ascii="Arial" w:hAnsi="Arial" w:hint="cs"/>
                <w:color w:val="000000"/>
                <w:sz w:val="18"/>
                <w:szCs w:val="18"/>
                <w:rtl/>
              </w:rPr>
              <w:t xml:space="preserve"> </w:t>
            </w:r>
            <w:r w:rsidR="00120029" w:rsidRPr="00F368F4">
              <w:rPr>
                <w:rFonts w:ascii="Arial" w:hAnsi="Arial" w:hint="eastAsia"/>
                <w:color w:val="000000"/>
                <w:sz w:val="18"/>
                <w:szCs w:val="18"/>
                <w:rtl/>
              </w:rPr>
              <w:t>دولارًا</w:t>
            </w:r>
            <w:r w:rsidR="00120029" w:rsidRPr="00F368F4">
              <w:rPr>
                <w:rFonts w:ascii="Arial" w:hAnsi="Arial"/>
                <w:color w:val="000000"/>
                <w:sz w:val="18"/>
                <w:szCs w:val="18"/>
              </w:rPr>
              <w:t xml:space="preserve"> </w:t>
            </w:r>
            <w:r w:rsidR="00120029" w:rsidRPr="00F368F4">
              <w:rPr>
                <w:rFonts w:ascii="Arial" w:hAnsi="Arial" w:hint="eastAsia"/>
                <w:color w:val="000000"/>
                <w:sz w:val="18"/>
                <w:szCs w:val="18"/>
                <w:rtl/>
              </w:rPr>
              <w:t>أمريكيًا</w:t>
            </w:r>
            <w:r w:rsidRPr="006B55AD">
              <w:rPr>
                <w:rFonts w:ascii="Arial" w:hAnsi="Arial" w:hint="cs"/>
                <w:color w:val="000000"/>
                <w:sz w:val="18"/>
                <w:szCs w:val="18"/>
                <w:rtl/>
                <w:lang w:bidi="ar-SA"/>
              </w:rPr>
              <w:t>).</w:t>
            </w:r>
          </w:p>
        </w:tc>
      </w:tr>
      <w:tr w:rsidR="00CF650F" w:rsidRPr="0016686C" w14:paraId="1B0786EF" w14:textId="77777777" w:rsidTr="007670BA">
        <w:trPr>
          <w:gridAfter w:val="1"/>
          <w:wAfter w:w="11" w:type="dxa"/>
          <w:trHeight w:val="72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AFB7013" w14:textId="2003D7E9" w:rsidR="000E54B7" w:rsidRPr="000E54B7" w:rsidRDefault="008378C3" w:rsidP="000E54B7">
            <w:pPr>
              <w:bidi/>
              <w:rPr>
                <w:rFonts w:ascii="Arial" w:hAnsi="Arial" w:cs="Arial"/>
                <w:color w:val="000000"/>
                <w:sz w:val="18"/>
                <w:szCs w:val="18"/>
                <w:rtl/>
              </w:rPr>
            </w:pPr>
            <w:r w:rsidRPr="00F368F4">
              <w:rPr>
                <w:rFonts w:ascii="Arial" w:hAnsi="Arial"/>
                <w:color w:val="000000"/>
                <w:sz w:val="18"/>
                <w:szCs w:val="18"/>
                <w:rtl/>
              </w:rPr>
              <w:t>تُرحل الأموال غير المرتبط بها في نهاية الفترة التي تشملها هذه الخطة إلى الفترة المالية التالية، وتُخصص وفقاً للخطة التي توافق عليها الجمعية العامة في ذلك الوقت.</w:t>
            </w:r>
          </w:p>
        </w:tc>
      </w:tr>
      <w:tr w:rsidR="00CF650F" w:rsidRPr="0016686C" w14:paraId="7328E2FB" w14:textId="77777777" w:rsidTr="007670BA">
        <w:trPr>
          <w:gridAfter w:val="1"/>
          <w:wAfter w:w="11" w:type="dxa"/>
          <w:trHeight w:val="96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AD04662" w14:textId="0AEADD09" w:rsidR="000E54B7" w:rsidRPr="000E54B7" w:rsidRDefault="000E54B7" w:rsidP="007670BA">
            <w:pPr>
              <w:bidi/>
              <w:jc w:val="both"/>
              <w:rPr>
                <w:rFonts w:ascii="Arial" w:hAnsi="Arial" w:cs="Arial"/>
                <w:color w:val="000000"/>
                <w:sz w:val="18"/>
                <w:szCs w:val="18"/>
                <w:rtl/>
              </w:rPr>
            </w:pPr>
            <w:r>
              <w:rPr>
                <w:rFonts w:ascii="Arial" w:hAnsi="Arial" w:hint="cs"/>
                <w:color w:val="000000"/>
                <w:sz w:val="18"/>
                <w:szCs w:val="18"/>
                <w:rtl/>
              </w:rPr>
              <w:t xml:space="preserve">وفي الفترة من 1 كانون الثاني/يناير 2024 إلى 30 حزيران/يونيو 2024، يُخصّص ربع المبلغ المحدد للأربعة والعشرين شهرًا من الفترة المالية 2022-2023 على أساس مؤقت، باستثناء صندوق الاحتياطي الذي حددت اللجنة مبلغه بقيمة مليون </w:t>
            </w:r>
            <w:r w:rsidR="006A178F" w:rsidRPr="009028B3">
              <w:rPr>
                <w:rFonts w:ascii="Arial" w:hAnsi="Arial" w:hint="eastAsia"/>
                <w:color w:val="000000"/>
                <w:sz w:val="18"/>
                <w:szCs w:val="18"/>
                <w:rtl/>
              </w:rPr>
              <w:t>دولارًا</w:t>
            </w:r>
            <w:r w:rsidR="006A178F" w:rsidRPr="009028B3">
              <w:rPr>
                <w:rFonts w:ascii="Arial" w:hAnsi="Arial"/>
                <w:color w:val="000000"/>
                <w:sz w:val="18"/>
                <w:szCs w:val="18"/>
              </w:rPr>
              <w:t xml:space="preserve"> </w:t>
            </w:r>
            <w:r w:rsidR="006A178F" w:rsidRPr="009028B3">
              <w:rPr>
                <w:rFonts w:ascii="Arial" w:hAnsi="Arial" w:hint="eastAsia"/>
                <w:color w:val="000000"/>
                <w:sz w:val="18"/>
                <w:szCs w:val="18"/>
                <w:rtl/>
              </w:rPr>
              <w:t>أمريكيًا</w:t>
            </w:r>
            <w:r w:rsidR="006A178F">
              <w:rPr>
                <w:rFonts w:ascii="Arial" w:hAnsi="Arial"/>
                <w:color w:val="000000"/>
                <w:sz w:val="18"/>
                <w:szCs w:val="18"/>
              </w:rPr>
              <w:t xml:space="preserve"> </w:t>
            </w:r>
            <w:r>
              <w:rPr>
                <w:rFonts w:ascii="Arial" w:hAnsi="Arial" w:hint="cs"/>
                <w:color w:val="000000"/>
                <w:sz w:val="18"/>
                <w:szCs w:val="18"/>
                <w:rtl/>
              </w:rPr>
              <w:t>(</w:t>
            </w:r>
            <w:r w:rsidR="008378C3" w:rsidRPr="00F368F4">
              <w:rPr>
                <w:rFonts w:ascii="Arial" w:hAnsi="Arial"/>
                <w:color w:val="000000"/>
                <w:sz w:val="18"/>
                <w:szCs w:val="18"/>
                <w:rtl/>
              </w:rPr>
              <w:t>القرار</w:t>
            </w:r>
            <w:r>
              <w:rPr>
                <w:rFonts w:ascii="Arial" w:hAnsi="Arial" w:hint="cs"/>
                <w:color w:val="000000"/>
                <w:sz w:val="18"/>
                <w:szCs w:val="18"/>
                <w:rtl/>
              </w:rPr>
              <w:t xml:space="preserve"> </w:t>
            </w:r>
            <w:r>
              <w:rPr>
                <w:rFonts w:ascii="Arial" w:hAnsi="Arial"/>
                <w:color w:val="000000"/>
                <w:sz w:val="18"/>
                <w:szCs w:val="18"/>
              </w:rPr>
              <w:t>‎</w:t>
            </w:r>
            <w:hyperlink r:id="rId50" w:history="1">
              <w:r w:rsidRPr="00A31A2E">
                <w:rPr>
                  <w:rStyle w:val="Hyperlink"/>
                  <w:rFonts w:ascii="Arial" w:hAnsi="Arial"/>
                  <w:sz w:val="18"/>
                  <w:szCs w:val="18"/>
                </w:rPr>
                <w:t>10</w:t>
              </w:r>
              <w:r w:rsidR="006A178F" w:rsidRPr="00A31A2E">
                <w:rPr>
                  <w:rStyle w:val="Hyperlink"/>
                  <w:rFonts w:ascii="Arial" w:hAnsi="Arial"/>
                  <w:sz w:val="18"/>
                  <w:szCs w:val="18"/>
                </w:rPr>
                <w:t>.</w:t>
              </w:r>
              <w:r w:rsidRPr="00A31A2E">
                <w:rPr>
                  <w:rStyle w:val="Hyperlink"/>
                  <w:rFonts w:ascii="Arial" w:hAnsi="Arial"/>
                  <w:sz w:val="18"/>
                  <w:szCs w:val="18"/>
                </w:rPr>
                <w:t>COM</w:t>
              </w:r>
              <w:r w:rsidR="00832C7A">
                <w:rPr>
                  <w:rStyle w:val="Hyperlink"/>
                  <w:rFonts w:ascii="Arial" w:hAnsi="Arial"/>
                  <w:sz w:val="18"/>
                  <w:szCs w:val="18"/>
                </w:rPr>
                <w:t> </w:t>
              </w:r>
              <w:r w:rsidRPr="00832C7A">
                <w:rPr>
                  <w:rStyle w:val="Hyperlink"/>
                  <w:rFonts w:ascii="Arial" w:hAnsi="Arial"/>
                  <w:sz w:val="18"/>
                  <w:szCs w:val="18"/>
                </w:rPr>
                <w:t>8</w:t>
              </w:r>
            </w:hyperlink>
            <w:r w:rsidRPr="006B55AD">
              <w:rPr>
                <w:rFonts w:ascii="Arial" w:hAnsi="Arial" w:hint="cs"/>
                <w:color w:val="000000"/>
                <w:sz w:val="18"/>
                <w:szCs w:val="18"/>
                <w:rtl/>
                <w:lang w:bidi="ar-SA"/>
              </w:rPr>
              <w:t>).</w:t>
            </w:r>
          </w:p>
        </w:tc>
      </w:tr>
    </w:tbl>
    <w:p w14:paraId="7D16C9A8" w14:textId="6BC88D56" w:rsidR="00695F92" w:rsidRPr="009E78E8" w:rsidRDefault="00695F92" w:rsidP="009E78E8">
      <w:pPr>
        <w:pStyle w:val="COMParaDecision"/>
        <w:ind w:left="0" w:firstLine="0"/>
      </w:pPr>
    </w:p>
    <w:sectPr w:rsidR="00695F92" w:rsidRPr="009E78E8" w:rsidSect="00485F75">
      <w:headerReference w:type="even" r:id="rId51"/>
      <w:headerReference w:type="default" r:id="rId52"/>
      <w:headerReference w:type="first" r:id="rId53"/>
      <w:type w:val="continuous"/>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C604" w14:textId="77777777" w:rsidR="00486F0C" w:rsidRDefault="00486F0C" w:rsidP="00655736">
      <w:r>
        <w:separator/>
      </w:r>
    </w:p>
  </w:endnote>
  <w:endnote w:type="continuationSeparator" w:id="0">
    <w:p w14:paraId="710F798D" w14:textId="77777777" w:rsidR="00486F0C" w:rsidRDefault="00486F0C"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akoutLinotypeLight-Regular">
    <w:altName w:val="Arial"/>
    <w:panose1 w:val="00000000000000000000"/>
    <w:charset w:val="B2"/>
    <w:family w:val="auto"/>
    <w:notTrueType/>
    <w:pitch w:val="default"/>
    <w:sig w:usb0="00002001" w:usb1="00000000" w:usb2="00000000" w:usb3="00000000" w:csb0="0000004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9776" w14:textId="77777777" w:rsidR="00486F0C" w:rsidRDefault="00486F0C" w:rsidP="00655736">
      <w:r>
        <w:separator/>
      </w:r>
    </w:p>
  </w:footnote>
  <w:footnote w:type="continuationSeparator" w:id="0">
    <w:p w14:paraId="4C8C5030" w14:textId="77777777" w:rsidR="00486F0C" w:rsidRDefault="00486F0C" w:rsidP="00655736">
      <w:r>
        <w:continuationSeparator/>
      </w:r>
    </w:p>
  </w:footnote>
  <w:footnote w:id="1">
    <w:p w14:paraId="3FB05012" w14:textId="05D36AA2" w:rsidR="00BC151F" w:rsidRPr="00A31A2E" w:rsidRDefault="00BC151F" w:rsidP="007670BA">
      <w:pPr>
        <w:pStyle w:val="FootnoteText"/>
        <w:bidi/>
        <w:ind w:left="567" w:hanging="567"/>
        <w:jc w:val="both"/>
        <w:rPr>
          <w:rFonts w:asciiTheme="minorBidi" w:hAnsiTheme="minorBidi" w:cstheme="minorBidi"/>
          <w:sz w:val="18"/>
          <w:szCs w:val="18"/>
          <w:rtl/>
          <w:lang w:bidi="ar-SA"/>
        </w:rPr>
      </w:pPr>
      <w:r w:rsidRPr="00457336">
        <w:rPr>
          <w:rFonts w:asciiTheme="minorBidi" w:hAnsiTheme="minorBidi" w:cstheme="minorBidi"/>
          <w:sz w:val="18"/>
          <w:szCs w:val="18"/>
          <w:lang w:bidi="ar-SA"/>
        </w:rPr>
        <w:footnoteRef/>
      </w:r>
      <w:r w:rsidRPr="00457336">
        <w:rPr>
          <w:rFonts w:asciiTheme="minorBidi" w:hAnsiTheme="minorBidi"/>
          <w:sz w:val="18"/>
          <w:szCs w:val="18"/>
          <w:rtl/>
          <w:lang w:bidi="ar-SA"/>
        </w:rPr>
        <w:t>.</w:t>
      </w:r>
      <w:r w:rsidRPr="00457336">
        <w:rPr>
          <w:rFonts w:asciiTheme="minorBidi" w:hAnsiTheme="minorBidi"/>
          <w:sz w:val="18"/>
          <w:szCs w:val="18"/>
          <w:rtl/>
          <w:lang w:bidi="ar-SA"/>
        </w:rPr>
        <w:tab/>
        <w:t xml:space="preserve">توصي </w:t>
      </w:r>
      <w:hyperlink r:id="rId1" w:history="1">
        <w:r w:rsidRPr="00A31A2E">
          <w:rPr>
            <w:rFonts w:asciiTheme="minorBidi" w:hAnsiTheme="minorBidi"/>
            <w:color w:val="0000FF"/>
            <w:sz w:val="18"/>
            <w:szCs w:val="18"/>
            <w:u w:val="single"/>
            <w:rtl/>
            <w:lang w:bidi="ar-SA"/>
          </w:rPr>
          <w:t>سياسة اليونسكو في مجال التقييم</w:t>
        </w:r>
      </w:hyperlink>
      <w:r w:rsidRPr="00A31A2E">
        <w:rPr>
          <w:rFonts w:asciiTheme="minorBidi" w:hAnsiTheme="minorBidi"/>
          <w:sz w:val="18"/>
          <w:szCs w:val="18"/>
          <w:rtl/>
          <w:lang w:bidi="ar-SA"/>
        </w:rPr>
        <w:t xml:space="preserve"> بتخصيص نسبة </w:t>
      </w:r>
      <w:r w:rsidR="003412EC" w:rsidRPr="00A31A2E">
        <w:rPr>
          <w:rFonts w:asciiTheme="minorBidi" w:hAnsiTheme="minorBidi"/>
          <w:sz w:val="18"/>
          <w:szCs w:val="18"/>
          <w:lang w:bidi="ar-SA"/>
        </w:rPr>
        <w:t>3</w:t>
      </w:r>
      <w:r w:rsidRPr="00A31A2E">
        <w:rPr>
          <w:rFonts w:asciiTheme="minorBidi" w:hAnsiTheme="minorBidi"/>
          <w:sz w:val="18"/>
          <w:szCs w:val="18"/>
          <w:rtl/>
          <w:lang w:bidi="ar-SA"/>
        </w:rPr>
        <w:t>% من النفقات البرنامجية للتقييم</w:t>
      </w:r>
      <w:r w:rsidR="003412EC" w:rsidRPr="00A31A2E">
        <w:rPr>
          <w:rFonts w:asciiTheme="minorBidi" w:hAnsiTheme="minorBidi"/>
          <w:sz w:val="18"/>
          <w:szCs w:val="18"/>
          <w:rtl/>
          <w:lang w:bidi="ar-SA"/>
        </w:rPr>
        <w:t xml:space="preserve"> كحد أدنى موصى به للاستثمار</w:t>
      </w:r>
      <w:r w:rsidR="003412EC" w:rsidRPr="00A31A2E">
        <w:rPr>
          <w:rFonts w:asciiTheme="minorBidi" w:hAnsiTheme="minorBidi"/>
          <w:sz w:val="18"/>
          <w:szCs w:val="18"/>
          <w:lang w:bidi="ar-SA"/>
        </w:rPr>
        <w:t xml:space="preserve"> </w:t>
      </w:r>
      <w:r w:rsidR="003412EC" w:rsidRPr="00A31A2E">
        <w:rPr>
          <w:rFonts w:asciiTheme="minorBidi" w:hAnsiTheme="minorBidi"/>
          <w:sz w:val="18"/>
          <w:szCs w:val="18"/>
          <w:rtl/>
          <w:lang w:bidi="ar-SA"/>
        </w:rPr>
        <w:t xml:space="preserve">معتبرا أن </w:t>
      </w:r>
      <w:r w:rsidRPr="00A31A2E">
        <w:rPr>
          <w:rFonts w:asciiTheme="minorBidi" w:hAnsiTheme="minorBidi"/>
          <w:sz w:val="18"/>
          <w:szCs w:val="18"/>
          <w:rtl/>
          <w:lang w:bidi="ar-SA"/>
        </w:rPr>
        <w:t>قد تتراوح تكلفة التقييم بين 5</w:t>
      </w:r>
      <w:r w:rsidR="003412EC" w:rsidRPr="00A31A2E">
        <w:rPr>
          <w:rFonts w:asciiTheme="minorBidi" w:hAnsiTheme="minorBidi"/>
          <w:sz w:val="18"/>
          <w:szCs w:val="18"/>
          <w:rtl/>
          <w:lang w:bidi="ar-SA"/>
        </w:rPr>
        <w:t>،</w:t>
      </w:r>
      <w:r w:rsidRPr="00A31A2E">
        <w:rPr>
          <w:rFonts w:asciiTheme="minorBidi" w:hAnsiTheme="minorBidi"/>
          <w:sz w:val="18"/>
          <w:szCs w:val="18"/>
          <w:rtl/>
          <w:lang w:bidi="ar-SA"/>
        </w:rPr>
        <w:t xml:space="preserve">000 </w:t>
      </w:r>
      <w:r w:rsidR="003412EC" w:rsidRPr="00A31A2E">
        <w:rPr>
          <w:rFonts w:asciiTheme="minorBidi" w:hAnsiTheme="minorBidi"/>
          <w:sz w:val="18"/>
          <w:szCs w:val="18"/>
          <w:rtl/>
          <w:lang w:bidi="ar-SA"/>
        </w:rPr>
        <w:t>دولارًا أمريكيًا</w:t>
      </w:r>
      <w:r w:rsidRPr="00A31A2E">
        <w:rPr>
          <w:rFonts w:asciiTheme="minorBidi" w:hAnsiTheme="minorBidi"/>
          <w:sz w:val="18"/>
          <w:szCs w:val="18"/>
          <w:rtl/>
          <w:lang w:bidi="ar-SA"/>
        </w:rPr>
        <w:t xml:space="preserve"> و10</w:t>
      </w:r>
      <w:r w:rsidR="003412EC" w:rsidRPr="00A31A2E">
        <w:rPr>
          <w:rFonts w:asciiTheme="minorBidi" w:hAnsiTheme="minorBidi"/>
          <w:sz w:val="18"/>
          <w:szCs w:val="18"/>
          <w:rtl/>
          <w:lang w:bidi="ar-SA"/>
        </w:rPr>
        <w:t>،</w:t>
      </w:r>
      <w:r w:rsidRPr="00A31A2E">
        <w:rPr>
          <w:rFonts w:asciiTheme="minorBidi" w:hAnsiTheme="minorBidi"/>
          <w:sz w:val="18"/>
          <w:szCs w:val="18"/>
          <w:rtl/>
          <w:lang w:bidi="ar-SA"/>
        </w:rPr>
        <w:t xml:space="preserve">000 </w:t>
      </w:r>
      <w:r w:rsidR="003412EC" w:rsidRPr="00A31A2E">
        <w:rPr>
          <w:rFonts w:asciiTheme="minorBidi" w:hAnsiTheme="minorBidi"/>
          <w:sz w:val="18"/>
          <w:szCs w:val="18"/>
          <w:rtl/>
          <w:lang w:bidi="ar-SA"/>
        </w:rPr>
        <w:t>دولارًا أمريكيًا</w:t>
      </w:r>
      <w:r w:rsidRPr="00A31A2E">
        <w:rPr>
          <w:rFonts w:asciiTheme="minorBidi" w:hAnsiTheme="minorBidi"/>
          <w:sz w:val="18"/>
          <w:szCs w:val="18"/>
          <w:rtl/>
          <w:lang w:bidi="ar-SA"/>
        </w:rPr>
        <w:t xml:space="preserve"> لكل مشروع حسب حجمه ومدته</w:t>
      </w:r>
      <w:r w:rsidR="003412EC" w:rsidRPr="00A31A2E">
        <w:rPr>
          <w:rFonts w:asciiTheme="minorBidi" w:hAnsiTheme="minorBidi"/>
          <w:sz w:val="18"/>
          <w:szCs w:val="18"/>
          <w:rtl/>
          <w:lang w:bidi="ar-SA"/>
        </w:rPr>
        <w:t>،</w:t>
      </w:r>
      <w:r w:rsidR="003412EC" w:rsidRPr="00A31A2E">
        <w:rPr>
          <w:rFonts w:asciiTheme="minorBidi" w:hAnsiTheme="minorBidi"/>
          <w:sz w:val="18"/>
          <w:szCs w:val="18"/>
          <w:lang w:bidi="ar-SA"/>
        </w:rPr>
        <w:t xml:space="preserve"> </w:t>
      </w:r>
      <w:r w:rsidR="003412EC" w:rsidRPr="00A31A2E">
        <w:rPr>
          <w:rFonts w:asciiTheme="minorBidi" w:hAnsiTheme="minorBidi"/>
          <w:sz w:val="18"/>
          <w:szCs w:val="18"/>
          <w:rtl/>
          <w:lang w:bidi="ar-SA"/>
        </w:rPr>
        <w:t>يُقدر أن 5% من ميزانية المشروع ضرورية للتقييم</w:t>
      </w:r>
      <w:r w:rsidRPr="00A31A2E">
        <w:rPr>
          <w:rFonts w:asciiTheme="minorBidi" w:hAnsiTheme="minorBidi"/>
          <w:sz w:val="18"/>
          <w:szCs w:val="18"/>
          <w:rtl/>
          <w:lang w:bidi="ar-SA"/>
        </w:rPr>
        <w:t>. واستنادًا إلى هذا التوجيه، إجراءات الرصد قد تعادل أيضًا 5% من ميزانية المشروع.</w:t>
      </w:r>
    </w:p>
  </w:footnote>
  <w:footnote w:id="2">
    <w:p w14:paraId="66775723" w14:textId="2C26534B" w:rsidR="00BC151F" w:rsidRPr="00A31A2E" w:rsidRDefault="00BC151F" w:rsidP="007670BA">
      <w:pPr>
        <w:pStyle w:val="FootnoteText"/>
        <w:bidi/>
        <w:ind w:left="567" w:hanging="567"/>
        <w:jc w:val="both"/>
        <w:rPr>
          <w:rFonts w:asciiTheme="minorBidi" w:hAnsiTheme="minorBidi" w:cstheme="minorBidi"/>
          <w:sz w:val="18"/>
          <w:szCs w:val="18"/>
          <w:rtl/>
          <w:lang w:bidi="ar-SA"/>
        </w:rPr>
      </w:pPr>
      <w:r w:rsidRPr="00A31A2E">
        <w:rPr>
          <w:rFonts w:asciiTheme="minorBidi" w:hAnsiTheme="minorBidi" w:cstheme="minorBidi"/>
          <w:sz w:val="18"/>
          <w:szCs w:val="18"/>
          <w:lang w:bidi="ar-SA"/>
        </w:rPr>
        <w:footnoteRef/>
      </w:r>
      <w:r w:rsidRPr="00A31A2E">
        <w:rPr>
          <w:rFonts w:asciiTheme="minorBidi" w:hAnsiTheme="minorBidi"/>
          <w:sz w:val="18"/>
          <w:szCs w:val="18"/>
          <w:rtl/>
          <w:lang w:bidi="ar-SA"/>
        </w:rPr>
        <w:t>.</w:t>
      </w:r>
      <w:r w:rsidRPr="00A31A2E">
        <w:rPr>
          <w:rFonts w:asciiTheme="minorBidi" w:hAnsiTheme="minorBidi"/>
          <w:sz w:val="18"/>
          <w:szCs w:val="18"/>
          <w:rtl/>
          <w:lang w:bidi="ar-SA"/>
        </w:rPr>
        <w:tab/>
        <w:t xml:space="preserve">تقابل "المساعدة </w:t>
      </w:r>
      <w:r w:rsidR="003412EC" w:rsidRPr="00A31A2E">
        <w:rPr>
          <w:rFonts w:asciiTheme="minorBidi" w:hAnsiTheme="minorBidi"/>
          <w:sz w:val="18"/>
          <w:szCs w:val="18"/>
          <w:rtl/>
          <w:lang w:bidi="ar-SA"/>
        </w:rPr>
        <w:t>التمهيدية</w:t>
      </w:r>
      <w:r w:rsidRPr="00A31A2E">
        <w:rPr>
          <w:rFonts w:asciiTheme="minorBidi" w:hAnsiTheme="minorBidi"/>
          <w:sz w:val="18"/>
          <w:szCs w:val="18"/>
          <w:rtl/>
          <w:lang w:bidi="ar-SA"/>
        </w:rPr>
        <w:t xml:space="preserve">" المساعدة التي يمكن أن تطلبها الدول الأطراف لوضع ترشيحات لقائمة التراث الثقافي غير المادي الذي يحتاج إلى </w:t>
      </w:r>
      <w:r w:rsidR="003412EC" w:rsidRPr="00A31A2E">
        <w:rPr>
          <w:rFonts w:asciiTheme="minorBidi" w:hAnsiTheme="minorBidi"/>
          <w:sz w:val="18"/>
          <w:szCs w:val="18"/>
          <w:rtl/>
          <w:lang w:bidi="ar-SA"/>
        </w:rPr>
        <w:t>صون عاجل</w:t>
      </w:r>
      <w:r w:rsidR="003412EC" w:rsidRPr="00A31A2E" w:rsidDel="003412EC">
        <w:rPr>
          <w:rFonts w:asciiTheme="minorBidi" w:hAnsiTheme="minorBidi"/>
          <w:sz w:val="18"/>
          <w:szCs w:val="18"/>
          <w:rtl/>
          <w:lang w:bidi="ar-SA"/>
        </w:rPr>
        <w:t xml:space="preserve"> </w:t>
      </w:r>
      <w:r w:rsidRPr="00A31A2E">
        <w:rPr>
          <w:rFonts w:asciiTheme="minorBidi" w:hAnsiTheme="minorBidi"/>
          <w:sz w:val="18"/>
          <w:szCs w:val="18"/>
          <w:rtl/>
          <w:lang w:bidi="ar-SA"/>
        </w:rPr>
        <w:t xml:space="preserve">أو مقترحات لسجل ممارسات </w:t>
      </w:r>
      <w:r w:rsidR="000C38FE" w:rsidRPr="00A31A2E">
        <w:rPr>
          <w:rFonts w:asciiTheme="minorBidi" w:hAnsiTheme="minorBidi"/>
          <w:sz w:val="18"/>
          <w:szCs w:val="18"/>
          <w:rtl/>
          <w:lang w:bidi="ar-SA"/>
        </w:rPr>
        <w:t>الصون</w:t>
      </w:r>
      <w:r w:rsidR="000C38FE" w:rsidRPr="00A31A2E">
        <w:rPr>
          <w:rFonts w:ascii="YakoutLinotypeLight-Regular" w:eastAsia="SimSun" w:hAnsi="Calibri" w:cs="YakoutLinotypeLight-Regular"/>
          <w:sz w:val="18"/>
          <w:szCs w:val="18"/>
          <w:rtl/>
          <w:lang w:eastAsia="en-GB" w:bidi="ar-SA"/>
        </w:rPr>
        <w:t xml:space="preserve"> </w:t>
      </w:r>
      <w:r w:rsidRPr="00A31A2E">
        <w:rPr>
          <w:rFonts w:asciiTheme="minorBidi" w:hAnsiTheme="minorBidi"/>
          <w:sz w:val="18"/>
          <w:szCs w:val="18"/>
          <w:rtl/>
          <w:lang w:bidi="ar-SA"/>
        </w:rPr>
        <w:t xml:space="preserve">الجيدة (الفقرة 21 من </w:t>
      </w:r>
      <w:hyperlink r:id="rId2" w:history="1">
        <w:r w:rsidRPr="00A31A2E">
          <w:rPr>
            <w:rFonts w:asciiTheme="minorBidi" w:hAnsiTheme="minorBidi"/>
            <w:sz w:val="18"/>
            <w:szCs w:val="18"/>
            <w:rtl/>
            <w:lang w:bidi="ar-SA"/>
          </w:rPr>
          <w:t xml:space="preserve">التوجيهات </w:t>
        </w:r>
        <w:r w:rsidR="000C38FE" w:rsidRPr="00A31A2E">
          <w:rPr>
            <w:rFonts w:asciiTheme="minorBidi" w:hAnsiTheme="minorBidi"/>
            <w:sz w:val="18"/>
            <w:szCs w:val="18"/>
            <w:rtl/>
            <w:lang w:bidi="ar-SA"/>
          </w:rPr>
          <w:t>التنفيذية</w:t>
        </w:r>
      </w:hyperlink>
      <w:r w:rsidRPr="00A31A2E">
        <w:rPr>
          <w:rFonts w:asciiTheme="minorBidi" w:hAnsiTheme="minorBidi"/>
          <w:sz w:val="18"/>
          <w:szCs w:val="18"/>
          <w:rtl/>
          <w:lang w:bidi="ar-SA"/>
        </w:rPr>
        <w:t>). تشير عبارة "المساعدة التقنية" إلى تقديم الخبراء – على النحو المبين في المادة 21 من الاتفاقية – إلى الدول الأطراف التي ترغب في تقديم طلبات لالتماس المساعدة الدولية (</w:t>
      </w:r>
      <w:hyperlink r:id="rId3" w:history="1">
        <w:hyperlink r:id="rId4" w:history="1">
          <w:r w:rsidR="000C38FE" w:rsidRPr="00A31A2E">
            <w:rPr>
              <w:rFonts w:asciiTheme="minorBidi" w:hAnsiTheme="minorBidi"/>
              <w:sz w:val="18"/>
              <w:szCs w:val="18"/>
              <w:rtl/>
              <w:lang w:bidi="ar-SA"/>
            </w:rPr>
            <w:t>القرار</w:t>
          </w:r>
        </w:hyperlink>
        <w:r w:rsidRPr="00A31A2E">
          <w:rPr>
            <w:rFonts w:asciiTheme="minorBidi" w:hAnsiTheme="minorBidi"/>
            <w:sz w:val="18"/>
            <w:szCs w:val="18"/>
            <w:rtl/>
            <w:lang w:bidi="ar-SA"/>
          </w:rPr>
          <w:t xml:space="preserve"> </w:t>
        </w:r>
        <w:r w:rsidRPr="00A31A2E">
          <w:rPr>
            <w:rFonts w:asciiTheme="minorBidi" w:hAnsiTheme="minorBidi"/>
            <w:sz w:val="18"/>
            <w:szCs w:val="18"/>
            <w:lang w:bidi="ar-SA"/>
          </w:rPr>
          <w:t>‎</w:t>
        </w:r>
        <w:r w:rsidR="000C38FE" w:rsidRPr="00A31A2E">
          <w:rPr>
            <w:rFonts w:asciiTheme="minorBidi" w:hAnsiTheme="minorBidi"/>
            <w:sz w:val="18"/>
            <w:szCs w:val="18"/>
            <w:lang w:bidi="ar-SA"/>
          </w:rPr>
          <w:t>(</w:t>
        </w:r>
        <w:r w:rsidRPr="00A31A2E">
          <w:rPr>
            <w:rStyle w:val="Hyperlink"/>
            <w:rFonts w:ascii="Arial" w:hAnsi="Arial" w:cs="Arial"/>
            <w:snapToGrid w:val="0"/>
            <w:sz w:val="18"/>
            <w:szCs w:val="18"/>
            <w:lang w:val="en-US" w:eastAsia="en-US" w:bidi="ar-SA"/>
          </w:rPr>
          <w:t>8</w:t>
        </w:r>
        <w:r w:rsidR="000C38FE" w:rsidRPr="00A31A2E">
          <w:rPr>
            <w:rStyle w:val="Hyperlink"/>
            <w:rFonts w:ascii="Arial" w:hAnsi="Arial" w:cs="Arial"/>
            <w:snapToGrid w:val="0"/>
            <w:sz w:val="18"/>
            <w:szCs w:val="18"/>
            <w:lang w:val="en-US" w:eastAsia="en-US" w:bidi="ar-SA"/>
          </w:rPr>
          <w:t>.</w:t>
        </w:r>
        <w:r w:rsidR="00457336" w:rsidRPr="00A31A2E">
          <w:rPr>
            <w:rStyle w:val="Hyperlink"/>
            <w:rFonts w:ascii="Arial" w:hAnsi="Arial" w:cs="Arial"/>
            <w:snapToGrid w:val="0"/>
            <w:sz w:val="18"/>
            <w:szCs w:val="18"/>
            <w:lang w:val="en-US" w:eastAsia="en-US" w:bidi="ar-SA"/>
          </w:rPr>
          <w:t>COM </w:t>
        </w:r>
        <w:r w:rsidRPr="00A31A2E">
          <w:rPr>
            <w:rStyle w:val="Hyperlink"/>
            <w:rFonts w:ascii="Arial" w:hAnsi="Arial" w:cs="Arial"/>
            <w:snapToGrid w:val="0"/>
            <w:sz w:val="18"/>
            <w:szCs w:val="18"/>
            <w:lang w:val="en-US" w:eastAsia="en-US" w:bidi="ar-SA"/>
          </w:rPr>
          <w:t>7</w:t>
        </w:r>
        <w:r w:rsidR="000C38FE" w:rsidRPr="00A31A2E">
          <w:rPr>
            <w:rStyle w:val="Hyperlink"/>
            <w:rFonts w:ascii="Arial" w:hAnsi="Arial" w:cs="Arial"/>
            <w:snapToGrid w:val="0"/>
            <w:sz w:val="18"/>
            <w:szCs w:val="18"/>
            <w:lang w:val="en-US" w:eastAsia="en-US" w:bidi="ar-SA"/>
          </w:rPr>
          <w:t>.</w:t>
        </w:r>
        <w:r w:rsidRPr="00A31A2E">
          <w:rPr>
            <w:rStyle w:val="Hyperlink"/>
            <w:rFonts w:ascii="Arial" w:hAnsi="Arial" w:cs="Arial"/>
            <w:snapToGrid w:val="0"/>
            <w:sz w:val="18"/>
            <w:szCs w:val="18"/>
            <w:lang w:val="en-US" w:eastAsia="en-US" w:bidi="ar-SA"/>
          </w:rPr>
          <w:t>c</w:t>
        </w:r>
      </w:hyperlink>
      <w:r w:rsidRPr="00A31A2E">
        <w:rPr>
          <w:rFonts w:asciiTheme="minorBidi" w:hAnsiTheme="minorBidi"/>
          <w:sz w:val="18"/>
          <w:szCs w:val="18"/>
          <w:lang w:bidi="ar-SA"/>
        </w:rPr>
        <w:t>.</w:t>
      </w:r>
    </w:p>
  </w:footnote>
  <w:footnote w:id="3">
    <w:p w14:paraId="6A6BE1F7" w14:textId="55562582" w:rsidR="00365731" w:rsidRPr="00A31A2E" w:rsidRDefault="00365731" w:rsidP="007670BA">
      <w:pPr>
        <w:pStyle w:val="FootnoteText"/>
        <w:bidi/>
        <w:ind w:left="567" w:hanging="567"/>
        <w:jc w:val="both"/>
        <w:rPr>
          <w:rFonts w:asciiTheme="minorBidi" w:hAnsiTheme="minorBidi" w:cstheme="minorBidi"/>
          <w:sz w:val="18"/>
          <w:szCs w:val="18"/>
          <w:rtl/>
          <w:lang w:bidi="ar-SA"/>
        </w:rPr>
      </w:pPr>
      <w:r w:rsidRPr="00A31A2E">
        <w:rPr>
          <w:rFonts w:asciiTheme="minorBidi" w:hAnsiTheme="minorBidi" w:cstheme="minorBidi"/>
          <w:sz w:val="18"/>
          <w:szCs w:val="18"/>
          <w:lang w:bidi="ar-SA"/>
        </w:rPr>
        <w:footnoteRef/>
      </w:r>
      <w:r w:rsidRPr="00A31A2E">
        <w:rPr>
          <w:rFonts w:asciiTheme="minorBidi" w:hAnsiTheme="minorBidi"/>
          <w:sz w:val="18"/>
          <w:szCs w:val="18"/>
          <w:lang w:bidi="ar-SA"/>
        </w:rPr>
        <w:t>.</w:t>
      </w:r>
      <w:r w:rsidRPr="00A31A2E">
        <w:rPr>
          <w:rFonts w:asciiTheme="minorBidi" w:hAnsiTheme="minorBidi"/>
          <w:sz w:val="18"/>
          <w:szCs w:val="18"/>
          <w:rtl/>
          <w:lang w:bidi="ar-SA"/>
        </w:rPr>
        <w:tab/>
        <w:t xml:space="preserve">وافقت الجمعية العامة في عام 2020 على التوزيع حسب النتائج المتوقعة للفترة 2020-2021 (القرار </w:t>
      </w:r>
      <w:hyperlink r:id="rId5" w:history="1">
        <w:r w:rsidRPr="00A31A2E">
          <w:rPr>
            <w:rStyle w:val="Hyperlink"/>
            <w:rFonts w:ascii="Arial" w:hAnsi="Arial" w:cs="Arial"/>
            <w:snapToGrid w:val="0"/>
            <w:sz w:val="18"/>
            <w:szCs w:val="18"/>
            <w:cs/>
            <w:lang w:val="en-US" w:eastAsia="en-US" w:bidi="ar-SA"/>
          </w:rPr>
          <w:t>‎</w:t>
        </w:r>
        <w:r w:rsidR="00CE49EF" w:rsidRPr="00A31A2E">
          <w:rPr>
            <w:rStyle w:val="Hyperlink"/>
            <w:rFonts w:ascii="Arial" w:hAnsi="Arial" w:cs="Arial"/>
            <w:snapToGrid w:val="0"/>
            <w:sz w:val="18"/>
            <w:szCs w:val="18"/>
            <w:lang w:val="en-US" w:eastAsia="en-US" w:bidi="ar-SA"/>
          </w:rPr>
          <w:t>(</w:t>
        </w:r>
        <w:r w:rsidRPr="00A31A2E">
          <w:rPr>
            <w:rStyle w:val="Hyperlink"/>
            <w:rFonts w:ascii="Arial" w:hAnsi="Arial" w:cs="Arial"/>
            <w:snapToGrid w:val="0"/>
            <w:sz w:val="18"/>
            <w:szCs w:val="18"/>
            <w:lang w:val="en-US" w:eastAsia="en-US" w:bidi="ar-SA"/>
          </w:rPr>
          <w:t>8.</w:t>
        </w:r>
        <w:r w:rsidR="00AB2DF5" w:rsidRPr="00A31A2E">
          <w:rPr>
            <w:rStyle w:val="Hyperlink"/>
            <w:rFonts w:ascii="Arial" w:hAnsi="Arial" w:cs="Arial"/>
            <w:snapToGrid w:val="0"/>
            <w:sz w:val="18"/>
            <w:szCs w:val="18"/>
            <w:lang w:val="en-US" w:eastAsia="en-US" w:bidi="ar-SA"/>
          </w:rPr>
          <w:t>GA</w:t>
        </w:r>
        <w:r w:rsidR="00AB2DF5">
          <w:rPr>
            <w:rStyle w:val="Hyperlink"/>
            <w:rFonts w:ascii="Arial" w:hAnsi="Arial" w:cs="Arial"/>
            <w:snapToGrid w:val="0"/>
            <w:sz w:val="18"/>
            <w:szCs w:val="18"/>
            <w:lang w:val="en-US" w:eastAsia="en-US" w:bidi="ar-SA"/>
          </w:rPr>
          <w:t> </w:t>
        </w:r>
        <w:r w:rsidRPr="00A31A2E">
          <w:rPr>
            <w:rStyle w:val="Hyperlink"/>
            <w:rFonts w:ascii="Arial" w:hAnsi="Arial" w:cs="Arial"/>
            <w:snapToGrid w:val="0"/>
            <w:sz w:val="18"/>
            <w:szCs w:val="18"/>
            <w:lang w:val="en-US" w:eastAsia="en-US" w:bidi="ar-SA"/>
          </w:rPr>
          <w:t>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6487" w14:textId="773E3283" w:rsidR="00AE7841" w:rsidRPr="00AE7841" w:rsidRDefault="00AE7841" w:rsidP="00AE7841">
    <w:pPr>
      <w:pStyle w:val="Header"/>
      <w:bidi/>
      <w:rPr>
        <w:rFonts w:ascii="Arial" w:hAnsi="Arial" w:cs="Arial"/>
        <w:rtl/>
      </w:rPr>
    </w:pPr>
    <w:r>
      <w:rPr>
        <w:rFonts w:ascii="Arial" w:hAnsi="Arial"/>
        <w:sz w:val="20"/>
        <w:szCs w:val="20"/>
      </w:rPr>
      <w:t>LHE/22/9.GA/</w:t>
    </w:r>
    <w:r w:rsidR="00DB5E2C">
      <w:rPr>
        <w:rFonts w:ascii="Arial" w:hAnsi="Arial"/>
        <w:sz w:val="20"/>
        <w:szCs w:val="20"/>
      </w:rPr>
      <w:t>10</w:t>
    </w:r>
    <w:r w:rsidR="00DB5E2C">
      <w:rPr>
        <w:rFonts w:ascii="Arial" w:hAnsi="Arial" w:hint="cs"/>
        <w:sz w:val="20"/>
        <w:szCs w:val="20"/>
        <w:rtl/>
      </w:rPr>
      <w:t xml:space="preserve"> </w:t>
    </w:r>
    <w:r>
      <w:rPr>
        <w:rFonts w:ascii="Arial" w:hAnsi="Arial" w:hint="cs"/>
        <w:sz w:val="20"/>
        <w:szCs w:val="20"/>
        <w:rtl/>
      </w:rPr>
      <w:t xml:space="preserve">– صفحة </w:t>
    </w:r>
    <w:r w:rsidRPr="00C23A97">
      <w:rPr>
        <w:rStyle w:val="PageNumber"/>
        <w:rFonts w:ascii="Arial" w:hAnsi="Arial" w:cs="Arial" w:hint="cs"/>
        <w:sz w:val="20"/>
        <w:rtl/>
      </w:rPr>
      <w:fldChar w:fldCharType="begin"/>
    </w:r>
    <w:r>
      <w:rPr>
        <w:rtl/>
      </w:rPr>
      <w:instrText xml:space="preserve"> </w:instrText>
    </w:r>
    <w:r w:rsidRPr="00C23A97">
      <w:rPr>
        <w:rStyle w:val="PageNumber"/>
        <w:rFonts w:ascii="Arial" w:hAnsi="Arial" w:cs="Arial" w:hint="cs"/>
        <w:sz w:val="20"/>
      </w:rPr>
      <w:instrText xml:space="preserve">PAGE </w:instrText>
    </w:r>
    <w:r w:rsidRPr="00C23A97">
      <w:rPr>
        <w:rStyle w:val="PageNumber"/>
        <w:rFonts w:ascii="Arial" w:hAnsi="Arial" w:cs="Arial" w:hint="cs"/>
        <w:sz w:val="20"/>
        <w:rtl/>
      </w:rPr>
      <w:fldChar w:fldCharType="separate"/>
    </w:r>
    <w:r w:rsidR="004A78A7">
      <w:rPr>
        <w:rStyle w:val="PageNumber"/>
        <w:rFonts w:ascii="Arial" w:hAnsi="Arial" w:cs="Arial" w:hint="cs"/>
        <w:sz w:val="20"/>
        <w:rtl/>
      </w:rPr>
      <w:t>14</w:t>
    </w:r>
    <w:r w:rsidRPr="00C23A97">
      <w:rPr>
        <w:rStyle w:val="PageNumber"/>
        <w:rFonts w:ascii="Arial" w:hAnsi="Arial" w:cs="Arial" w:hint="cs"/>
        <w:sz w:val="20"/>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529A" w14:textId="250A2F52" w:rsidR="00AE7841" w:rsidRDefault="00AE7841" w:rsidP="00AE7841">
    <w:pPr>
      <w:pStyle w:val="Header"/>
      <w:bidi/>
      <w:jc w:val="right"/>
      <w:rPr>
        <w:rtl/>
      </w:rPr>
    </w:pPr>
    <w:r>
      <w:rPr>
        <w:rFonts w:ascii="Arial" w:hAnsi="Arial"/>
        <w:sz w:val="20"/>
        <w:szCs w:val="20"/>
      </w:rPr>
      <w:t>LHE/22/9.GA/</w:t>
    </w:r>
    <w:r w:rsidR="00DB5E2C">
      <w:rPr>
        <w:rFonts w:ascii="Arial" w:hAnsi="Arial"/>
        <w:sz w:val="20"/>
        <w:szCs w:val="20"/>
      </w:rPr>
      <w:t>10</w:t>
    </w:r>
    <w:r w:rsidR="00DB5E2C">
      <w:rPr>
        <w:rFonts w:ascii="Arial" w:hAnsi="Arial" w:hint="cs"/>
        <w:sz w:val="20"/>
        <w:szCs w:val="20"/>
        <w:rtl/>
      </w:rPr>
      <w:t xml:space="preserve"> </w:t>
    </w:r>
    <w:r>
      <w:rPr>
        <w:rFonts w:ascii="Arial" w:hAnsi="Arial" w:hint="cs"/>
        <w:sz w:val="20"/>
        <w:szCs w:val="20"/>
        <w:rtl/>
      </w:rPr>
      <w:t xml:space="preserve">– صفحة </w:t>
    </w:r>
    <w:r w:rsidRPr="00C23A97">
      <w:rPr>
        <w:rStyle w:val="PageNumber"/>
        <w:rFonts w:ascii="Arial" w:hAnsi="Arial" w:cs="Arial" w:hint="cs"/>
        <w:sz w:val="20"/>
        <w:rtl/>
      </w:rPr>
      <w:fldChar w:fldCharType="begin"/>
    </w:r>
    <w:r>
      <w:rPr>
        <w:rtl/>
      </w:rPr>
      <w:instrText xml:space="preserve"> </w:instrText>
    </w:r>
    <w:r w:rsidRPr="00C23A97">
      <w:rPr>
        <w:rStyle w:val="PageNumber"/>
        <w:rFonts w:ascii="Arial" w:hAnsi="Arial" w:cs="Arial" w:hint="cs"/>
        <w:sz w:val="20"/>
      </w:rPr>
      <w:instrText xml:space="preserve">PAGE </w:instrText>
    </w:r>
    <w:r w:rsidRPr="00C23A97">
      <w:rPr>
        <w:rStyle w:val="PageNumber"/>
        <w:rFonts w:ascii="Arial" w:hAnsi="Arial" w:cs="Arial" w:hint="cs"/>
        <w:sz w:val="20"/>
        <w:rtl/>
      </w:rPr>
      <w:fldChar w:fldCharType="separate"/>
    </w:r>
    <w:r w:rsidR="004A78A7">
      <w:rPr>
        <w:rStyle w:val="PageNumber"/>
        <w:rFonts w:ascii="Arial" w:hAnsi="Arial" w:cs="Arial" w:hint="cs"/>
        <w:sz w:val="20"/>
        <w:rtl/>
      </w:rPr>
      <w:t>15</w:t>
    </w:r>
    <w:r w:rsidRPr="00C23A97">
      <w:rPr>
        <w:rStyle w:val="PageNumber"/>
        <w:rFonts w:ascii="Arial" w:hAnsi="Arial" w:cs="Arial" w:hint="cs"/>
        <w:sz w:val="2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4E1D" w14:textId="7B396A7E" w:rsidR="00AE7841" w:rsidRPr="008724E5" w:rsidRDefault="000A1FF3" w:rsidP="00AE7841">
    <w:pPr>
      <w:pStyle w:val="Header"/>
      <w:bidi/>
      <w:rPr>
        <w:rtl/>
      </w:rPr>
    </w:pPr>
    <w:r>
      <w:rPr>
        <w:noProof/>
      </w:rPr>
      <w:drawing>
        <wp:anchor distT="0" distB="0" distL="114300" distR="114300" simplePos="0" relativeHeight="251663872" behindDoc="1" locked="0" layoutInCell="1" allowOverlap="1" wp14:anchorId="5B96EABF" wp14:editId="04C0523E">
          <wp:simplePos x="0" y="0"/>
          <wp:positionH relativeFrom="column">
            <wp:posOffset>4451985</wp:posOffset>
          </wp:positionH>
          <wp:positionV relativeFrom="paragraph">
            <wp:posOffset>33655</wp:posOffset>
          </wp:positionV>
          <wp:extent cx="1659017" cy="1296000"/>
          <wp:effectExtent l="0" t="0" r="0" b="0"/>
          <wp:wrapTight wrapText="bothSides">
            <wp:wrapPolygon edited="0">
              <wp:start x="0" y="0"/>
              <wp:lineTo x="0" y="10165"/>
              <wp:lineTo x="10668" y="10165"/>
              <wp:lineTo x="0" y="11753"/>
              <wp:lineTo x="0" y="21282"/>
              <wp:lineTo x="10668" y="21282"/>
              <wp:lineTo x="16622" y="21282"/>
              <wp:lineTo x="21335" y="20965"/>
              <wp:lineTo x="21335" y="12071"/>
              <wp:lineTo x="10668" y="10165"/>
              <wp:lineTo x="21335" y="10165"/>
              <wp:lineTo x="21335" y="0"/>
              <wp:lineTo x="0" y="0"/>
            </wp:wrapPolygon>
          </wp:wrapTight>
          <wp:docPr id="12" name="Imag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017"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8A7">
      <w:rPr>
        <w:rFonts w:hint="cs"/>
        <w:noProof/>
        <w:rtl/>
      </w:rPr>
      <mc:AlternateContent>
        <mc:Choice Requires="wps">
          <w:drawing>
            <wp:anchor distT="0" distB="0" distL="114300" distR="114300" simplePos="0" relativeHeight="251661824" behindDoc="0" locked="0" layoutInCell="1" allowOverlap="1" wp14:anchorId="4049BCAF" wp14:editId="47D84AA4">
              <wp:simplePos x="0" y="0"/>
              <wp:positionH relativeFrom="column">
                <wp:posOffset>994410</wp:posOffset>
              </wp:positionH>
              <wp:positionV relativeFrom="paragraph">
                <wp:posOffset>114618</wp:posOffset>
              </wp:positionV>
              <wp:extent cx="614362" cy="419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14362" cy="4191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7AE3F" w14:textId="472DCD57" w:rsidR="004A78A7" w:rsidRPr="004A78A7" w:rsidRDefault="004A78A7">
                          <w:pPr>
                            <w:bidi/>
                            <w:rPr>
                              <w:sz w:val="10"/>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49BCAF" id="_x0000_t202" coordsize="21600,21600" o:spt="202" path="m,l,21600r21600,l21600,xe">
              <v:stroke joinstyle="miter"/>
              <v:path gradientshapeok="t" o:connecttype="rect"/>
            </v:shapetype>
            <v:shape id="Text Box 6" o:spid="_x0000_s1028" type="#_x0000_t202" style="position:absolute;left:0;text-align:left;margin-left:78.3pt;margin-top:9.05pt;width:48.35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" fillcolor="white [3212]" stroked="f" strokeweight=".5pt">
              <v:textbox inset="0,0,0,0">
                <w:txbxContent>
                  <w:p w14:paraId="3957AE3F" w14:textId="472DCD57" w:rsidR="004A78A7" w:rsidRPr="004A78A7" w:rsidRDefault="004A78A7">
                    <w:pPr>
                      <w:bidi/>
                      <w:rPr>
                        <w:sz w:val="10"/>
                        <w:rtl/>
                      </w:rPr>
                    </w:pPr>
                  </w:p>
                </w:txbxContent>
              </v:textbox>
            </v:shape>
          </w:pict>
        </mc:Fallback>
      </mc:AlternateContent>
    </w:r>
  </w:p>
  <w:p w14:paraId="3690A094" w14:textId="5D03F0CA" w:rsidR="00AE7841" w:rsidRPr="00D25762" w:rsidRDefault="00683BA0" w:rsidP="00AE7841">
    <w:pPr>
      <w:pStyle w:val="Header"/>
      <w:bidi/>
      <w:spacing w:after="520"/>
      <w:jc w:val="right"/>
      <w:rPr>
        <w:rFonts w:ascii="Arial" w:hAnsi="Arial" w:cs="Arial"/>
        <w:b/>
        <w:sz w:val="44"/>
        <w:szCs w:val="44"/>
        <w:rtl/>
      </w:rPr>
    </w:pPr>
    <w:r>
      <w:rPr>
        <w:rFonts w:ascii="Arial" w:hAnsi="Arial"/>
        <w:b/>
        <w:bCs/>
        <w:sz w:val="44"/>
        <w:szCs w:val="44"/>
      </w:rPr>
      <w:t>‎9 GA</w:t>
    </w:r>
  </w:p>
  <w:p w14:paraId="656D12C6" w14:textId="12C633DC" w:rsidR="00AE7841" w:rsidRPr="00A31A2E" w:rsidRDefault="00AE7841" w:rsidP="00AE7841">
    <w:pPr>
      <w:bidi/>
      <w:jc w:val="right"/>
      <w:rPr>
        <w:rFonts w:ascii="Arial" w:hAnsi="Arial" w:cs="Arial"/>
        <w:b/>
        <w:sz w:val="22"/>
        <w:szCs w:val="22"/>
        <w:rtl/>
      </w:rPr>
    </w:pPr>
    <w:r w:rsidRPr="00A31A2E">
      <w:rPr>
        <w:rFonts w:ascii="Arial" w:hAnsi="Arial"/>
        <w:b/>
        <w:bCs/>
        <w:sz w:val="22"/>
        <w:szCs w:val="22"/>
      </w:rPr>
      <w:t>LHE/22/9.GA/</w:t>
    </w:r>
    <w:r w:rsidR="00D4659C" w:rsidRPr="00A31A2E">
      <w:rPr>
        <w:rFonts w:ascii="Arial" w:hAnsi="Arial"/>
        <w:b/>
        <w:bCs/>
        <w:sz w:val="22"/>
        <w:szCs w:val="22"/>
      </w:rPr>
      <w:t>10</w:t>
    </w:r>
  </w:p>
  <w:p w14:paraId="24761AEF" w14:textId="214D4394" w:rsidR="00AE7841" w:rsidRPr="00D25762" w:rsidRDefault="00AE7841" w:rsidP="00AE7841">
    <w:pPr>
      <w:bidi/>
      <w:jc w:val="right"/>
      <w:rPr>
        <w:rFonts w:ascii="Arial" w:hAnsi="Arial" w:cs="Arial"/>
        <w:b/>
        <w:sz w:val="22"/>
        <w:szCs w:val="22"/>
        <w:rtl/>
      </w:rPr>
    </w:pPr>
    <w:r w:rsidRPr="00A31A2E">
      <w:rPr>
        <w:rFonts w:ascii="Arial" w:hAnsi="Arial" w:hint="cs"/>
        <w:b/>
        <w:bCs/>
        <w:sz w:val="22"/>
        <w:szCs w:val="22"/>
        <w:rtl/>
      </w:rPr>
      <w:t xml:space="preserve">باريس، </w:t>
    </w:r>
    <w:r w:rsidR="00F368F4" w:rsidRPr="00A31A2E">
      <w:rPr>
        <w:rFonts w:ascii="Arial" w:hAnsi="Arial"/>
        <w:b/>
        <w:bCs/>
        <w:sz w:val="22"/>
        <w:szCs w:val="22"/>
      </w:rPr>
      <w:t>10</w:t>
    </w:r>
    <w:r w:rsidR="00A81E3F" w:rsidRPr="00A31A2E">
      <w:rPr>
        <w:rFonts w:ascii="Arial" w:hAnsi="Arial" w:hint="cs"/>
        <w:b/>
        <w:bCs/>
        <w:sz w:val="22"/>
        <w:szCs w:val="22"/>
        <w:rtl/>
      </w:rPr>
      <w:t xml:space="preserve"> </w:t>
    </w:r>
    <w:r w:rsidRPr="00A31A2E">
      <w:rPr>
        <w:rFonts w:ascii="Arial" w:hAnsi="Arial" w:hint="cs"/>
        <w:b/>
        <w:bCs/>
        <w:sz w:val="22"/>
        <w:szCs w:val="22"/>
        <w:rtl/>
      </w:rPr>
      <w:t>حزيران/يونيو 2022</w:t>
    </w:r>
  </w:p>
  <w:p w14:paraId="61F416F8" w14:textId="7B828E7C" w:rsidR="00AE7841" w:rsidRPr="00177BAF" w:rsidRDefault="00AE7841" w:rsidP="00AE7841">
    <w:pPr>
      <w:bidi/>
      <w:jc w:val="right"/>
      <w:rPr>
        <w:rtl/>
      </w:rPr>
    </w:pPr>
    <w:r>
      <w:rPr>
        <w:rFonts w:ascii="Arial" w:hAnsi="Arial" w:hint="cs"/>
        <w:b/>
        <w:bCs/>
        <w:sz w:val="22"/>
        <w:szCs w:val="22"/>
        <w:rtl/>
      </w:rPr>
      <w:t>الأصل: انجليزي</w:t>
    </w:r>
  </w:p>
  <w:p w14:paraId="4367C2D1" w14:textId="77777777" w:rsidR="00AE7841" w:rsidRDefault="00AE7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014AD836"/>
    <w:lvl w:ilvl="0" w:tplc="4A66941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8A404F98"/>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8FB6BE66"/>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50064EE"/>
    <w:multiLevelType w:val="hybridMultilevel"/>
    <w:tmpl w:val="A1248E8A"/>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11"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6563B31"/>
    <w:multiLevelType w:val="hybridMultilevel"/>
    <w:tmpl w:val="0670617A"/>
    <w:lvl w:ilvl="0" w:tplc="D36C7616">
      <w:start w:val="1"/>
      <w:numFmt w:val="decimal"/>
      <w:lvlText w:val="%1."/>
      <w:lvlJc w:val="left"/>
      <w:pPr>
        <w:ind w:left="720" w:hanging="360"/>
      </w:pPr>
      <w:rPr>
        <w:rFonts w:ascii="Arial" w:hAnsi="Arial" w:cs="Arial" w:hint="default"/>
        <w:b w:val="0"/>
        <w:bCs w:val="0"/>
        <w:i w:val="0"/>
        <w:iCs w:val="0"/>
        <w:strike w:val="0"/>
        <w:sz w:val="22"/>
        <w:szCs w:val="22"/>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A57578"/>
    <w:multiLevelType w:val="hybridMultilevel"/>
    <w:tmpl w:val="71647DD4"/>
    <w:lvl w:ilvl="0" w:tplc="C38083E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18"/>
  </w:num>
  <w:num w:numId="5">
    <w:abstractNumId w:val="15"/>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17"/>
  </w:num>
  <w:num w:numId="14">
    <w:abstractNumId w:val="11"/>
  </w:num>
  <w:num w:numId="15">
    <w:abstractNumId w:val="12"/>
  </w:num>
  <w:num w:numId="16">
    <w:abstractNumId w:val="6"/>
  </w:num>
  <w:num w:numId="17">
    <w:abstractNumId w:val="6"/>
  </w:num>
  <w:num w:numId="18">
    <w:abstractNumId w:val="6"/>
  </w:num>
  <w:num w:numId="19">
    <w:abstractNumId w:val="0"/>
  </w:num>
  <w:num w:numId="20">
    <w:abstractNumId w:val="16"/>
  </w:num>
  <w:num w:numId="21">
    <w:abstractNumId w:val="4"/>
  </w:num>
  <w:num w:numId="22">
    <w:abstractNumId w:val="4"/>
  </w:num>
  <w:num w:numId="23">
    <w:abstractNumId w:val="4"/>
  </w:num>
  <w:num w:numId="24">
    <w:abstractNumId w:val="4"/>
  </w:num>
  <w:num w:numId="25">
    <w:abstractNumId w:val="4"/>
  </w:num>
  <w:num w:numId="26">
    <w:abstractNumId w:val="4"/>
  </w:num>
  <w:num w:numId="27">
    <w:abstractNumId w:val="14"/>
  </w:num>
  <w:num w:numId="28">
    <w:abstractNumId w:val="7"/>
  </w:num>
  <w:num w:numId="29">
    <w:abstractNumId w:val="7"/>
  </w:num>
  <w:num w:numId="30">
    <w:abstractNumId w:val="10"/>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66"/>
    <w:rsid w:val="000048ED"/>
    <w:rsid w:val="00005681"/>
    <w:rsid w:val="00012D35"/>
    <w:rsid w:val="000223F1"/>
    <w:rsid w:val="000251F2"/>
    <w:rsid w:val="00027113"/>
    <w:rsid w:val="000409D2"/>
    <w:rsid w:val="00041A66"/>
    <w:rsid w:val="0005176E"/>
    <w:rsid w:val="00063EDA"/>
    <w:rsid w:val="00065514"/>
    <w:rsid w:val="00076202"/>
    <w:rsid w:val="000765F7"/>
    <w:rsid w:val="00077AB7"/>
    <w:rsid w:val="00081CD8"/>
    <w:rsid w:val="0009017C"/>
    <w:rsid w:val="000A1FF3"/>
    <w:rsid w:val="000A3903"/>
    <w:rsid w:val="000A5C5B"/>
    <w:rsid w:val="000A7F0E"/>
    <w:rsid w:val="000B4CE7"/>
    <w:rsid w:val="000B583C"/>
    <w:rsid w:val="000C0D61"/>
    <w:rsid w:val="000C38FE"/>
    <w:rsid w:val="000C3B67"/>
    <w:rsid w:val="000C40F5"/>
    <w:rsid w:val="000D3354"/>
    <w:rsid w:val="000E4EAA"/>
    <w:rsid w:val="000E54B7"/>
    <w:rsid w:val="000F3A3F"/>
    <w:rsid w:val="00102557"/>
    <w:rsid w:val="001115E9"/>
    <w:rsid w:val="00116ABD"/>
    <w:rsid w:val="00120029"/>
    <w:rsid w:val="00124C42"/>
    <w:rsid w:val="001312F5"/>
    <w:rsid w:val="00143312"/>
    <w:rsid w:val="00143C40"/>
    <w:rsid w:val="00154871"/>
    <w:rsid w:val="001578CA"/>
    <w:rsid w:val="00161372"/>
    <w:rsid w:val="00161EC2"/>
    <w:rsid w:val="00164D56"/>
    <w:rsid w:val="0016686C"/>
    <w:rsid w:val="00167B10"/>
    <w:rsid w:val="00170176"/>
    <w:rsid w:val="0017251A"/>
    <w:rsid w:val="0017394E"/>
    <w:rsid w:val="0017402F"/>
    <w:rsid w:val="00176720"/>
    <w:rsid w:val="00177623"/>
    <w:rsid w:val="00177BAF"/>
    <w:rsid w:val="0018136C"/>
    <w:rsid w:val="001846D3"/>
    <w:rsid w:val="001862C6"/>
    <w:rsid w:val="0019067E"/>
    <w:rsid w:val="00191ADC"/>
    <w:rsid w:val="00196C1B"/>
    <w:rsid w:val="00197DE3"/>
    <w:rsid w:val="001B0F73"/>
    <w:rsid w:val="001B6DEC"/>
    <w:rsid w:val="001C39CF"/>
    <w:rsid w:val="001C3CAD"/>
    <w:rsid w:val="001D5C04"/>
    <w:rsid w:val="001E286A"/>
    <w:rsid w:val="00201EE7"/>
    <w:rsid w:val="00210D4A"/>
    <w:rsid w:val="00215123"/>
    <w:rsid w:val="002203B6"/>
    <w:rsid w:val="00222A2D"/>
    <w:rsid w:val="00223029"/>
    <w:rsid w:val="00223669"/>
    <w:rsid w:val="0023181C"/>
    <w:rsid w:val="00234013"/>
    <w:rsid w:val="00234745"/>
    <w:rsid w:val="002407AF"/>
    <w:rsid w:val="002511C9"/>
    <w:rsid w:val="00261ABB"/>
    <w:rsid w:val="0026454C"/>
    <w:rsid w:val="00272930"/>
    <w:rsid w:val="0028108E"/>
    <w:rsid w:val="0028305A"/>
    <w:rsid w:val="00286204"/>
    <w:rsid w:val="00287AAB"/>
    <w:rsid w:val="00293FD2"/>
    <w:rsid w:val="002A789D"/>
    <w:rsid w:val="002C09E3"/>
    <w:rsid w:val="002C12F2"/>
    <w:rsid w:val="002C1E94"/>
    <w:rsid w:val="002C3B4D"/>
    <w:rsid w:val="002C5B4A"/>
    <w:rsid w:val="002C7C59"/>
    <w:rsid w:val="002F1B4B"/>
    <w:rsid w:val="002F312A"/>
    <w:rsid w:val="003142DF"/>
    <w:rsid w:val="00317601"/>
    <w:rsid w:val="00322FC4"/>
    <w:rsid w:val="003265D0"/>
    <w:rsid w:val="003412EC"/>
    <w:rsid w:val="00345CB4"/>
    <w:rsid w:val="00347210"/>
    <w:rsid w:val="00353212"/>
    <w:rsid w:val="003549B8"/>
    <w:rsid w:val="00360179"/>
    <w:rsid w:val="003612C6"/>
    <w:rsid w:val="003612E4"/>
    <w:rsid w:val="003627CF"/>
    <w:rsid w:val="00365731"/>
    <w:rsid w:val="00365A89"/>
    <w:rsid w:val="00370C26"/>
    <w:rsid w:val="00371BE6"/>
    <w:rsid w:val="0038249E"/>
    <w:rsid w:val="003831E5"/>
    <w:rsid w:val="00386714"/>
    <w:rsid w:val="003A4D38"/>
    <w:rsid w:val="003D069C"/>
    <w:rsid w:val="003D3D46"/>
    <w:rsid w:val="003D7646"/>
    <w:rsid w:val="003E3F88"/>
    <w:rsid w:val="003E6F13"/>
    <w:rsid w:val="003F113A"/>
    <w:rsid w:val="00401DB7"/>
    <w:rsid w:val="004038A0"/>
    <w:rsid w:val="0040744B"/>
    <w:rsid w:val="00414643"/>
    <w:rsid w:val="00417BA0"/>
    <w:rsid w:val="00422B52"/>
    <w:rsid w:val="004421E5"/>
    <w:rsid w:val="00447095"/>
    <w:rsid w:val="00452284"/>
    <w:rsid w:val="00456324"/>
    <w:rsid w:val="00457336"/>
    <w:rsid w:val="00472035"/>
    <w:rsid w:val="00473021"/>
    <w:rsid w:val="004773DF"/>
    <w:rsid w:val="00477A63"/>
    <w:rsid w:val="00480C84"/>
    <w:rsid w:val="004856CA"/>
    <w:rsid w:val="00485F75"/>
    <w:rsid w:val="00486F0C"/>
    <w:rsid w:val="00493D72"/>
    <w:rsid w:val="00494B68"/>
    <w:rsid w:val="004951DE"/>
    <w:rsid w:val="00495E54"/>
    <w:rsid w:val="0049705E"/>
    <w:rsid w:val="00497AB6"/>
    <w:rsid w:val="004A07D4"/>
    <w:rsid w:val="004A34A0"/>
    <w:rsid w:val="004A78A7"/>
    <w:rsid w:val="004B2A0E"/>
    <w:rsid w:val="004B64E8"/>
    <w:rsid w:val="004C3CA9"/>
    <w:rsid w:val="004D0007"/>
    <w:rsid w:val="004E6180"/>
    <w:rsid w:val="004F5599"/>
    <w:rsid w:val="00502D44"/>
    <w:rsid w:val="005076B6"/>
    <w:rsid w:val="005105C0"/>
    <w:rsid w:val="0051696F"/>
    <w:rsid w:val="00526B7B"/>
    <w:rsid w:val="005308CE"/>
    <w:rsid w:val="00540FE0"/>
    <w:rsid w:val="00551777"/>
    <w:rsid w:val="00556F36"/>
    <w:rsid w:val="005668EF"/>
    <w:rsid w:val="0057439C"/>
    <w:rsid w:val="00576748"/>
    <w:rsid w:val="0058266C"/>
    <w:rsid w:val="005B0127"/>
    <w:rsid w:val="005B7A35"/>
    <w:rsid w:val="005C0A97"/>
    <w:rsid w:val="005C4B73"/>
    <w:rsid w:val="005E1D2B"/>
    <w:rsid w:val="005E5C0E"/>
    <w:rsid w:val="005E6239"/>
    <w:rsid w:val="005F3026"/>
    <w:rsid w:val="00600D93"/>
    <w:rsid w:val="00601665"/>
    <w:rsid w:val="006030AB"/>
    <w:rsid w:val="00605182"/>
    <w:rsid w:val="006175DD"/>
    <w:rsid w:val="006203CD"/>
    <w:rsid w:val="0063251B"/>
    <w:rsid w:val="00632B46"/>
    <w:rsid w:val="0063300C"/>
    <w:rsid w:val="00637D32"/>
    <w:rsid w:val="006421D7"/>
    <w:rsid w:val="00647003"/>
    <w:rsid w:val="00654A10"/>
    <w:rsid w:val="00655736"/>
    <w:rsid w:val="00661B32"/>
    <w:rsid w:val="00663B8D"/>
    <w:rsid w:val="00667EF2"/>
    <w:rsid w:val="006772FC"/>
    <w:rsid w:val="006811BB"/>
    <w:rsid w:val="00683BA0"/>
    <w:rsid w:val="006846FB"/>
    <w:rsid w:val="00686F09"/>
    <w:rsid w:val="00687075"/>
    <w:rsid w:val="006878AB"/>
    <w:rsid w:val="00691388"/>
    <w:rsid w:val="00693FA7"/>
    <w:rsid w:val="0069593F"/>
    <w:rsid w:val="00695967"/>
    <w:rsid w:val="00695F92"/>
    <w:rsid w:val="00696C8D"/>
    <w:rsid w:val="006A178F"/>
    <w:rsid w:val="006A2AC2"/>
    <w:rsid w:val="006A3617"/>
    <w:rsid w:val="006B55AD"/>
    <w:rsid w:val="006B668D"/>
    <w:rsid w:val="006C0F2F"/>
    <w:rsid w:val="006C7C85"/>
    <w:rsid w:val="006C7D45"/>
    <w:rsid w:val="006D10B7"/>
    <w:rsid w:val="006D3430"/>
    <w:rsid w:val="006E32D7"/>
    <w:rsid w:val="006E46E4"/>
    <w:rsid w:val="006F157A"/>
    <w:rsid w:val="006F15DB"/>
    <w:rsid w:val="006F41B4"/>
    <w:rsid w:val="006F6468"/>
    <w:rsid w:val="006F6BDA"/>
    <w:rsid w:val="006F74CC"/>
    <w:rsid w:val="00703FBF"/>
    <w:rsid w:val="00706D6F"/>
    <w:rsid w:val="00715103"/>
    <w:rsid w:val="007153F5"/>
    <w:rsid w:val="0071673E"/>
    <w:rsid w:val="00717DA5"/>
    <w:rsid w:val="0073291C"/>
    <w:rsid w:val="00733930"/>
    <w:rsid w:val="00744484"/>
    <w:rsid w:val="00755673"/>
    <w:rsid w:val="00763A0D"/>
    <w:rsid w:val="007670BA"/>
    <w:rsid w:val="00773188"/>
    <w:rsid w:val="00776371"/>
    <w:rsid w:val="00776630"/>
    <w:rsid w:val="00781B73"/>
    <w:rsid w:val="00783782"/>
    <w:rsid w:val="00784B8C"/>
    <w:rsid w:val="007969D9"/>
    <w:rsid w:val="007A0044"/>
    <w:rsid w:val="007A49A8"/>
    <w:rsid w:val="007A4A57"/>
    <w:rsid w:val="007B57EA"/>
    <w:rsid w:val="007D23E8"/>
    <w:rsid w:val="007D2DD7"/>
    <w:rsid w:val="007D3F9A"/>
    <w:rsid w:val="007D77CD"/>
    <w:rsid w:val="007F3FAA"/>
    <w:rsid w:val="007F61B4"/>
    <w:rsid w:val="00810A9E"/>
    <w:rsid w:val="00811B4F"/>
    <w:rsid w:val="00817BD5"/>
    <w:rsid w:val="00823A11"/>
    <w:rsid w:val="00824818"/>
    <w:rsid w:val="00832C7A"/>
    <w:rsid w:val="00835799"/>
    <w:rsid w:val="008378C3"/>
    <w:rsid w:val="0084137D"/>
    <w:rsid w:val="00852866"/>
    <w:rsid w:val="00853D04"/>
    <w:rsid w:val="0085414A"/>
    <w:rsid w:val="008552C7"/>
    <w:rsid w:val="008605CD"/>
    <w:rsid w:val="0086269D"/>
    <w:rsid w:val="0086543A"/>
    <w:rsid w:val="008724E5"/>
    <w:rsid w:val="00884A9D"/>
    <w:rsid w:val="0088512B"/>
    <w:rsid w:val="00892E0F"/>
    <w:rsid w:val="008948AA"/>
    <w:rsid w:val="00897718"/>
    <w:rsid w:val="008A1ED4"/>
    <w:rsid w:val="008A2B2D"/>
    <w:rsid w:val="008A4E1E"/>
    <w:rsid w:val="008B1330"/>
    <w:rsid w:val="008C13D1"/>
    <w:rsid w:val="008C296C"/>
    <w:rsid w:val="008D4305"/>
    <w:rsid w:val="008D7A34"/>
    <w:rsid w:val="008E1254"/>
    <w:rsid w:val="008E2011"/>
    <w:rsid w:val="008E3563"/>
    <w:rsid w:val="00901957"/>
    <w:rsid w:val="00902877"/>
    <w:rsid w:val="009046E5"/>
    <w:rsid w:val="00915C89"/>
    <w:rsid w:val="009163A7"/>
    <w:rsid w:val="009167C9"/>
    <w:rsid w:val="009177BF"/>
    <w:rsid w:val="00922B14"/>
    <w:rsid w:val="009238B6"/>
    <w:rsid w:val="00925243"/>
    <w:rsid w:val="009328F9"/>
    <w:rsid w:val="009342EA"/>
    <w:rsid w:val="00935E6A"/>
    <w:rsid w:val="00946D0B"/>
    <w:rsid w:val="009618F7"/>
    <w:rsid w:val="009755B2"/>
    <w:rsid w:val="009845BE"/>
    <w:rsid w:val="00995AE1"/>
    <w:rsid w:val="009A18CD"/>
    <w:rsid w:val="009A62A2"/>
    <w:rsid w:val="009A6991"/>
    <w:rsid w:val="009B6DA5"/>
    <w:rsid w:val="009C60BA"/>
    <w:rsid w:val="009C6BA5"/>
    <w:rsid w:val="009D0788"/>
    <w:rsid w:val="009E78E8"/>
    <w:rsid w:val="00A00513"/>
    <w:rsid w:val="00A05004"/>
    <w:rsid w:val="00A12558"/>
    <w:rsid w:val="00A13903"/>
    <w:rsid w:val="00A25ABF"/>
    <w:rsid w:val="00A25ADB"/>
    <w:rsid w:val="00A27F27"/>
    <w:rsid w:val="00A31A2E"/>
    <w:rsid w:val="00A34ED5"/>
    <w:rsid w:val="00A45DBF"/>
    <w:rsid w:val="00A46240"/>
    <w:rsid w:val="00A57AB4"/>
    <w:rsid w:val="00A6381E"/>
    <w:rsid w:val="00A645DF"/>
    <w:rsid w:val="00A65C29"/>
    <w:rsid w:val="00A670D0"/>
    <w:rsid w:val="00A720FF"/>
    <w:rsid w:val="00A755A2"/>
    <w:rsid w:val="00A75CC0"/>
    <w:rsid w:val="00A7797C"/>
    <w:rsid w:val="00A77CB5"/>
    <w:rsid w:val="00A80CD0"/>
    <w:rsid w:val="00A81E3F"/>
    <w:rsid w:val="00A82123"/>
    <w:rsid w:val="00A82E3B"/>
    <w:rsid w:val="00A8335A"/>
    <w:rsid w:val="00A84375"/>
    <w:rsid w:val="00A870A7"/>
    <w:rsid w:val="00A9502D"/>
    <w:rsid w:val="00A96A2B"/>
    <w:rsid w:val="00AA0547"/>
    <w:rsid w:val="00AA31A7"/>
    <w:rsid w:val="00AA3DDB"/>
    <w:rsid w:val="00AA6660"/>
    <w:rsid w:val="00AB2C36"/>
    <w:rsid w:val="00AB2DF5"/>
    <w:rsid w:val="00AB4B28"/>
    <w:rsid w:val="00AB70B6"/>
    <w:rsid w:val="00AC2885"/>
    <w:rsid w:val="00AC69EF"/>
    <w:rsid w:val="00AD1A86"/>
    <w:rsid w:val="00AD5000"/>
    <w:rsid w:val="00AE103E"/>
    <w:rsid w:val="00AE7841"/>
    <w:rsid w:val="00AF0A07"/>
    <w:rsid w:val="00AF131C"/>
    <w:rsid w:val="00AF4AEC"/>
    <w:rsid w:val="00AF625E"/>
    <w:rsid w:val="00AF6D4A"/>
    <w:rsid w:val="00B056E2"/>
    <w:rsid w:val="00B0651F"/>
    <w:rsid w:val="00B0681D"/>
    <w:rsid w:val="00B07E6E"/>
    <w:rsid w:val="00B209FF"/>
    <w:rsid w:val="00B27269"/>
    <w:rsid w:val="00B273CA"/>
    <w:rsid w:val="00B30564"/>
    <w:rsid w:val="00B31E41"/>
    <w:rsid w:val="00B34498"/>
    <w:rsid w:val="00B40C8B"/>
    <w:rsid w:val="00B41C36"/>
    <w:rsid w:val="00B61D62"/>
    <w:rsid w:val="00B67B3E"/>
    <w:rsid w:val="00B82CE1"/>
    <w:rsid w:val="00B83D8C"/>
    <w:rsid w:val="00B9344B"/>
    <w:rsid w:val="00B96B09"/>
    <w:rsid w:val="00BB04AF"/>
    <w:rsid w:val="00BB0BB8"/>
    <w:rsid w:val="00BC151F"/>
    <w:rsid w:val="00BD12EE"/>
    <w:rsid w:val="00BD458B"/>
    <w:rsid w:val="00BD52C9"/>
    <w:rsid w:val="00BE6354"/>
    <w:rsid w:val="00BF7820"/>
    <w:rsid w:val="00C015F9"/>
    <w:rsid w:val="00C05CD8"/>
    <w:rsid w:val="00C07B39"/>
    <w:rsid w:val="00C137A9"/>
    <w:rsid w:val="00C14305"/>
    <w:rsid w:val="00C23A97"/>
    <w:rsid w:val="00C326F4"/>
    <w:rsid w:val="00C42C66"/>
    <w:rsid w:val="00C56680"/>
    <w:rsid w:val="00C64C2C"/>
    <w:rsid w:val="00C70EA7"/>
    <w:rsid w:val="00C7516E"/>
    <w:rsid w:val="00C75770"/>
    <w:rsid w:val="00C87124"/>
    <w:rsid w:val="00C9112B"/>
    <w:rsid w:val="00C92EB8"/>
    <w:rsid w:val="00C93796"/>
    <w:rsid w:val="00CA6400"/>
    <w:rsid w:val="00CB381E"/>
    <w:rsid w:val="00CB647D"/>
    <w:rsid w:val="00CC229F"/>
    <w:rsid w:val="00CC28E7"/>
    <w:rsid w:val="00CC406B"/>
    <w:rsid w:val="00CE49EF"/>
    <w:rsid w:val="00CE5160"/>
    <w:rsid w:val="00CE6672"/>
    <w:rsid w:val="00CF650F"/>
    <w:rsid w:val="00D0090C"/>
    <w:rsid w:val="00D00B2B"/>
    <w:rsid w:val="00D1599C"/>
    <w:rsid w:val="00D178D9"/>
    <w:rsid w:val="00D179C3"/>
    <w:rsid w:val="00D20486"/>
    <w:rsid w:val="00D20FFE"/>
    <w:rsid w:val="00D24877"/>
    <w:rsid w:val="00D25762"/>
    <w:rsid w:val="00D30FA6"/>
    <w:rsid w:val="00D31F41"/>
    <w:rsid w:val="00D3752B"/>
    <w:rsid w:val="00D4659C"/>
    <w:rsid w:val="00D46FD9"/>
    <w:rsid w:val="00D5624C"/>
    <w:rsid w:val="00D7442F"/>
    <w:rsid w:val="00D74F01"/>
    <w:rsid w:val="00D806AB"/>
    <w:rsid w:val="00D83AF2"/>
    <w:rsid w:val="00D8630A"/>
    <w:rsid w:val="00D906C0"/>
    <w:rsid w:val="00D91487"/>
    <w:rsid w:val="00D91500"/>
    <w:rsid w:val="00D95C4C"/>
    <w:rsid w:val="00DA2588"/>
    <w:rsid w:val="00DA36ED"/>
    <w:rsid w:val="00DA4BAE"/>
    <w:rsid w:val="00DA52E0"/>
    <w:rsid w:val="00DA77EF"/>
    <w:rsid w:val="00DB0555"/>
    <w:rsid w:val="00DB5E2C"/>
    <w:rsid w:val="00DC321A"/>
    <w:rsid w:val="00DC5132"/>
    <w:rsid w:val="00DE0BFB"/>
    <w:rsid w:val="00DE2771"/>
    <w:rsid w:val="00DE34F1"/>
    <w:rsid w:val="00DF4942"/>
    <w:rsid w:val="00DF6C8E"/>
    <w:rsid w:val="00DF74A1"/>
    <w:rsid w:val="00E014C2"/>
    <w:rsid w:val="00E04652"/>
    <w:rsid w:val="00E22116"/>
    <w:rsid w:val="00E24274"/>
    <w:rsid w:val="00E316A4"/>
    <w:rsid w:val="00E33428"/>
    <w:rsid w:val="00E35BCB"/>
    <w:rsid w:val="00E3618B"/>
    <w:rsid w:val="00E627B1"/>
    <w:rsid w:val="00E7528A"/>
    <w:rsid w:val="00E83191"/>
    <w:rsid w:val="00E86352"/>
    <w:rsid w:val="00E90022"/>
    <w:rsid w:val="00E906CD"/>
    <w:rsid w:val="00E919DD"/>
    <w:rsid w:val="00E92B9F"/>
    <w:rsid w:val="00E9376C"/>
    <w:rsid w:val="00E96CD9"/>
    <w:rsid w:val="00EA11B8"/>
    <w:rsid w:val="00EA258B"/>
    <w:rsid w:val="00EA335E"/>
    <w:rsid w:val="00EA528C"/>
    <w:rsid w:val="00EB1CA5"/>
    <w:rsid w:val="00EB5499"/>
    <w:rsid w:val="00ED1BE6"/>
    <w:rsid w:val="00ED2085"/>
    <w:rsid w:val="00EE02D8"/>
    <w:rsid w:val="00EE1D10"/>
    <w:rsid w:val="00EE4D58"/>
    <w:rsid w:val="00EF19A6"/>
    <w:rsid w:val="00EF1A00"/>
    <w:rsid w:val="00EF34E2"/>
    <w:rsid w:val="00EF47AF"/>
    <w:rsid w:val="00EF4F1F"/>
    <w:rsid w:val="00EF69E3"/>
    <w:rsid w:val="00F000AD"/>
    <w:rsid w:val="00F010E0"/>
    <w:rsid w:val="00F10B82"/>
    <w:rsid w:val="00F14112"/>
    <w:rsid w:val="00F15250"/>
    <w:rsid w:val="00F24490"/>
    <w:rsid w:val="00F368F4"/>
    <w:rsid w:val="00F37A31"/>
    <w:rsid w:val="00F46262"/>
    <w:rsid w:val="00F47297"/>
    <w:rsid w:val="00F53DE9"/>
    <w:rsid w:val="00F576CB"/>
    <w:rsid w:val="00F71A02"/>
    <w:rsid w:val="00F80F57"/>
    <w:rsid w:val="00FA770D"/>
    <w:rsid w:val="00FA7DF0"/>
    <w:rsid w:val="00FB63EB"/>
    <w:rsid w:val="00FB6630"/>
    <w:rsid w:val="00FC1541"/>
    <w:rsid w:val="00FC6764"/>
    <w:rsid w:val="00FD1226"/>
    <w:rsid w:val="00FF4830"/>
    <w:rsid w:val="00FF5DE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AA34B"/>
  <w15:docId w15:val="{BBC89294-3D9E-416F-92FE-40936C93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AE"/>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uiPriority w:val="59"/>
    <w:rsid w:val="00191ADC"/>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421D7"/>
    <w:rPr>
      <w:color w:val="0000FF"/>
      <w:u w:val="single"/>
    </w:rPr>
  </w:style>
  <w:style w:type="paragraph" w:customStyle="1" w:styleId="COMPara">
    <w:name w:val="COM Para"/>
    <w:qFormat/>
    <w:rsid w:val="006421D7"/>
    <w:pPr>
      <w:spacing w:after="120"/>
      <w:ind w:left="720" w:hanging="360"/>
    </w:pPr>
    <w:rPr>
      <w:rFonts w:ascii="Arial" w:eastAsia="Times New Roman" w:hAnsi="Arial" w:cs="Arial"/>
      <w:snapToGrid w:val="0"/>
      <w:sz w:val="22"/>
      <w:szCs w:val="22"/>
      <w:lang w:eastAsia="en-US"/>
    </w:rPr>
  </w:style>
  <w:style w:type="character" w:customStyle="1" w:styleId="UnresolvedMention1">
    <w:name w:val="Unresolved Mention1"/>
    <w:basedOn w:val="DefaultParagraphFont"/>
    <w:uiPriority w:val="99"/>
    <w:semiHidden/>
    <w:unhideWhenUsed/>
    <w:rsid w:val="006421D7"/>
    <w:rPr>
      <w:color w:val="605E5C"/>
      <w:shd w:val="clear" w:color="auto" w:fill="E1DFDD"/>
    </w:rPr>
  </w:style>
  <w:style w:type="character" w:styleId="CommentReference">
    <w:name w:val="annotation reference"/>
    <w:basedOn w:val="DefaultParagraphFont"/>
    <w:uiPriority w:val="99"/>
    <w:semiHidden/>
    <w:unhideWhenUsed/>
    <w:rsid w:val="00223669"/>
    <w:rPr>
      <w:sz w:val="16"/>
      <w:szCs w:val="16"/>
    </w:rPr>
  </w:style>
  <w:style w:type="paragraph" w:styleId="CommentText">
    <w:name w:val="annotation text"/>
    <w:basedOn w:val="Normal"/>
    <w:link w:val="CommentTextChar"/>
    <w:uiPriority w:val="99"/>
    <w:unhideWhenUsed/>
    <w:rsid w:val="00223669"/>
    <w:rPr>
      <w:sz w:val="20"/>
      <w:szCs w:val="20"/>
    </w:rPr>
  </w:style>
  <w:style w:type="character" w:customStyle="1" w:styleId="CommentTextChar">
    <w:name w:val="Comment Text Char"/>
    <w:basedOn w:val="DefaultParagraphFont"/>
    <w:link w:val="CommentText"/>
    <w:uiPriority w:val="99"/>
    <w:rsid w:val="00223669"/>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223669"/>
    <w:rPr>
      <w:b/>
      <w:bCs/>
    </w:rPr>
  </w:style>
  <w:style w:type="character" w:customStyle="1" w:styleId="CommentSubjectChar">
    <w:name w:val="Comment Subject Char"/>
    <w:basedOn w:val="CommentTextChar"/>
    <w:link w:val="CommentSubject"/>
    <w:uiPriority w:val="99"/>
    <w:semiHidden/>
    <w:rsid w:val="00223669"/>
    <w:rPr>
      <w:rFonts w:ascii="Times New Roman" w:eastAsia="Times New Roman" w:hAnsi="Times New Roman"/>
      <w:b/>
      <w:bCs/>
      <w:lang w:val="fr-FR" w:eastAsia="fr-FR"/>
    </w:rPr>
  </w:style>
  <w:style w:type="paragraph" w:styleId="FootnoteText">
    <w:name w:val="footnote text"/>
    <w:basedOn w:val="Normal"/>
    <w:link w:val="FootnoteTextChar"/>
    <w:uiPriority w:val="99"/>
    <w:unhideWhenUsed/>
    <w:rsid w:val="00B30564"/>
    <w:rPr>
      <w:sz w:val="20"/>
      <w:szCs w:val="20"/>
    </w:rPr>
  </w:style>
  <w:style w:type="character" w:customStyle="1" w:styleId="FootnoteTextChar">
    <w:name w:val="Footnote Text Char"/>
    <w:basedOn w:val="DefaultParagraphFont"/>
    <w:link w:val="FootnoteText"/>
    <w:uiPriority w:val="99"/>
    <w:rsid w:val="00B30564"/>
    <w:rPr>
      <w:rFonts w:ascii="Times New Roman" w:eastAsia="Times New Roman" w:hAnsi="Times New Roman"/>
      <w:lang w:val="fr-FR" w:eastAsia="fr-FR"/>
    </w:rPr>
  </w:style>
  <w:style w:type="character" w:styleId="FootnoteReference">
    <w:name w:val="footnote reference"/>
    <w:uiPriority w:val="99"/>
    <w:unhideWhenUsed/>
    <w:rsid w:val="00B30564"/>
    <w:rPr>
      <w:vertAlign w:val="superscript"/>
    </w:rPr>
  </w:style>
  <w:style w:type="paragraph" w:styleId="EndnoteText">
    <w:name w:val="endnote text"/>
    <w:basedOn w:val="Normal"/>
    <w:link w:val="EndnoteTextChar"/>
    <w:uiPriority w:val="99"/>
    <w:semiHidden/>
    <w:unhideWhenUsed/>
    <w:rsid w:val="00BC151F"/>
    <w:rPr>
      <w:sz w:val="20"/>
      <w:szCs w:val="20"/>
    </w:rPr>
  </w:style>
  <w:style w:type="character" w:customStyle="1" w:styleId="EndnoteTextChar">
    <w:name w:val="Endnote Text Char"/>
    <w:basedOn w:val="DefaultParagraphFont"/>
    <w:link w:val="EndnoteText"/>
    <w:uiPriority w:val="99"/>
    <w:semiHidden/>
    <w:rsid w:val="00BC151F"/>
    <w:rPr>
      <w:rFonts w:ascii="Times New Roman" w:eastAsia="Times New Roman" w:hAnsi="Times New Roman"/>
      <w:lang w:val="fr-FR" w:eastAsia="fr-FR"/>
    </w:rPr>
  </w:style>
  <w:style w:type="character" w:styleId="EndnoteReference">
    <w:name w:val="endnote reference"/>
    <w:basedOn w:val="DefaultParagraphFont"/>
    <w:uiPriority w:val="99"/>
    <w:semiHidden/>
    <w:unhideWhenUsed/>
    <w:rsid w:val="00BC151F"/>
    <w:rPr>
      <w:vertAlign w:val="superscript"/>
    </w:rPr>
  </w:style>
  <w:style w:type="character" w:customStyle="1" w:styleId="hps">
    <w:name w:val="hps"/>
    <w:rsid w:val="004038A0"/>
  </w:style>
  <w:style w:type="character" w:styleId="FollowedHyperlink">
    <w:name w:val="FollowedHyperlink"/>
    <w:basedOn w:val="DefaultParagraphFont"/>
    <w:uiPriority w:val="99"/>
    <w:semiHidden/>
    <w:unhideWhenUsed/>
    <w:rsid w:val="004038A0"/>
    <w:rPr>
      <w:color w:val="954F72" w:themeColor="followedHyperlink"/>
      <w:u w:val="single"/>
    </w:rPr>
  </w:style>
  <w:style w:type="paragraph" w:customStyle="1" w:styleId="1GAPara">
    <w:name w:val="1. GA Para"/>
    <w:qFormat/>
    <w:rsid w:val="00A75CC0"/>
    <w:pPr>
      <w:spacing w:after="120"/>
      <w:ind w:left="567" w:hanging="567"/>
    </w:pPr>
    <w:rPr>
      <w:rFonts w:ascii="Arial" w:eastAsia="Times New Roman" w:hAnsi="Arial" w:cs="Arial"/>
      <w:snapToGrid w:val="0"/>
      <w:sz w:val="22"/>
      <w:szCs w:val="22"/>
      <w:lang w:eastAsia="en-US"/>
    </w:rPr>
  </w:style>
  <w:style w:type="paragraph" w:styleId="Revision">
    <w:name w:val="Revision"/>
    <w:hidden/>
    <w:uiPriority w:val="99"/>
    <w:semiHidden/>
    <w:rsid w:val="006203CD"/>
    <w:rPr>
      <w:rFonts w:ascii="Times New Roman" w:eastAsia="Times New Roman" w:hAnsi="Times New Roman"/>
      <w:sz w:val="24"/>
      <w:szCs w:val="24"/>
      <w:lang w:val="fr-FR" w:eastAsia="fr-FR"/>
    </w:rPr>
  </w:style>
  <w:style w:type="character" w:customStyle="1" w:styleId="q4iawc">
    <w:name w:val="q4iawc"/>
    <w:basedOn w:val="DefaultParagraphFont"/>
    <w:rsid w:val="003412EC"/>
  </w:style>
  <w:style w:type="character" w:styleId="UnresolvedMention">
    <w:name w:val="Unresolved Mention"/>
    <w:basedOn w:val="DefaultParagraphFont"/>
    <w:uiPriority w:val="99"/>
    <w:semiHidden/>
    <w:unhideWhenUsed/>
    <w:rsid w:val="006A1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465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31108719">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91780920">
      <w:bodyDiv w:val="1"/>
      <w:marLeft w:val="0"/>
      <w:marRight w:val="0"/>
      <w:marTop w:val="0"/>
      <w:marBottom w:val="0"/>
      <w:divBdr>
        <w:top w:val="none" w:sz="0" w:space="0" w:color="auto"/>
        <w:left w:val="none" w:sz="0" w:space="0" w:color="auto"/>
        <w:bottom w:val="none" w:sz="0" w:space="0" w:color="auto"/>
        <w:right w:val="none" w:sz="0" w:space="0" w:color="auto"/>
      </w:divBdr>
    </w:div>
    <w:div w:id="115017232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47163931">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Decisions/16.COM/12" TargetMode="External"/><Relationship Id="rId18" Type="http://schemas.openxmlformats.org/officeDocument/2006/relationships/image" Target="media/image1.png"/><Relationship Id="rId26" Type="http://schemas.openxmlformats.org/officeDocument/2006/relationships/hyperlink" Target="https://ich.unesco.org/en/Decisions/8.GA/7" TargetMode="External"/><Relationship Id="rId39" Type="http://schemas.openxmlformats.org/officeDocument/2006/relationships/hyperlink" Target="https://ich.unesco.org/en/Decisions/12.COM/6" TargetMode="External"/><Relationship Id="rId21" Type="http://schemas.openxmlformats.org/officeDocument/2006/relationships/hyperlink" Target="https://ich.unesco.org/doc/src/LHE-20-8.GA-7_Rev.-EN.docx" TargetMode="External"/><Relationship Id="rId34" Type="http://schemas.openxmlformats.org/officeDocument/2006/relationships/hyperlink" Target="https://ich.unesco.org/doc/src/LHE-22-9.GA-9-AR.docx" TargetMode="External"/><Relationship Id="rId42" Type="http://schemas.openxmlformats.org/officeDocument/2006/relationships/hyperlink" Target="https://ich.unesco.org/en/living-heritage-experiences-and-the-covid-19-pandemic-01123" TargetMode="External"/><Relationship Id="rId47" Type="http://schemas.openxmlformats.org/officeDocument/2006/relationships/hyperlink" Target="https://ich.unesco.org/en/Decisions/8.GA/7" TargetMode="External"/><Relationship Id="rId50" Type="http://schemas.openxmlformats.org/officeDocument/2006/relationships/hyperlink" Target="https://ich.unesco.org/en/Decisions/10.COM/8"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en/Decisions/12.COM/6" TargetMode="External"/><Relationship Id="rId17" Type="http://schemas.openxmlformats.org/officeDocument/2006/relationships/hyperlink" Target="https://ich.unesco.org/doc/src/LHE-22-9.GA-INF.10-EN.docx" TargetMode="External"/><Relationship Id="rId25" Type="http://schemas.openxmlformats.org/officeDocument/2006/relationships/hyperlink" Target="https://ich.unesco.org/en/Decisions/12.COM/6" TargetMode="External"/><Relationship Id="rId33" Type="http://schemas.openxmlformats.org/officeDocument/2006/relationships/hyperlink" Target="https://ich.unesco.org/en/Decisions/16.COM/14" TargetMode="External"/><Relationship Id="rId38" Type="http://schemas.openxmlformats.org/officeDocument/2006/relationships/hyperlink" Target="https://unesdoc.unesco.org/ark:/48223/pf0000380399/PDF/380399eng.pdf.multi" TargetMode="External"/><Relationship Id="rId46" Type="http://schemas.openxmlformats.org/officeDocument/2006/relationships/hyperlink" Target="https://ich.unesco.org/en/Decisions/16.COM/13" TargetMode="External"/><Relationship Id="rId2" Type="http://schemas.openxmlformats.org/officeDocument/2006/relationships/numbering" Target="numbering.xml"/><Relationship Id="rId16" Type="http://schemas.openxmlformats.org/officeDocument/2006/relationships/hyperlink" Target="https://ich.unesco.org/doc/src/LHE-21-16.COM-7.d-EN.docx" TargetMode="External"/><Relationship Id="rId20" Type="http://schemas.openxmlformats.org/officeDocument/2006/relationships/hyperlink" Target="https://ich.unesco.org/doc/src/55755.pdf" TargetMode="External"/><Relationship Id="rId29" Type="http://schemas.openxmlformats.org/officeDocument/2006/relationships/hyperlink" Target="https://ich.unesco.org/en/Decisions/12.COM/6" TargetMode="External"/><Relationship Id="rId41" Type="http://schemas.openxmlformats.org/officeDocument/2006/relationships/hyperlink" Target="https://ich.unesco.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8.GA/7" TargetMode="External"/><Relationship Id="rId24" Type="http://schemas.openxmlformats.org/officeDocument/2006/relationships/hyperlink" Target="https://ich.unesco.org/en/Resolutions/3.GA/9" TargetMode="External"/><Relationship Id="rId32" Type="http://schemas.openxmlformats.org/officeDocument/2006/relationships/hyperlink" Target="https://ich.unesco.org/en/Decisions/12.COM/6" TargetMode="External"/><Relationship Id="rId37" Type="http://schemas.openxmlformats.org/officeDocument/2006/relationships/hyperlink" Target="https://unesdoc.unesco.org/ark:/48223/pf0000380868/PDF/380868eng.pdf.multi" TargetMode="External"/><Relationship Id="rId40" Type="http://schemas.openxmlformats.org/officeDocument/2006/relationships/hyperlink" Target="https://ich.unesco.org/en/d%C3%A9cisions/16.COM/13" TargetMode="External"/><Relationship Id="rId45" Type="http://schemas.openxmlformats.org/officeDocument/2006/relationships/hyperlink" Target="https://ich.unesco.org/en/Decisions/8.GA/7"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doc/src/LHE-21-16.COM-13-EN.docx" TargetMode="External"/><Relationship Id="rId23" Type="http://schemas.openxmlformats.org/officeDocument/2006/relationships/hyperlink" Target="https://ich.unesco.org/en/Decisions/12.COM/6" TargetMode="External"/><Relationship Id="rId28" Type="http://schemas.openxmlformats.org/officeDocument/2006/relationships/hyperlink" Target="https://ich.unesco.org/doc/src/LHE-22-9.GA-9-AR.docx" TargetMode="External"/><Relationship Id="rId36" Type="http://schemas.openxmlformats.org/officeDocument/2006/relationships/hyperlink" Target="https://ich.unesco.org/en/Decisions/14.COM/7" TargetMode="External"/><Relationship Id="rId49" Type="http://schemas.openxmlformats.org/officeDocument/2006/relationships/hyperlink" Target="https://unesdoc.unesco.org/ark:/48223/pf0000380399/PDF/380399eng.pdf.multi" TargetMode="External"/><Relationship Id="rId10" Type="http://schemas.openxmlformats.org/officeDocument/2006/relationships/hyperlink" Target="https://ich.unesco.org/doc/src/LHE-22-9.GA-INF.10-EN.docx" TargetMode="External"/><Relationship Id="rId19" Type="http://schemas.openxmlformats.org/officeDocument/2006/relationships/image" Target="media/image2.png"/><Relationship Id="rId31" Type="http://schemas.openxmlformats.org/officeDocument/2006/relationships/hyperlink" Target="https://ich.unesco.org/doc/src/LHE-21-16.COM_WG-Recommandations_EN.docx" TargetMode="External"/><Relationship Id="rId44" Type="http://schemas.openxmlformats.org/officeDocument/2006/relationships/hyperlink" Target="https://ich.unesco.org/doc/src/LHE-22-9.GA-9-AR.docx"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en/Decisions/16.COM/13" TargetMode="External"/><Relationship Id="rId14" Type="http://schemas.openxmlformats.org/officeDocument/2006/relationships/hyperlink" Target="https://ich.unesco.org/doc/src/LHE-22-9.GA-INF.10-EN.docx" TargetMode="External"/><Relationship Id="rId22" Type="http://schemas.openxmlformats.org/officeDocument/2006/relationships/hyperlink" Target="https://ich.unesco.org/doc/src/LHE-22-9.GA-9-AR.docx" TargetMode="External"/><Relationship Id="rId27" Type="http://schemas.openxmlformats.org/officeDocument/2006/relationships/hyperlink" Target="https://ich.unesco.org/doc/src/LHE-21-16.COM-INF.10-EN.docx" TargetMode="External"/><Relationship Id="rId30" Type="http://schemas.openxmlformats.org/officeDocument/2006/relationships/hyperlink" Target="https://ich.unesco.org/en/Decisions/7.GA/8" TargetMode="External"/><Relationship Id="rId35" Type="http://schemas.openxmlformats.org/officeDocument/2006/relationships/hyperlink" Target="https://ich.unesco.org/en/Decisions/12.COM/6" TargetMode="External"/><Relationship Id="rId43" Type="http://schemas.openxmlformats.org/officeDocument/2006/relationships/hyperlink" Target="https://ich.unesco.org/en/Decisions/16.COM/14" TargetMode="External"/><Relationship Id="rId48" Type="http://schemas.openxmlformats.org/officeDocument/2006/relationships/hyperlink" Target="https://ich.unesco.org/doc/src/LHE-22-9.GA-INF.10-EN.docx" TargetMode="External"/><Relationship Id="rId8" Type="http://schemas.openxmlformats.org/officeDocument/2006/relationships/hyperlink" Target="https://ich.unesco.org/en/Decisions/14.COM/7" TargetMode="External"/><Relationship Id="rId51"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Decisions/8.COM/7.c" TargetMode="External"/><Relationship Id="rId2" Type="http://schemas.openxmlformats.org/officeDocument/2006/relationships/hyperlink" Target="https://ich.unesco.org/doc/src/2003_Convention_Basic_Texts-_2020_version-EN.pdf" TargetMode="External"/><Relationship Id="rId1" Type="http://schemas.openxmlformats.org/officeDocument/2006/relationships/hyperlink" Target="https://unesdoc.unesco.org/ark:/48223/pf0000381664/PDF/381664eng.pdf.multi" TargetMode="External"/><Relationship Id="rId5" Type="http://schemas.openxmlformats.org/officeDocument/2006/relationships/hyperlink" Target="https://ich.unesco.org/en/Decisions/8.GA/7" TargetMode="External"/><Relationship Id="rId4" Type="http://schemas.openxmlformats.org/officeDocument/2006/relationships/hyperlink" Target="https://ich.unesco.org/en/Decisions/12.COM/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84480-51DC-44EA-B3F9-BDCF3713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733</TotalTime>
  <Pages>11</Pages>
  <Words>6122</Words>
  <Characters>34902</Characters>
  <Application>Microsoft Office Word</Application>
  <DocSecurity>0</DocSecurity>
  <Lines>290</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DELICATO, Jade</dc:creator>
  <cp:keywords/>
  <cp:lastModifiedBy>Nakata, Julien</cp:lastModifiedBy>
  <cp:revision>72</cp:revision>
  <cp:lastPrinted>2022-06-03T10:57:00Z</cp:lastPrinted>
  <dcterms:created xsi:type="dcterms:W3CDTF">2022-06-01T15:26:00Z</dcterms:created>
  <dcterms:modified xsi:type="dcterms:W3CDTF">2022-06-10T19:54:00Z</dcterms:modified>
</cp:coreProperties>
</file>