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E61536" w14:paraId="341E0886" w14:textId="77777777" w:rsidTr="00110952">
        <w:trPr>
          <w:trHeight w:val="317"/>
        </w:trPr>
        <w:sdt>
          <w:sdtPr>
            <w:rPr>
              <w:rFonts w:ascii="Arial" w:hAnsi="Arial" w:cs="Arial"/>
              <w:color w:val="365F91" w:themeColor="accent1" w:themeShade="BF"/>
              <w:sz w:val="24"/>
              <w:szCs w:val="24"/>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720" w:type="dxa"/>
                <w:tcMar>
                  <w:top w:w="216" w:type="dxa"/>
                  <w:left w:w="115" w:type="dxa"/>
                  <w:bottom w:w="216" w:type="dxa"/>
                  <w:right w:w="115" w:type="dxa"/>
                </w:tcMar>
              </w:tcPr>
              <w:p w14:paraId="0F5467C7" w14:textId="4B27807A" w:rsidR="00F10319" w:rsidRPr="00E375ED" w:rsidRDefault="008010EE" w:rsidP="007B4429">
                <w:pPr>
                  <w:pStyle w:val="NoSpacing"/>
                  <w:rPr>
                    <w:rFonts w:ascii="Arial" w:hAnsi="Arial" w:cs="Arial"/>
                    <w:color w:val="365F91" w:themeColor="accent1" w:themeShade="BF"/>
                    <w:sz w:val="24"/>
                  </w:rPr>
                </w:pPr>
                <w:r w:rsidRPr="00E375ED">
                  <w:rPr>
                    <w:rFonts w:ascii="Arial" w:hAnsi="Arial" w:cs="Arial"/>
                    <w:color w:val="365F91" w:themeColor="accent1" w:themeShade="BF"/>
                    <w:sz w:val="24"/>
                    <w:szCs w:val="24"/>
                  </w:rPr>
                  <w:t>POINT</w:t>
                </w:r>
                <w:r w:rsidR="00F1620B" w:rsidRPr="00E375ED">
                  <w:rPr>
                    <w:rFonts w:ascii="Arial" w:hAnsi="Arial" w:cs="Arial"/>
                    <w:color w:val="365F91" w:themeColor="accent1" w:themeShade="BF"/>
                    <w:sz w:val="24"/>
                    <w:szCs w:val="24"/>
                  </w:rPr>
                  <w:t xml:space="preserve"> </w:t>
                </w:r>
                <w:r w:rsidR="00BB2A70" w:rsidRPr="00E375ED">
                  <w:rPr>
                    <w:rFonts w:ascii="Arial" w:hAnsi="Arial" w:cs="Arial"/>
                    <w:color w:val="365F91" w:themeColor="accent1" w:themeShade="BF"/>
                    <w:sz w:val="24"/>
                    <w:szCs w:val="24"/>
                  </w:rPr>
                  <w:t>8</w:t>
                </w:r>
                <w:r w:rsidR="00F1620B" w:rsidRPr="00E375ED">
                  <w:rPr>
                    <w:rFonts w:ascii="Arial" w:hAnsi="Arial" w:cs="Arial"/>
                    <w:color w:val="365F91" w:themeColor="accent1" w:themeShade="BF"/>
                    <w:sz w:val="24"/>
                    <w:szCs w:val="24"/>
                  </w:rPr>
                  <w:t xml:space="preserve">.D </w:t>
                </w:r>
                <w:r w:rsidRPr="00E375ED">
                  <w:rPr>
                    <w:rFonts w:ascii="Arial" w:hAnsi="Arial" w:cs="Arial"/>
                    <w:color w:val="365F91" w:themeColor="accent1" w:themeShade="BF"/>
                    <w:sz w:val="24"/>
                    <w:szCs w:val="24"/>
                  </w:rPr>
                  <w:t>DE L’ORDRE DU JOUR PROVISOIRE</w:t>
                </w:r>
              </w:p>
            </w:tc>
          </w:sdtContent>
        </w:sdt>
      </w:tr>
      <w:tr w:rsidR="00F10319" w:rsidRPr="00E61536" w14:paraId="654427E3" w14:textId="77777777" w:rsidTr="00110952">
        <w:trPr>
          <w:trHeight w:val="913"/>
        </w:trPr>
        <w:tc>
          <w:tcPr>
            <w:tcW w:w="6720" w:type="dxa"/>
          </w:tcPr>
          <w:sdt>
            <w:sdtPr>
              <w:rPr>
                <w:rFonts w:ascii="Arial" w:eastAsiaTheme="majorEastAsia" w:hAnsi="Arial" w:cs="Arial"/>
                <w:b/>
                <w:bCs/>
                <w:color w:val="4472C4"/>
                <w:sz w:val="40"/>
                <w:szCs w:val="40"/>
              </w:rPr>
              <w:alias w:val="Titre"/>
              <w:id w:val="433558757"/>
              <w:placeholder>
                <w:docPart w:val="03F40005E45141508D094C00A16ADF01"/>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06F9BA98" w:rsidR="00F10319" w:rsidRPr="00E375ED" w:rsidRDefault="00F10319" w:rsidP="007B4429">
                <w:pPr>
                  <w:pStyle w:val="NoSpacing"/>
                  <w:spacing w:line="216" w:lineRule="auto"/>
                  <w:rPr>
                    <w:rFonts w:ascii="Arial" w:eastAsiaTheme="majorEastAsia" w:hAnsi="Arial" w:cs="Arial"/>
                    <w:b/>
                    <w:bCs/>
                    <w:color w:val="4F81BD" w:themeColor="accent1"/>
                    <w:sz w:val="40"/>
                    <w:szCs w:val="40"/>
                  </w:rPr>
                </w:pPr>
                <w:r w:rsidRPr="00E375ED">
                  <w:rPr>
                    <w:rFonts w:ascii="Arial" w:eastAsiaTheme="majorEastAsia" w:hAnsi="Arial" w:cs="Arial"/>
                    <w:b/>
                    <w:bCs/>
                    <w:color w:val="4472C4"/>
                    <w:sz w:val="40"/>
                    <w:szCs w:val="40"/>
                  </w:rPr>
                  <w:t>Exam</w:t>
                </w:r>
                <w:r w:rsidR="008010EE" w:rsidRPr="00E375ED">
                  <w:rPr>
                    <w:rFonts w:ascii="Arial" w:eastAsiaTheme="majorEastAsia" w:hAnsi="Arial" w:cs="Arial"/>
                    <w:b/>
                    <w:bCs/>
                    <w:color w:val="4472C4"/>
                    <w:sz w:val="40"/>
                    <w:szCs w:val="40"/>
                  </w:rPr>
                  <w:t>en des demandes d’assistance internationale</w:t>
                </w:r>
              </w:p>
            </w:sdtContent>
          </w:sdt>
        </w:tc>
      </w:tr>
      <w:tr w:rsidR="00F10319" w:rsidRPr="00E61536" w14:paraId="60F5923E" w14:textId="77777777" w:rsidTr="00110952">
        <w:trPr>
          <w:trHeight w:val="1349"/>
        </w:trPr>
        <w:sdt>
          <w:sdtPr>
            <w:rPr>
              <w:rFonts w:ascii="Arial" w:hAnsi="Arial" w:cs="Arial"/>
              <w:color w:val="365F91" w:themeColor="accent1" w:themeShade="BF"/>
              <w:sz w:val="24"/>
              <w:szCs w:val="24"/>
            </w:rPr>
            <w:alias w:val="Sous-titre"/>
            <w:id w:val="1996529465"/>
            <w:placeholder>
              <w:docPart w:val="E75D4E981FC047B89A2A45945770EBD7"/>
            </w:placeholder>
            <w:dataBinding w:prefixMappings="xmlns:ns0='http://schemas.openxmlformats.org/package/2006/metadata/core-properties' xmlns:ns1='http://purl.org/dc/elements/1.1/'" w:xpath="/ns0:coreProperties[1]/ns1:subject[1]" w:storeItemID="{6C3C8BC8-F283-45AE-878A-BAB7291924A1}"/>
            <w:text/>
          </w:sdtPr>
          <w:sdtEndPr/>
          <w:sdtContent>
            <w:tc>
              <w:tcPr>
                <w:tcW w:w="6720" w:type="dxa"/>
                <w:tcMar>
                  <w:top w:w="216" w:type="dxa"/>
                  <w:left w:w="115" w:type="dxa"/>
                  <w:bottom w:w="216" w:type="dxa"/>
                  <w:right w:w="115" w:type="dxa"/>
                </w:tcMar>
              </w:tcPr>
              <w:p w14:paraId="02BB27E1" w14:textId="6D68F236" w:rsidR="00F10319" w:rsidRPr="00E375ED" w:rsidRDefault="008D2314" w:rsidP="007B4429">
                <w:pPr>
                  <w:pStyle w:val="NoSpacing"/>
                  <w:rPr>
                    <w:rFonts w:ascii="Arial" w:hAnsi="Arial" w:cs="Arial"/>
                    <w:color w:val="365F91" w:themeColor="accent1" w:themeShade="BF"/>
                    <w:sz w:val="24"/>
                  </w:rPr>
                </w:pPr>
                <w:r w:rsidRPr="00E375ED">
                  <w:rPr>
                    <w:rFonts w:ascii="Arial" w:hAnsi="Arial" w:cs="Arial"/>
                    <w:color w:val="365F91" w:themeColor="accent1" w:themeShade="BF"/>
                    <w:sz w:val="24"/>
                    <w:szCs w:val="24"/>
                  </w:rPr>
                  <w:t>Seizième session, Comité intergouvernemental de sauvegarde du patrimoine culturel immatériel (</w:t>
                </w:r>
                <w:r w:rsidR="00E61536">
                  <w:rPr>
                    <w:rFonts w:ascii="Arial" w:hAnsi="Arial" w:cs="Arial"/>
                    <w:color w:val="365F91" w:themeColor="accent1" w:themeShade="BF"/>
                    <w:sz w:val="24"/>
                    <w:szCs w:val="24"/>
                  </w:rPr>
                  <w:t xml:space="preserve">En ligne </w:t>
                </w:r>
                <w:r w:rsidRPr="00E375ED">
                  <w:rPr>
                    <w:rFonts w:ascii="Arial" w:hAnsi="Arial" w:cs="Arial"/>
                    <w:color w:val="365F91" w:themeColor="accent1" w:themeShade="BF"/>
                    <w:sz w:val="24"/>
                    <w:szCs w:val="24"/>
                  </w:rPr>
                  <w:t>– du</w:t>
                </w:r>
                <w:r w:rsidR="00E61536">
                  <w:rPr>
                    <w:rFonts w:ascii="Arial" w:hAnsi="Arial" w:cs="Arial"/>
                    <w:color w:val="365F91" w:themeColor="accent1" w:themeShade="BF"/>
                    <w:sz w:val="24"/>
                    <w:szCs w:val="24"/>
                  </w:rPr>
                  <w:t> </w:t>
                </w:r>
                <w:r w:rsidRPr="00E375ED">
                  <w:rPr>
                    <w:rFonts w:ascii="Arial" w:hAnsi="Arial" w:cs="Arial"/>
                    <w:color w:val="365F91" w:themeColor="accent1" w:themeShade="BF"/>
                    <w:sz w:val="24"/>
                    <w:szCs w:val="24"/>
                  </w:rPr>
                  <w:t>13 au 18 décembre 2021)</w:t>
                </w:r>
              </w:p>
            </w:tc>
          </w:sdtContent>
        </w:sdt>
      </w:tr>
    </w:tbl>
    <w:tbl>
      <w:tblPr>
        <w:tblpPr w:leftFromText="180" w:rightFromText="180" w:vertAnchor="page" w:horzAnchor="margin" w:tblpXSpec="center" w:tblpY="11011"/>
        <w:tblW w:w="3694" w:type="pct"/>
        <w:tblLook w:val="04A0" w:firstRow="1" w:lastRow="0" w:firstColumn="1" w:lastColumn="0" w:noHBand="0" w:noVBand="1"/>
      </w:tblPr>
      <w:tblGrid>
        <w:gridCol w:w="7087"/>
      </w:tblGrid>
      <w:tr w:rsidR="008D2314" w:rsidRPr="00E92373" w14:paraId="49E6F31A" w14:textId="77777777" w:rsidTr="008D2314">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218DE9A6" w14:textId="77777777" w:rsidR="008D2314" w:rsidRPr="00825C0C" w:rsidRDefault="008D2314" w:rsidP="00825C0C">
            <w:pPr>
              <w:spacing w:after="120"/>
              <w:rPr>
                <w:rFonts w:eastAsia="SimSun" w:cs="Arial"/>
                <w:b/>
                <w:bCs/>
                <w:color w:val="4F81BD" w:themeColor="accent1"/>
                <w:sz w:val="22"/>
                <w:szCs w:val="22"/>
                <w:lang w:val="fr-FR"/>
              </w:rPr>
            </w:pPr>
            <w:r w:rsidRPr="00825C0C">
              <w:rPr>
                <w:rFonts w:eastAsia="SimSun" w:cs="Arial"/>
                <w:b/>
                <w:bCs/>
                <w:color w:val="4F81BD" w:themeColor="accent1"/>
                <w:sz w:val="22"/>
                <w:szCs w:val="22"/>
                <w:lang w:val="fr-FR"/>
              </w:rPr>
              <w:t>Résumé</w:t>
            </w:r>
          </w:p>
          <w:p w14:paraId="5C4948E3" w14:textId="6E62C3E3" w:rsidR="008D2314" w:rsidRPr="00825C0C" w:rsidRDefault="008D2314" w:rsidP="008D2314">
            <w:pPr>
              <w:pStyle w:val="NoSpacing"/>
              <w:jc w:val="both"/>
              <w:rPr>
                <w:rFonts w:ascii="Arial" w:hAnsi="Arial" w:cs="Arial"/>
                <w:color w:val="4F81BD" w:themeColor="accent1"/>
              </w:rPr>
            </w:pPr>
            <w:r w:rsidRPr="00825C0C">
              <w:rPr>
                <w:rFonts w:ascii="Arial" w:hAnsi="Arial" w:cs="Arial"/>
                <w:color w:val="4F81BD" w:themeColor="accent1"/>
              </w:rPr>
              <w:t>Le présent document comprend l</w:t>
            </w:r>
            <w:r w:rsidRPr="00E375ED">
              <w:rPr>
                <w:rFonts w:ascii="Arial" w:hAnsi="Arial" w:cs="Arial"/>
                <w:color w:val="4F81BD" w:themeColor="accent1"/>
              </w:rPr>
              <w:t>a</w:t>
            </w:r>
            <w:r w:rsidRPr="00825C0C">
              <w:rPr>
                <w:rFonts w:ascii="Arial" w:hAnsi="Arial" w:cs="Arial"/>
                <w:color w:val="4F81BD" w:themeColor="accent1"/>
              </w:rPr>
              <w:t xml:space="preserve"> recommandation de l’Organe d’évaluation concernant un</w:t>
            </w:r>
            <w:r w:rsidRPr="00E375ED">
              <w:rPr>
                <w:rFonts w:ascii="Arial" w:hAnsi="Arial" w:cs="Arial"/>
                <w:color w:val="4F81BD" w:themeColor="accent1"/>
              </w:rPr>
              <w:t>e demande d’assistance internationale</w:t>
            </w:r>
            <w:r w:rsidRPr="00825C0C">
              <w:rPr>
                <w:rFonts w:ascii="Arial" w:hAnsi="Arial" w:cs="Arial"/>
                <w:color w:val="4F81BD" w:themeColor="accent1"/>
              </w:rPr>
              <w:t xml:space="preserve"> (partie A) et un projet de décision pour considération par le Comité (partie B). Un aperçu des dossiers de 2021 et les méthodes de travail de l’Organe d’évaluation sont présentés dans le document </w:t>
            </w:r>
          </w:p>
          <w:p w14:paraId="027E2687" w14:textId="77777777" w:rsidR="008D2314" w:rsidRPr="00825C0C" w:rsidRDefault="00E61536" w:rsidP="008D2314">
            <w:pPr>
              <w:spacing w:after="240"/>
              <w:jc w:val="both"/>
              <w:rPr>
                <w:rFonts w:eastAsia="SimSun" w:cs="Arial"/>
                <w:color w:val="4F81BD" w:themeColor="accent1"/>
                <w:sz w:val="22"/>
                <w:szCs w:val="22"/>
                <w:lang w:val="fr-FR"/>
              </w:rPr>
            </w:pPr>
            <w:hyperlink r:id="rId8" w:history="1">
              <w:r w:rsidR="008D2314" w:rsidRPr="00825C0C">
                <w:rPr>
                  <w:rStyle w:val="Hyperlink"/>
                  <w:rFonts w:eastAsia="SimSun" w:cs="Arial"/>
                  <w:sz w:val="22"/>
                  <w:szCs w:val="22"/>
                  <w:lang w:val="fr-FR"/>
                </w:rPr>
                <w:t>LHE/21/16.COM/8</w:t>
              </w:r>
            </w:hyperlink>
            <w:r w:rsidR="008D2314" w:rsidRPr="00825C0C">
              <w:rPr>
                <w:rFonts w:eastAsia="SimSun" w:cs="Arial"/>
                <w:color w:val="4F81BD" w:themeColor="accent1"/>
                <w:sz w:val="22"/>
                <w:szCs w:val="22"/>
                <w:lang w:val="fr-FR"/>
              </w:rPr>
              <w:t>.</w:t>
            </w:r>
          </w:p>
          <w:p w14:paraId="3C98B866" w14:textId="4CF234C1" w:rsidR="008D2314" w:rsidRPr="00E375ED" w:rsidRDefault="008D2314" w:rsidP="008D2314">
            <w:pPr>
              <w:pStyle w:val="NoSpacing"/>
              <w:rPr>
                <w:rFonts w:ascii="Arial" w:hAnsi="Arial" w:cs="Arial"/>
                <w:color w:val="4F81BD" w:themeColor="accent1"/>
                <w:sz w:val="28"/>
                <w:szCs w:val="28"/>
              </w:rPr>
            </w:pPr>
            <w:r w:rsidRPr="00825C0C">
              <w:rPr>
                <w:rFonts w:ascii="Arial" w:hAnsi="Arial" w:cs="Arial"/>
                <w:b/>
                <w:bCs/>
                <w:color w:val="4F81BD" w:themeColor="accent1"/>
              </w:rPr>
              <w:t xml:space="preserve">Décision requise </w:t>
            </w:r>
            <w:r w:rsidRPr="00825C0C">
              <w:rPr>
                <w:rFonts w:ascii="Arial" w:hAnsi="Arial" w:cs="Arial"/>
                <w:color w:val="4F81BD" w:themeColor="accent1"/>
              </w:rPr>
              <w:t xml:space="preserve">: paragraphe </w:t>
            </w:r>
            <w:r w:rsidRPr="00E375ED">
              <w:rPr>
                <w:rFonts w:ascii="Arial" w:hAnsi="Arial" w:cs="Arial"/>
                <w:color w:val="4F81BD" w:themeColor="accent1"/>
              </w:rPr>
              <w:t>2</w:t>
            </w:r>
          </w:p>
        </w:tc>
      </w:tr>
    </w:tbl>
    <w:p w14:paraId="56EEBA70" w14:textId="77777777" w:rsidR="008D2314" w:rsidRPr="00E375ED" w:rsidRDefault="00F10319">
      <w:pPr>
        <w:rPr>
          <w:rFonts w:eastAsia="SimSun" w:cs="Arial"/>
          <w:b/>
          <w:sz w:val="22"/>
          <w:szCs w:val="22"/>
          <w:lang w:val="fr-FR" w:eastAsia="zh-CN" w:bidi="en-US"/>
        </w:rPr>
      </w:pPr>
      <w:r w:rsidRPr="00E375ED">
        <w:rPr>
          <w:rFonts w:cs="Arial"/>
          <w:b/>
          <w:lang w:val="fr-FR"/>
        </w:rPr>
        <w:br w:type="page"/>
      </w:r>
    </w:p>
    <w:p w14:paraId="645780AA" w14:textId="71D89D27" w:rsidR="00F10319" w:rsidRPr="00E375ED" w:rsidRDefault="00F10319" w:rsidP="00825C0C">
      <w:pPr>
        <w:pStyle w:val="NoSpacing1"/>
        <w:keepNext/>
        <w:numPr>
          <w:ilvl w:val="0"/>
          <w:numId w:val="40"/>
        </w:numPr>
        <w:tabs>
          <w:tab w:val="left" w:pos="567"/>
        </w:tabs>
        <w:spacing w:after="240"/>
        <w:ind w:left="567" w:hanging="567"/>
        <w:jc w:val="both"/>
        <w:rPr>
          <w:rFonts w:ascii="Arial" w:hAnsi="Arial" w:cs="Arial"/>
          <w:b/>
        </w:rPr>
      </w:pPr>
      <w:bookmarkStart w:id="0" w:name="Recommandation"/>
      <w:r w:rsidRPr="00E375ED">
        <w:rPr>
          <w:rFonts w:ascii="Arial" w:hAnsi="Arial" w:cs="Arial"/>
          <w:b/>
        </w:rPr>
        <w:lastRenderedPageBreak/>
        <w:t>Recomm</w:t>
      </w:r>
      <w:r w:rsidR="008010EE" w:rsidRPr="00E375ED">
        <w:rPr>
          <w:rFonts w:ascii="Arial" w:hAnsi="Arial" w:cs="Arial"/>
          <w:b/>
        </w:rPr>
        <w:t>a</w:t>
      </w:r>
      <w:r w:rsidRPr="00E375ED">
        <w:rPr>
          <w:rFonts w:ascii="Arial" w:hAnsi="Arial" w:cs="Arial"/>
          <w:b/>
        </w:rPr>
        <w:t>ndation</w:t>
      </w:r>
    </w:p>
    <w:p w14:paraId="0B7E1BA8" w14:textId="22E9A204" w:rsidR="008010EE" w:rsidRPr="00E375ED" w:rsidRDefault="008010EE" w:rsidP="008010EE">
      <w:pPr>
        <w:pStyle w:val="ListParagraph"/>
        <w:numPr>
          <w:ilvl w:val="0"/>
          <w:numId w:val="41"/>
        </w:numPr>
        <w:spacing w:before="240" w:after="240"/>
        <w:ind w:left="567" w:hanging="567"/>
        <w:jc w:val="both"/>
        <w:rPr>
          <w:rFonts w:ascii="Arial" w:hAnsi="Arial" w:cs="Arial"/>
          <w:snapToGrid w:val="0"/>
          <w:sz w:val="22"/>
          <w:szCs w:val="22"/>
          <w:lang w:val="fr-FR"/>
        </w:rPr>
      </w:pPr>
      <w:bookmarkStart w:id="1" w:name="Recommend_to_refer"/>
      <w:bookmarkStart w:id="2" w:name="Decision_9d1"/>
      <w:bookmarkStart w:id="3" w:name="_DRAFT_DECISION_16.COM"/>
      <w:bookmarkEnd w:id="1"/>
      <w:bookmarkEnd w:id="2"/>
      <w:bookmarkEnd w:id="3"/>
      <w:bookmarkEnd w:id="0"/>
      <w:r w:rsidRPr="00E375ED">
        <w:rPr>
          <w:rFonts w:ascii="Arial" w:hAnsi="Arial" w:cs="Arial"/>
          <w:snapToGrid w:val="0"/>
          <w:sz w:val="22"/>
          <w:szCs w:val="22"/>
          <w:lang w:val="fr-FR"/>
        </w:rPr>
        <w:t>L’Organe d’évaluation recommande au Comité d</w:t>
      </w:r>
      <w:r w:rsidR="0089484D" w:rsidRPr="00E375ED">
        <w:rPr>
          <w:rFonts w:ascii="Arial" w:hAnsi="Arial" w:cs="Arial"/>
          <w:snapToGrid w:val="0"/>
          <w:sz w:val="22"/>
          <w:szCs w:val="22"/>
          <w:lang w:val="fr-FR"/>
        </w:rPr>
        <w:t xml:space="preserve">’approuver </w:t>
      </w:r>
      <w:r w:rsidRPr="00E375ED">
        <w:rPr>
          <w:rFonts w:ascii="Arial" w:hAnsi="Arial" w:cs="Arial"/>
          <w:snapToGrid w:val="0"/>
          <w:sz w:val="22"/>
          <w:szCs w:val="22"/>
          <w:lang w:val="fr-FR"/>
        </w:rPr>
        <w:t>la demande</w:t>
      </w:r>
      <w:r w:rsidR="00DA5D79" w:rsidRPr="00E375ED">
        <w:rPr>
          <w:rFonts w:ascii="Arial" w:hAnsi="Arial" w:cs="Arial"/>
          <w:snapToGrid w:val="0"/>
          <w:sz w:val="22"/>
          <w:szCs w:val="22"/>
          <w:lang w:val="fr-FR"/>
        </w:rPr>
        <w:t xml:space="preserve"> d’assistance internationale</w:t>
      </w:r>
      <w:r w:rsidRPr="00E375ED">
        <w:rPr>
          <w:rFonts w:ascii="Arial" w:hAnsi="Arial" w:cs="Arial"/>
          <w:snapToGrid w:val="0"/>
          <w:sz w:val="22"/>
          <w:szCs w:val="22"/>
          <w:lang w:val="fr-FR"/>
        </w:rPr>
        <w:t xml:space="preserve"> suivante</w:t>
      </w:r>
      <w:r w:rsidR="0089484D" w:rsidRPr="00E375ED">
        <w:rPr>
          <w:rFonts w:ascii="Arial" w:hAnsi="Arial" w:cs="Arial"/>
          <w:snapToGrid w:val="0"/>
          <w:sz w:val="22"/>
          <w:szCs w:val="22"/>
          <w:lang w:val="fr-FR"/>
        </w:rPr>
        <w:t> :</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2"/>
        <w:gridCol w:w="1418"/>
        <w:gridCol w:w="2405"/>
        <w:gridCol w:w="1273"/>
        <w:gridCol w:w="1277"/>
        <w:gridCol w:w="992"/>
      </w:tblGrid>
      <w:tr w:rsidR="005302D5" w:rsidRPr="00E375ED" w14:paraId="09C1184D" w14:textId="77777777" w:rsidTr="00CC58A2">
        <w:trPr>
          <w:cantSplit/>
          <w:tblHeader/>
        </w:trPr>
        <w:tc>
          <w:tcPr>
            <w:tcW w:w="939" w:type="pct"/>
            <w:shd w:val="clear" w:color="auto" w:fill="BFBFBF"/>
            <w:vAlign w:val="center"/>
          </w:tcPr>
          <w:p w14:paraId="7FF7B6EC" w14:textId="77777777" w:rsidR="005302D5" w:rsidRPr="00E375ED" w:rsidRDefault="005302D5" w:rsidP="00044118">
            <w:pPr>
              <w:spacing w:before="120" w:after="120"/>
              <w:jc w:val="center"/>
              <w:rPr>
                <w:rFonts w:cs="Arial"/>
                <w:b/>
                <w:bCs/>
                <w:sz w:val="22"/>
                <w:szCs w:val="22"/>
                <w:lang w:val="fr-FR" w:eastAsia="en-GB"/>
              </w:rPr>
            </w:pPr>
            <w:r w:rsidRPr="00E375ED">
              <w:rPr>
                <w:rFonts w:cs="Arial"/>
                <w:b/>
                <w:bCs/>
                <w:sz w:val="22"/>
                <w:szCs w:val="22"/>
                <w:lang w:val="fr-FR" w:eastAsia="en-GB"/>
              </w:rPr>
              <w:t>Projet de décision</w:t>
            </w:r>
          </w:p>
        </w:tc>
        <w:tc>
          <w:tcPr>
            <w:tcW w:w="782" w:type="pct"/>
            <w:shd w:val="clear" w:color="auto" w:fill="BFBFBF"/>
            <w:vAlign w:val="center"/>
          </w:tcPr>
          <w:p w14:paraId="5D317318" w14:textId="77777777" w:rsidR="005302D5" w:rsidRPr="00E375ED" w:rsidRDefault="005302D5" w:rsidP="00044118">
            <w:pPr>
              <w:spacing w:before="120" w:after="120"/>
              <w:jc w:val="center"/>
              <w:rPr>
                <w:rFonts w:cs="Arial"/>
                <w:sz w:val="22"/>
                <w:szCs w:val="22"/>
                <w:lang w:val="fr-FR"/>
              </w:rPr>
            </w:pPr>
            <w:r w:rsidRPr="00E375ED">
              <w:rPr>
                <w:rFonts w:cs="Arial"/>
                <w:b/>
                <w:bCs/>
                <w:sz w:val="22"/>
                <w:szCs w:val="22"/>
                <w:lang w:val="fr-FR" w:eastAsia="en-GB"/>
              </w:rPr>
              <w:t>État demandeur</w:t>
            </w:r>
          </w:p>
        </w:tc>
        <w:tc>
          <w:tcPr>
            <w:tcW w:w="1326" w:type="pct"/>
            <w:shd w:val="clear" w:color="auto" w:fill="BFBFBF"/>
            <w:vAlign w:val="center"/>
          </w:tcPr>
          <w:p w14:paraId="4D194732" w14:textId="77777777" w:rsidR="005302D5" w:rsidRPr="00E375ED" w:rsidRDefault="005302D5" w:rsidP="00044118">
            <w:pPr>
              <w:spacing w:before="120" w:after="120"/>
              <w:jc w:val="center"/>
              <w:rPr>
                <w:rFonts w:cs="Arial"/>
                <w:sz w:val="22"/>
                <w:szCs w:val="22"/>
                <w:lang w:val="fr-FR"/>
              </w:rPr>
            </w:pPr>
            <w:r w:rsidRPr="00E375ED">
              <w:rPr>
                <w:rFonts w:cs="Arial"/>
                <w:b/>
                <w:bCs/>
                <w:sz w:val="22"/>
                <w:szCs w:val="22"/>
                <w:lang w:val="fr-FR" w:eastAsia="en-GB"/>
              </w:rPr>
              <w:t>Titre</w:t>
            </w:r>
          </w:p>
        </w:tc>
        <w:tc>
          <w:tcPr>
            <w:tcW w:w="702" w:type="pct"/>
            <w:shd w:val="clear" w:color="auto" w:fill="BFBFBF"/>
            <w:vAlign w:val="center"/>
          </w:tcPr>
          <w:p w14:paraId="5DCD1D15" w14:textId="77777777" w:rsidR="005302D5" w:rsidRPr="00E375ED" w:rsidRDefault="005302D5" w:rsidP="00044118">
            <w:pPr>
              <w:spacing w:before="120" w:after="120"/>
              <w:jc w:val="center"/>
              <w:rPr>
                <w:rFonts w:cs="Arial"/>
                <w:b/>
                <w:bCs/>
                <w:sz w:val="22"/>
                <w:szCs w:val="22"/>
                <w:lang w:val="fr-FR" w:eastAsia="en-GB"/>
              </w:rPr>
            </w:pPr>
            <w:r w:rsidRPr="00E375ED">
              <w:rPr>
                <w:rFonts w:cs="Arial"/>
                <w:b/>
                <w:bCs/>
                <w:sz w:val="22"/>
                <w:szCs w:val="22"/>
                <w:lang w:val="fr-FR" w:eastAsia="en-GB"/>
              </w:rPr>
              <w:t>Montant demandé</w:t>
            </w:r>
          </w:p>
        </w:tc>
        <w:tc>
          <w:tcPr>
            <w:tcW w:w="704" w:type="pct"/>
            <w:shd w:val="clear" w:color="auto" w:fill="BFBFBF"/>
          </w:tcPr>
          <w:p w14:paraId="59CF035F" w14:textId="324E3CC3" w:rsidR="005302D5" w:rsidRPr="00E375ED" w:rsidRDefault="005302D5" w:rsidP="00044118">
            <w:pPr>
              <w:spacing w:before="120" w:after="120"/>
              <w:jc w:val="center"/>
              <w:rPr>
                <w:rFonts w:cs="Arial"/>
                <w:b/>
                <w:bCs/>
                <w:sz w:val="22"/>
                <w:szCs w:val="22"/>
                <w:lang w:val="fr-FR" w:eastAsia="en-GB"/>
              </w:rPr>
            </w:pPr>
            <w:r w:rsidRPr="00E375ED">
              <w:rPr>
                <w:rFonts w:cs="Arial"/>
                <w:b/>
                <w:bCs/>
                <w:sz w:val="22"/>
                <w:szCs w:val="22"/>
                <w:lang w:val="fr-FR" w:eastAsia="en-GB"/>
              </w:rPr>
              <w:t>Concernée par le dialogue</w:t>
            </w:r>
          </w:p>
        </w:tc>
        <w:tc>
          <w:tcPr>
            <w:tcW w:w="547" w:type="pct"/>
            <w:shd w:val="clear" w:color="auto" w:fill="BFBFBF"/>
            <w:vAlign w:val="center"/>
          </w:tcPr>
          <w:p w14:paraId="20E19941" w14:textId="4BB780A4" w:rsidR="005302D5" w:rsidRPr="00E375ED" w:rsidRDefault="005302D5" w:rsidP="00044118">
            <w:pPr>
              <w:spacing w:before="120" w:after="120"/>
              <w:jc w:val="center"/>
              <w:rPr>
                <w:rFonts w:cs="Arial"/>
                <w:sz w:val="22"/>
                <w:szCs w:val="22"/>
                <w:lang w:val="fr-FR"/>
              </w:rPr>
            </w:pPr>
            <w:r w:rsidRPr="00E375ED">
              <w:rPr>
                <w:rFonts w:cs="Arial"/>
                <w:b/>
                <w:bCs/>
                <w:sz w:val="22"/>
                <w:szCs w:val="22"/>
                <w:lang w:val="fr-FR" w:eastAsia="en-GB"/>
              </w:rPr>
              <w:t>Dossier n°</w:t>
            </w:r>
          </w:p>
        </w:tc>
      </w:tr>
      <w:tr w:rsidR="005302D5" w:rsidRPr="00E375ED" w14:paraId="4744B607" w14:textId="77777777" w:rsidTr="00CC58A2">
        <w:trPr>
          <w:cantSplit/>
          <w:tblHeader/>
        </w:trPr>
        <w:tc>
          <w:tcPr>
            <w:tcW w:w="939" w:type="pct"/>
          </w:tcPr>
          <w:p w14:paraId="4FCDF29A" w14:textId="39C33BD1" w:rsidR="005302D5" w:rsidRPr="00E375ED" w:rsidRDefault="00E61536" w:rsidP="00044118">
            <w:pPr>
              <w:spacing w:before="120" w:after="120"/>
              <w:jc w:val="center"/>
              <w:rPr>
                <w:rFonts w:cs="Arial"/>
                <w:color w:val="0000FF"/>
                <w:sz w:val="22"/>
                <w:szCs w:val="22"/>
                <w:u w:val="single"/>
                <w:lang w:val="fr-FR"/>
              </w:rPr>
            </w:pPr>
            <w:hyperlink w:anchor="_PROJET_DE_DÉCISION" w:history="1">
              <w:r w:rsidR="005302D5" w:rsidRPr="00E375ED">
                <w:rPr>
                  <w:rStyle w:val="Hyperlink"/>
                  <w:rFonts w:cs="Arial"/>
                  <w:sz w:val="22"/>
                  <w:szCs w:val="22"/>
                  <w:lang w:val="fr-FR"/>
                </w:rPr>
                <w:t xml:space="preserve">16.COM </w:t>
              </w:r>
              <w:r w:rsidR="00283E24" w:rsidRPr="00E375ED">
                <w:rPr>
                  <w:rStyle w:val="Hyperlink"/>
                  <w:rFonts w:cs="Arial"/>
                  <w:sz w:val="22"/>
                  <w:szCs w:val="22"/>
                  <w:lang w:val="fr-FR"/>
                </w:rPr>
                <w:t>8</w:t>
              </w:r>
              <w:r w:rsidR="005302D5" w:rsidRPr="00E375ED">
                <w:rPr>
                  <w:rStyle w:val="Hyperlink"/>
                  <w:rFonts w:cs="Arial"/>
                  <w:sz w:val="22"/>
                  <w:szCs w:val="22"/>
                  <w:lang w:val="fr-FR"/>
                </w:rPr>
                <w:t>.d</w:t>
              </w:r>
            </w:hyperlink>
          </w:p>
        </w:tc>
        <w:tc>
          <w:tcPr>
            <w:tcW w:w="782" w:type="pct"/>
          </w:tcPr>
          <w:p w14:paraId="2AE0D35D" w14:textId="77777777" w:rsidR="005302D5" w:rsidRPr="00E375ED" w:rsidRDefault="005302D5" w:rsidP="00044118">
            <w:pPr>
              <w:spacing w:before="120" w:after="120"/>
              <w:jc w:val="center"/>
              <w:rPr>
                <w:rFonts w:cs="Arial"/>
                <w:sz w:val="22"/>
                <w:szCs w:val="22"/>
                <w:lang w:val="fr-FR"/>
              </w:rPr>
            </w:pPr>
            <w:r w:rsidRPr="00E375ED">
              <w:rPr>
                <w:rFonts w:cs="Arial"/>
                <w:sz w:val="22"/>
                <w:szCs w:val="22"/>
                <w:lang w:val="fr-FR"/>
              </w:rPr>
              <w:t>Mongolie</w:t>
            </w:r>
          </w:p>
        </w:tc>
        <w:tc>
          <w:tcPr>
            <w:tcW w:w="1326" w:type="pct"/>
          </w:tcPr>
          <w:p w14:paraId="0E197353" w14:textId="77777777" w:rsidR="005302D5" w:rsidRPr="00E375ED" w:rsidRDefault="005302D5" w:rsidP="00044118">
            <w:pPr>
              <w:spacing w:before="120" w:after="120"/>
              <w:rPr>
                <w:rFonts w:cs="Arial"/>
                <w:sz w:val="22"/>
                <w:szCs w:val="22"/>
                <w:lang w:val="fr-FR"/>
              </w:rPr>
            </w:pPr>
            <w:r w:rsidRPr="00E375ED">
              <w:rPr>
                <w:rFonts w:cs="Arial"/>
                <w:sz w:val="22"/>
                <w:szCs w:val="22"/>
                <w:lang w:val="fr-FR"/>
              </w:rPr>
              <w:t>Le maintien et la transmission du biyelgee mongol</w:t>
            </w:r>
          </w:p>
        </w:tc>
        <w:tc>
          <w:tcPr>
            <w:tcW w:w="702" w:type="pct"/>
          </w:tcPr>
          <w:p w14:paraId="0169F725" w14:textId="5E5FFD51" w:rsidR="005302D5" w:rsidRPr="00E375ED" w:rsidRDefault="005302D5" w:rsidP="00044118">
            <w:pPr>
              <w:spacing w:before="120" w:after="120"/>
              <w:jc w:val="center"/>
              <w:rPr>
                <w:rFonts w:cs="Arial"/>
                <w:sz w:val="22"/>
                <w:szCs w:val="22"/>
                <w:lang w:val="fr-FR"/>
              </w:rPr>
            </w:pPr>
            <w:r w:rsidRPr="00E375ED">
              <w:rPr>
                <w:rFonts w:cs="Arial"/>
                <w:sz w:val="22"/>
                <w:szCs w:val="22"/>
                <w:lang w:val="fr-FR"/>
              </w:rPr>
              <w:t>17</w:t>
            </w:r>
            <w:r w:rsidR="00346E79" w:rsidRPr="00E375ED">
              <w:rPr>
                <w:rFonts w:cs="Arial"/>
                <w:sz w:val="22"/>
                <w:szCs w:val="22"/>
                <w:lang w:val="fr-FR"/>
              </w:rPr>
              <w:t>2</w:t>
            </w:r>
            <w:r w:rsidRPr="00E375ED">
              <w:rPr>
                <w:rFonts w:cs="Arial"/>
                <w:sz w:val="22"/>
                <w:szCs w:val="22"/>
                <w:lang w:val="fr-FR"/>
              </w:rPr>
              <w:t> </w:t>
            </w:r>
            <w:r w:rsidR="00346E79" w:rsidRPr="00E375ED">
              <w:rPr>
                <w:rFonts w:cs="Arial"/>
                <w:sz w:val="22"/>
                <w:szCs w:val="22"/>
                <w:lang w:val="fr-FR"/>
              </w:rPr>
              <w:t>095</w:t>
            </w:r>
            <w:r w:rsidRPr="00E375ED">
              <w:rPr>
                <w:rFonts w:cs="Arial"/>
                <w:sz w:val="22"/>
                <w:szCs w:val="22"/>
                <w:lang w:val="fr-FR"/>
              </w:rPr>
              <w:t xml:space="preserve"> dollars des Etats-Unis</w:t>
            </w:r>
          </w:p>
        </w:tc>
        <w:tc>
          <w:tcPr>
            <w:tcW w:w="704" w:type="pct"/>
          </w:tcPr>
          <w:p w14:paraId="0F0126DA" w14:textId="090BFF23" w:rsidR="005302D5" w:rsidRPr="00E375ED" w:rsidRDefault="009424E1" w:rsidP="00044118">
            <w:pPr>
              <w:spacing w:before="120" w:after="120"/>
              <w:jc w:val="center"/>
              <w:rPr>
                <w:rFonts w:cs="Arial"/>
                <w:sz w:val="22"/>
                <w:szCs w:val="22"/>
                <w:lang w:val="fr-FR"/>
              </w:rPr>
            </w:pPr>
            <w:r w:rsidRPr="00E375ED">
              <w:rPr>
                <w:rFonts w:cs="Arial"/>
                <w:sz w:val="22"/>
                <w:szCs w:val="22"/>
                <w:lang w:val="fr-FR"/>
              </w:rPr>
              <w:t>Oui</w:t>
            </w:r>
          </w:p>
        </w:tc>
        <w:tc>
          <w:tcPr>
            <w:tcW w:w="547" w:type="pct"/>
          </w:tcPr>
          <w:p w14:paraId="593AFE90" w14:textId="063C4F13" w:rsidR="005302D5" w:rsidRPr="00E375ED" w:rsidRDefault="00E61536" w:rsidP="00044118">
            <w:pPr>
              <w:spacing w:before="120" w:after="120"/>
              <w:jc w:val="center"/>
              <w:rPr>
                <w:rFonts w:cs="Arial"/>
                <w:bCs/>
                <w:sz w:val="22"/>
                <w:szCs w:val="22"/>
                <w:lang w:val="fr-FR" w:eastAsia="en-GB"/>
              </w:rPr>
            </w:pPr>
            <w:hyperlink r:id="rId9" w:anchor="8.d" w:history="1">
              <w:r w:rsidR="005302D5" w:rsidRPr="00EE7237">
                <w:rPr>
                  <w:rStyle w:val="Hyperlink"/>
                  <w:rFonts w:cs="Arial"/>
                  <w:sz w:val="22"/>
                  <w:szCs w:val="22"/>
                  <w:lang w:val="fr-FR"/>
                </w:rPr>
                <w:t>01500</w:t>
              </w:r>
            </w:hyperlink>
          </w:p>
        </w:tc>
      </w:tr>
    </w:tbl>
    <w:p w14:paraId="3207F612" w14:textId="77777777" w:rsidR="008010EE" w:rsidRPr="00E375ED" w:rsidRDefault="008010EE" w:rsidP="008010EE">
      <w:pPr>
        <w:pStyle w:val="NoSpacing1"/>
        <w:keepNext/>
        <w:numPr>
          <w:ilvl w:val="0"/>
          <w:numId w:val="40"/>
        </w:numPr>
        <w:tabs>
          <w:tab w:val="left" w:pos="567"/>
        </w:tabs>
        <w:spacing w:before="360" w:after="240"/>
        <w:ind w:left="567" w:hanging="567"/>
        <w:jc w:val="both"/>
        <w:rPr>
          <w:rFonts w:ascii="Arial" w:hAnsi="Arial" w:cs="Arial"/>
          <w:b/>
        </w:rPr>
      </w:pPr>
      <w:r w:rsidRPr="00E375ED">
        <w:rPr>
          <w:rFonts w:ascii="Arial" w:hAnsi="Arial" w:cs="Arial"/>
          <w:b/>
        </w:rPr>
        <w:t>Projet de décision</w:t>
      </w:r>
    </w:p>
    <w:p w14:paraId="176661B7" w14:textId="12EDE680" w:rsidR="008010EE" w:rsidRPr="00E375ED" w:rsidRDefault="008010EE" w:rsidP="008010EE">
      <w:pPr>
        <w:pStyle w:val="ListParagraph"/>
        <w:numPr>
          <w:ilvl w:val="0"/>
          <w:numId w:val="41"/>
        </w:numPr>
        <w:spacing w:before="240" w:after="240"/>
        <w:ind w:left="567" w:hanging="567"/>
        <w:jc w:val="both"/>
        <w:rPr>
          <w:rFonts w:ascii="Arial" w:hAnsi="Arial" w:cs="Arial"/>
          <w:snapToGrid w:val="0"/>
          <w:sz w:val="22"/>
          <w:szCs w:val="22"/>
          <w:lang w:val="fr-FR"/>
        </w:rPr>
      </w:pPr>
      <w:bookmarkStart w:id="4" w:name="_DRAFT_DECISION_10.COM"/>
      <w:bookmarkEnd w:id="4"/>
      <w:r w:rsidRPr="00E375ED">
        <w:rPr>
          <w:rFonts w:ascii="Arial" w:hAnsi="Arial" w:cs="Arial"/>
          <w:snapToGrid w:val="0"/>
          <w:sz w:val="22"/>
          <w:szCs w:val="22"/>
          <w:lang w:val="fr-FR"/>
        </w:rPr>
        <w:t xml:space="preserve">Le Comité souhaitera peut-être adopter la décision suivante : </w:t>
      </w:r>
    </w:p>
    <w:p w14:paraId="7E658286" w14:textId="3B791397" w:rsidR="008010EE" w:rsidRPr="00E375ED" w:rsidRDefault="008010EE" w:rsidP="00F645FD">
      <w:pPr>
        <w:pStyle w:val="Heading2"/>
        <w:numPr>
          <w:ilvl w:val="0"/>
          <w:numId w:val="33"/>
        </w:numPr>
        <w:spacing w:before="360" w:after="120"/>
        <w:ind w:left="567"/>
        <w:rPr>
          <w:b/>
          <w:bCs/>
          <w:sz w:val="22"/>
          <w:szCs w:val="22"/>
          <w:lang w:val="fr-FR"/>
        </w:rPr>
      </w:pPr>
      <w:bookmarkStart w:id="5" w:name="_PROJET_DE_DÉCISION"/>
      <w:bookmarkEnd w:id="5"/>
      <w:r w:rsidRPr="00E375ED">
        <w:rPr>
          <w:b/>
          <w:bCs/>
          <w:sz w:val="22"/>
          <w:szCs w:val="22"/>
          <w:lang w:val="fr-FR"/>
        </w:rPr>
        <w:t xml:space="preserve">PROJET DE DÉCISION 16.COM </w:t>
      </w:r>
      <w:r w:rsidR="00283E24" w:rsidRPr="00E375ED">
        <w:rPr>
          <w:b/>
          <w:bCs/>
          <w:sz w:val="22"/>
          <w:szCs w:val="22"/>
          <w:lang w:val="fr-FR"/>
        </w:rPr>
        <w:t>8</w:t>
      </w:r>
      <w:r w:rsidRPr="00E375ED">
        <w:rPr>
          <w:b/>
          <w:bCs/>
          <w:sz w:val="22"/>
          <w:szCs w:val="22"/>
          <w:lang w:val="fr-FR"/>
        </w:rPr>
        <w:t>.d</w:t>
      </w:r>
      <w:r w:rsidR="009B79A0" w:rsidRPr="00E375ED">
        <w:rPr>
          <w:lang w:val="fr-FR"/>
        </w:rPr>
        <w:tab/>
      </w:r>
      <w:r w:rsidR="009B79A0" w:rsidRPr="00825C0C">
        <w:rPr>
          <w:noProof/>
          <w:sz w:val="22"/>
          <w:szCs w:val="22"/>
          <w:lang w:val="fr-FR" w:eastAsia="ja-JP"/>
        </w:rPr>
        <w:drawing>
          <wp:inline distT="0" distB="0" distL="0" distR="0" wp14:anchorId="2EF16D4F" wp14:editId="69E057AD">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74D49CA" w14:textId="52937664" w:rsidR="008010EE" w:rsidRPr="00E375ED" w:rsidRDefault="008010EE" w:rsidP="00F645FD">
      <w:pPr>
        <w:pStyle w:val="NoSpacing"/>
        <w:keepNext/>
        <w:tabs>
          <w:tab w:val="left" w:pos="567"/>
          <w:tab w:val="left" w:pos="1134"/>
          <w:tab w:val="left" w:pos="1701"/>
          <w:tab w:val="left" w:pos="2268"/>
        </w:tabs>
        <w:spacing w:before="120" w:after="120"/>
        <w:ind w:firstLine="567"/>
        <w:jc w:val="both"/>
        <w:rPr>
          <w:rFonts w:ascii="Arial" w:hAnsi="Arial"/>
        </w:rPr>
      </w:pPr>
      <w:r w:rsidRPr="00E375ED">
        <w:rPr>
          <w:rFonts w:ascii="Arial" w:hAnsi="Arial"/>
        </w:rPr>
        <w:t>Le Comité</w:t>
      </w:r>
      <w:r w:rsidR="00353459" w:rsidRPr="00E375ED">
        <w:rPr>
          <w:rFonts w:ascii="Arial" w:hAnsi="Arial"/>
        </w:rPr>
        <w:t>,</w:t>
      </w:r>
    </w:p>
    <w:p w14:paraId="0B148EA5" w14:textId="1DC166A7" w:rsidR="008010EE" w:rsidRPr="00E375ED" w:rsidRDefault="008010EE" w:rsidP="00F645FD">
      <w:pPr>
        <w:pStyle w:val="Style1"/>
        <w:keepNext/>
        <w:numPr>
          <w:ilvl w:val="1"/>
          <w:numId w:val="33"/>
        </w:numPr>
        <w:tabs>
          <w:tab w:val="clear" w:pos="1134"/>
          <w:tab w:val="left" w:pos="1276"/>
        </w:tabs>
        <w:ind w:left="1134"/>
        <w:rPr>
          <w:lang w:val="fr-FR"/>
        </w:rPr>
      </w:pPr>
      <w:r w:rsidRPr="00E375ED">
        <w:rPr>
          <w:u w:val="single"/>
          <w:lang w:val="fr-FR"/>
        </w:rPr>
        <w:t>Rappelant</w:t>
      </w:r>
      <w:r w:rsidRPr="00E375ED">
        <w:rPr>
          <w:lang w:val="fr-FR"/>
        </w:rPr>
        <w:t xml:space="preserve"> l’</w:t>
      </w:r>
      <w:r w:rsidR="00353459" w:rsidRPr="00E375ED">
        <w:rPr>
          <w:lang w:val="fr-FR"/>
        </w:rPr>
        <w:t>a</w:t>
      </w:r>
      <w:r w:rsidRPr="00E375ED">
        <w:rPr>
          <w:lang w:val="fr-FR"/>
        </w:rPr>
        <w:t xml:space="preserve">rticle 23 de la Convention, ainsi que le </w:t>
      </w:r>
      <w:r w:rsidR="00353459" w:rsidRPr="00E375ED">
        <w:rPr>
          <w:lang w:val="fr-FR"/>
        </w:rPr>
        <w:t>c</w:t>
      </w:r>
      <w:r w:rsidRPr="00E375ED">
        <w:rPr>
          <w:lang w:val="fr-FR"/>
        </w:rPr>
        <w:t xml:space="preserve">hapitre I.4 des </w:t>
      </w:r>
      <w:r w:rsidR="00353459" w:rsidRPr="00E375ED">
        <w:rPr>
          <w:lang w:val="fr-FR"/>
        </w:rPr>
        <w:t>d</w:t>
      </w:r>
      <w:r w:rsidRPr="00E375ED">
        <w:rPr>
          <w:lang w:val="fr-FR"/>
        </w:rPr>
        <w:t>irectives opérationnelles relatives à l’admissibilité et aux critères des demandes d’</w:t>
      </w:r>
      <w:r w:rsidR="00353459" w:rsidRPr="00E375ED">
        <w:rPr>
          <w:lang w:val="fr-FR"/>
        </w:rPr>
        <w:t>a</w:t>
      </w:r>
      <w:r w:rsidRPr="00E375ED">
        <w:rPr>
          <w:lang w:val="fr-FR"/>
        </w:rPr>
        <w:t>ssistance internationale,</w:t>
      </w:r>
    </w:p>
    <w:p w14:paraId="2EB115A0" w14:textId="1F8BE020" w:rsidR="008010EE" w:rsidRPr="00E375ED" w:rsidRDefault="008010EE" w:rsidP="00F645FD">
      <w:pPr>
        <w:pStyle w:val="Style1"/>
        <w:keepNext/>
        <w:numPr>
          <w:ilvl w:val="1"/>
          <w:numId w:val="33"/>
        </w:numPr>
        <w:tabs>
          <w:tab w:val="clear" w:pos="1134"/>
          <w:tab w:val="left" w:pos="1276"/>
        </w:tabs>
        <w:ind w:left="1134"/>
        <w:rPr>
          <w:u w:val="single"/>
          <w:lang w:val="fr-FR"/>
        </w:rPr>
      </w:pPr>
      <w:r w:rsidRPr="00E375ED">
        <w:rPr>
          <w:u w:val="single"/>
          <w:lang w:val="fr-FR"/>
        </w:rPr>
        <w:t>Ayant examiné</w:t>
      </w:r>
      <w:r w:rsidRPr="00E375ED">
        <w:rPr>
          <w:lang w:val="fr-FR"/>
        </w:rPr>
        <w:t> le document </w:t>
      </w:r>
      <w:hyperlink r:id="rId12" w:history="1">
        <w:r w:rsidRPr="00E375ED">
          <w:rPr>
            <w:lang w:val="fr-FR"/>
          </w:rPr>
          <w:t>LHE/21/16.COM/</w:t>
        </w:r>
        <w:r w:rsidR="002D00CB" w:rsidRPr="00E375ED">
          <w:rPr>
            <w:lang w:val="fr-FR"/>
          </w:rPr>
          <w:t>8</w:t>
        </w:r>
        <w:r w:rsidRPr="00E375ED">
          <w:rPr>
            <w:lang w:val="fr-FR"/>
          </w:rPr>
          <w:t>.d</w:t>
        </w:r>
      </w:hyperlink>
      <w:r w:rsidRPr="00E375ED">
        <w:rPr>
          <w:lang w:val="fr-FR"/>
        </w:rPr>
        <w:t> ainsi que la demande d’</w:t>
      </w:r>
      <w:r w:rsidR="00353459" w:rsidRPr="00E375ED">
        <w:rPr>
          <w:lang w:val="fr-FR"/>
        </w:rPr>
        <w:t>a</w:t>
      </w:r>
      <w:r w:rsidRPr="00E375ED">
        <w:rPr>
          <w:lang w:val="fr-FR"/>
        </w:rPr>
        <w:t>ssistance internationale n°</w:t>
      </w:r>
      <w:r w:rsidR="00353459" w:rsidRPr="00E375ED">
        <w:rPr>
          <w:lang w:val="fr-FR"/>
        </w:rPr>
        <w:t> </w:t>
      </w:r>
      <w:r w:rsidRPr="00E375ED">
        <w:rPr>
          <w:lang w:val="fr-FR"/>
        </w:rPr>
        <w:t>01842 soumise par la Mongolie,</w:t>
      </w:r>
    </w:p>
    <w:p w14:paraId="5A97721E" w14:textId="31F75FF0" w:rsidR="008010EE" w:rsidRPr="00E375ED" w:rsidRDefault="008010EE" w:rsidP="00F645FD">
      <w:pPr>
        <w:pStyle w:val="Style1"/>
        <w:keepNext/>
        <w:numPr>
          <w:ilvl w:val="1"/>
          <w:numId w:val="33"/>
        </w:numPr>
        <w:tabs>
          <w:tab w:val="clear" w:pos="1134"/>
          <w:tab w:val="left" w:pos="1276"/>
        </w:tabs>
        <w:ind w:left="1134"/>
        <w:rPr>
          <w:u w:val="single"/>
          <w:lang w:val="fr-FR"/>
        </w:rPr>
      </w:pPr>
      <w:r w:rsidRPr="00E375ED">
        <w:rPr>
          <w:u w:val="single"/>
          <w:lang w:val="fr-FR"/>
        </w:rPr>
        <w:t>Prend note</w:t>
      </w:r>
      <w:r w:rsidRPr="00825C0C">
        <w:rPr>
          <w:lang w:val="fr-FR"/>
        </w:rPr>
        <w:t xml:space="preserve"> que</w:t>
      </w:r>
      <w:r w:rsidRPr="00E375ED">
        <w:rPr>
          <w:lang w:val="fr-FR"/>
        </w:rPr>
        <w:t xml:space="preserve"> la Mongolie a sollicité l’</w:t>
      </w:r>
      <w:r w:rsidR="00353459" w:rsidRPr="00E375ED">
        <w:rPr>
          <w:lang w:val="fr-FR"/>
        </w:rPr>
        <w:t>a</w:t>
      </w:r>
      <w:r w:rsidRPr="00E375ED">
        <w:rPr>
          <w:lang w:val="fr-FR"/>
        </w:rPr>
        <w:t xml:space="preserve">ssistance internationale pour le projet intitulé </w:t>
      </w:r>
      <w:r w:rsidR="00353459" w:rsidRPr="00E375ED">
        <w:rPr>
          <w:b/>
          <w:bCs/>
          <w:lang w:val="fr-FR"/>
        </w:rPr>
        <w:t>L</w:t>
      </w:r>
      <w:r w:rsidR="00514B07" w:rsidRPr="00E375ED">
        <w:rPr>
          <w:b/>
          <w:bCs/>
          <w:lang w:val="fr-FR"/>
        </w:rPr>
        <w:t xml:space="preserve">e maintien et la transmission du biyelgee </w:t>
      </w:r>
      <w:r w:rsidR="003D62FC" w:rsidRPr="00E375ED">
        <w:rPr>
          <w:b/>
          <w:bCs/>
          <w:lang w:val="fr-FR"/>
        </w:rPr>
        <w:t>mongol</w:t>
      </w:r>
      <w:r w:rsidR="003D62FC" w:rsidRPr="00E375ED">
        <w:rPr>
          <w:lang w:val="fr-FR"/>
        </w:rPr>
        <w:t xml:space="preserve"> :</w:t>
      </w:r>
    </w:p>
    <w:p w14:paraId="7F01BE50" w14:textId="26B90D65" w:rsidR="008010EE" w:rsidRPr="00E375ED" w:rsidRDefault="008010EE" w:rsidP="00F645FD">
      <w:pPr>
        <w:tabs>
          <w:tab w:val="left" w:pos="1134"/>
          <w:tab w:val="left" w:pos="1701"/>
          <w:tab w:val="left" w:pos="2268"/>
        </w:tabs>
        <w:spacing w:before="120" w:after="120"/>
        <w:ind w:left="1134"/>
        <w:jc w:val="both"/>
        <w:rPr>
          <w:rFonts w:cs="Arial"/>
          <w:sz w:val="22"/>
          <w:szCs w:val="22"/>
          <w:lang w:val="fr-FR"/>
        </w:rPr>
      </w:pPr>
      <w:r w:rsidRPr="00E375ED">
        <w:rPr>
          <w:rFonts w:cs="Arial"/>
          <w:sz w:val="22"/>
          <w:szCs w:val="22"/>
          <w:lang w:val="fr-FR"/>
        </w:rPr>
        <w:t xml:space="preserve">Le but de ce projet sur trois ans consiste à évaluer et renforcer la viabilité du </w:t>
      </w:r>
      <w:r w:rsidR="00E375ED">
        <w:rPr>
          <w:rFonts w:cs="Arial"/>
          <w:sz w:val="22"/>
          <w:szCs w:val="22"/>
          <w:lang w:val="fr-FR"/>
        </w:rPr>
        <w:t>b</w:t>
      </w:r>
      <w:r w:rsidRPr="00E375ED">
        <w:rPr>
          <w:rFonts w:cs="Arial"/>
          <w:sz w:val="22"/>
          <w:szCs w:val="22"/>
          <w:lang w:val="fr-FR"/>
        </w:rPr>
        <w:t xml:space="preserve">iyelgee mongol et de transférer cet élément de la Liste du patrimoine immatériel nécessitant une sauvegarde urgente vers la Liste représentative du patrimoine culturel immatériel de l’humanité. Destiné à être mis en œuvre par l’Institut des études culturelles et artistiques de l’Université d’État de Mongolie pour les Arts et la culture, ce projet englobe la réalisation d’études de terrain dans plusieurs provinces pour évaluer et inventorier les connaissances, les pratiques et les </w:t>
      </w:r>
      <w:r w:rsidR="00093891" w:rsidRPr="00E375ED">
        <w:rPr>
          <w:rFonts w:cs="Arial"/>
          <w:sz w:val="22"/>
          <w:szCs w:val="22"/>
          <w:lang w:val="fr-FR"/>
        </w:rPr>
        <w:t xml:space="preserve">détenteurs </w:t>
      </w:r>
      <w:r w:rsidRPr="00E375ED">
        <w:rPr>
          <w:rFonts w:cs="Arial"/>
          <w:sz w:val="22"/>
          <w:szCs w:val="22"/>
          <w:lang w:val="fr-FR"/>
        </w:rPr>
        <w:t xml:space="preserve">en lien avec cette danse populaire traditionnelle mongole. Les autres activités sont l’élaboration d’un </w:t>
      </w:r>
      <w:r w:rsidR="00D73BF4" w:rsidRPr="00E375ED">
        <w:rPr>
          <w:rFonts w:cs="Arial"/>
          <w:sz w:val="22"/>
          <w:szCs w:val="22"/>
          <w:lang w:val="fr-FR"/>
        </w:rPr>
        <w:t xml:space="preserve">imprimé </w:t>
      </w:r>
      <w:r w:rsidRPr="00E375ED">
        <w:rPr>
          <w:rFonts w:cs="Arial"/>
          <w:sz w:val="22"/>
          <w:szCs w:val="22"/>
          <w:lang w:val="fr-FR"/>
        </w:rPr>
        <w:t xml:space="preserve">synthétisant les conclusions des études sur le terrain, la mise en place d’un apprentissage dans sept régions, l’organisation d’un séminaire de sensibilisation à l’attention des acteurs culturels du pays, et le tournage d’un film documentaire. Le projet inclut également la création de contenus supplémentaires numériques et papier, ainsi que la coordination d’un colloque et d’un festival de danse populaire </w:t>
      </w:r>
      <w:r w:rsidR="00E375ED">
        <w:rPr>
          <w:rFonts w:cs="Arial"/>
          <w:sz w:val="22"/>
          <w:szCs w:val="22"/>
          <w:lang w:val="fr-FR"/>
        </w:rPr>
        <w:t>b</w:t>
      </w:r>
      <w:r w:rsidRPr="00E375ED">
        <w:rPr>
          <w:rFonts w:cs="Arial"/>
          <w:sz w:val="22"/>
          <w:szCs w:val="22"/>
          <w:lang w:val="fr-FR"/>
        </w:rPr>
        <w:t xml:space="preserve">iyelgee. Les mesures de sauvegarde ont été élaborées avec la participation de pratiquants du </w:t>
      </w:r>
      <w:r w:rsidR="00E375ED">
        <w:rPr>
          <w:rFonts w:cs="Arial"/>
          <w:sz w:val="22"/>
          <w:szCs w:val="22"/>
          <w:lang w:val="fr-FR"/>
        </w:rPr>
        <w:t>b</w:t>
      </w:r>
      <w:r w:rsidRPr="00E375ED">
        <w:rPr>
          <w:rFonts w:cs="Arial"/>
          <w:sz w:val="22"/>
          <w:szCs w:val="22"/>
          <w:lang w:val="fr-FR"/>
        </w:rPr>
        <w:t xml:space="preserve">iyelgee, des communautés locales, notamment les jeunes, les femmes et les travailleurs culturels et les autres parties prenantes concernées. Outre l’amélioration de la viabilité de l’élément et l’augmentation du nombre de </w:t>
      </w:r>
      <w:r w:rsidR="00093891" w:rsidRPr="00E375ED">
        <w:rPr>
          <w:rFonts w:cs="Arial"/>
          <w:sz w:val="22"/>
          <w:szCs w:val="22"/>
          <w:lang w:val="fr-FR"/>
        </w:rPr>
        <w:t xml:space="preserve">détenteurs </w:t>
      </w:r>
      <w:r w:rsidRPr="00E375ED">
        <w:rPr>
          <w:rFonts w:cs="Arial"/>
          <w:sz w:val="22"/>
          <w:szCs w:val="22"/>
          <w:lang w:val="fr-FR"/>
        </w:rPr>
        <w:t>et de formateurs, le projet a pour mission d’enrichir les capacités des acteurs locaux à sauvegarder le patrimoine culturel immatériel en général.</w:t>
      </w:r>
    </w:p>
    <w:p w14:paraId="00EF05F7" w14:textId="548C7498" w:rsidR="008010EE" w:rsidRPr="00E375ED" w:rsidRDefault="008010EE" w:rsidP="00F645FD">
      <w:pPr>
        <w:pStyle w:val="Style1"/>
        <w:keepNext/>
        <w:numPr>
          <w:ilvl w:val="1"/>
          <w:numId w:val="33"/>
        </w:numPr>
        <w:tabs>
          <w:tab w:val="clear" w:pos="1134"/>
          <w:tab w:val="left" w:pos="1276"/>
        </w:tabs>
        <w:ind w:left="1134"/>
        <w:rPr>
          <w:lang w:val="fr-FR"/>
        </w:rPr>
      </w:pPr>
      <w:r w:rsidRPr="00E375ED">
        <w:rPr>
          <w:u w:val="single"/>
          <w:lang w:val="fr-FR"/>
        </w:rPr>
        <w:lastRenderedPageBreak/>
        <w:t>Prend note</w:t>
      </w:r>
      <w:r w:rsidR="00353459" w:rsidRPr="00E375ED">
        <w:rPr>
          <w:u w:val="single"/>
          <w:lang w:val="fr-FR"/>
        </w:rPr>
        <w:t xml:space="preserve"> en outre</w:t>
      </w:r>
      <w:r w:rsidRPr="00E375ED">
        <w:rPr>
          <w:lang w:val="fr-FR"/>
        </w:rPr>
        <w:t> que cette assistance a pour but l’accompagnement d’un projet mis en œuvre au niveau national, conformément à l’</w:t>
      </w:r>
      <w:r w:rsidR="00353459" w:rsidRPr="00E375ED">
        <w:rPr>
          <w:lang w:val="fr-FR"/>
        </w:rPr>
        <w:t>a</w:t>
      </w:r>
      <w:r w:rsidRPr="00E375ED">
        <w:rPr>
          <w:lang w:val="fr-FR"/>
        </w:rPr>
        <w:t xml:space="preserve">rticle 20 (c) of the Convention, et qu’il prend la forme de </w:t>
      </w:r>
      <w:r w:rsidRPr="00E375ED">
        <w:rPr>
          <w:b/>
          <w:bCs/>
          <w:lang w:val="fr-FR"/>
        </w:rPr>
        <w:t>l’octroi d’un</w:t>
      </w:r>
      <w:r w:rsidR="007063E3" w:rsidRPr="00E375ED">
        <w:rPr>
          <w:b/>
          <w:bCs/>
          <w:lang w:val="fr-FR"/>
        </w:rPr>
        <w:t xml:space="preserve"> don</w:t>
      </w:r>
      <w:r w:rsidR="007063E3" w:rsidRPr="00E375ED">
        <w:rPr>
          <w:lang w:val="fr-FR"/>
        </w:rPr>
        <w:t xml:space="preserve"> </w:t>
      </w:r>
      <w:r w:rsidRPr="00E375ED">
        <w:rPr>
          <w:lang w:val="fr-FR"/>
        </w:rPr>
        <w:t>conformément à l’Article 21 (g) de la Convention</w:t>
      </w:r>
      <w:r w:rsidR="002D6E2B" w:rsidRPr="00E375ED">
        <w:rPr>
          <w:lang w:val="fr-FR"/>
        </w:rPr>
        <w:t> </w:t>
      </w:r>
      <w:r w:rsidRPr="00E375ED">
        <w:rPr>
          <w:lang w:val="fr-FR"/>
        </w:rPr>
        <w:t>;</w:t>
      </w:r>
    </w:p>
    <w:p w14:paraId="6CC494CB" w14:textId="1421DD42" w:rsidR="008010EE" w:rsidRPr="00E375ED" w:rsidRDefault="008010EE" w:rsidP="00F645FD">
      <w:pPr>
        <w:pStyle w:val="Style1"/>
        <w:keepNext/>
        <w:numPr>
          <w:ilvl w:val="1"/>
          <w:numId w:val="33"/>
        </w:numPr>
        <w:tabs>
          <w:tab w:val="clear" w:pos="1134"/>
          <w:tab w:val="left" w:pos="1276"/>
        </w:tabs>
        <w:ind w:left="1134"/>
        <w:rPr>
          <w:lang w:val="fr-FR"/>
        </w:rPr>
      </w:pPr>
      <w:r w:rsidRPr="00E375ED">
        <w:rPr>
          <w:u w:val="single"/>
          <w:lang w:val="fr-FR"/>
        </w:rPr>
        <w:t>Prend également note</w:t>
      </w:r>
      <w:r w:rsidRPr="00E375ED">
        <w:rPr>
          <w:lang w:val="fr-FR"/>
        </w:rPr>
        <w:t> que la Mongolie a demandé une assistance d’un montant de 17</w:t>
      </w:r>
      <w:r w:rsidR="00150892" w:rsidRPr="00E375ED">
        <w:rPr>
          <w:lang w:val="fr-FR"/>
        </w:rPr>
        <w:t>2</w:t>
      </w:r>
      <w:r w:rsidR="00353459" w:rsidRPr="00E375ED">
        <w:rPr>
          <w:lang w:val="fr-FR"/>
        </w:rPr>
        <w:t> </w:t>
      </w:r>
      <w:r w:rsidR="00150892" w:rsidRPr="00E375ED">
        <w:rPr>
          <w:lang w:val="fr-FR"/>
        </w:rPr>
        <w:t>095</w:t>
      </w:r>
      <w:r w:rsidR="00353459" w:rsidRPr="00E375ED">
        <w:rPr>
          <w:lang w:val="fr-FR"/>
        </w:rPr>
        <w:t xml:space="preserve"> dollars des États-Unis</w:t>
      </w:r>
      <w:r w:rsidRPr="00E375ED">
        <w:rPr>
          <w:lang w:val="fr-FR"/>
        </w:rPr>
        <w:t xml:space="preserve"> auprès du Fonds du patrimoine culturel immatériel pour la mise en œuvre de ce projet</w:t>
      </w:r>
      <w:r w:rsidR="00342287" w:rsidRPr="00E375ED">
        <w:rPr>
          <w:lang w:val="fr-FR"/>
        </w:rPr>
        <w:t> </w:t>
      </w:r>
      <w:r w:rsidRPr="00E375ED">
        <w:rPr>
          <w:lang w:val="fr-FR"/>
        </w:rPr>
        <w:t>;</w:t>
      </w:r>
    </w:p>
    <w:p w14:paraId="4C8D1533" w14:textId="30A8CFF1" w:rsidR="008010EE" w:rsidRPr="00E375ED" w:rsidRDefault="00353459" w:rsidP="00F645FD">
      <w:pPr>
        <w:pStyle w:val="Style1"/>
        <w:keepNext/>
        <w:numPr>
          <w:ilvl w:val="1"/>
          <w:numId w:val="33"/>
        </w:numPr>
        <w:tabs>
          <w:tab w:val="clear" w:pos="1134"/>
          <w:tab w:val="left" w:pos="1276"/>
        </w:tabs>
        <w:ind w:left="1134"/>
        <w:rPr>
          <w:lang w:val="fr-FR"/>
        </w:rPr>
      </w:pPr>
      <w:r w:rsidRPr="00E375ED">
        <w:rPr>
          <w:u w:val="single"/>
          <w:lang w:val="fr-FR"/>
        </w:rPr>
        <w:t>Considère</w:t>
      </w:r>
      <w:r w:rsidRPr="00E375ED">
        <w:rPr>
          <w:lang w:val="fr-FR"/>
        </w:rPr>
        <w:t xml:space="preserve"> </w:t>
      </w:r>
      <w:r w:rsidR="008010EE" w:rsidRPr="00E375ED">
        <w:rPr>
          <w:lang w:val="fr-FR"/>
        </w:rPr>
        <w:t>que, sur la base des informations contenues dans le dossier</w:t>
      </w:r>
      <w:r w:rsidR="00150892" w:rsidRPr="00E375ED">
        <w:rPr>
          <w:lang w:val="fr-FR"/>
        </w:rPr>
        <w:t xml:space="preserve"> ainsi que celles fournies par l’État soumissionnaire dans le cadre du processus de dialogue</w:t>
      </w:r>
      <w:r w:rsidR="008010EE" w:rsidRPr="00E375ED">
        <w:rPr>
          <w:lang w:val="fr-FR"/>
        </w:rPr>
        <w:t xml:space="preserve">, la </w:t>
      </w:r>
      <w:r w:rsidRPr="00E375ED">
        <w:rPr>
          <w:lang w:val="fr-FR"/>
        </w:rPr>
        <w:t>demande</w:t>
      </w:r>
      <w:r w:rsidR="008010EE" w:rsidRPr="00E375ED">
        <w:rPr>
          <w:lang w:val="fr-FR"/>
        </w:rPr>
        <w:t xml:space="preserve"> répond comme suit aux critères de l’octroi de l’</w:t>
      </w:r>
      <w:r w:rsidRPr="00E375ED">
        <w:rPr>
          <w:lang w:val="fr-FR"/>
        </w:rPr>
        <w:t>a</w:t>
      </w:r>
      <w:r w:rsidR="008010EE" w:rsidRPr="00E375ED">
        <w:rPr>
          <w:lang w:val="fr-FR"/>
        </w:rPr>
        <w:t xml:space="preserve">ssistance internationale figurant dans les paragraphes 10 et 12 des </w:t>
      </w:r>
      <w:r w:rsidRPr="00E375ED">
        <w:rPr>
          <w:lang w:val="fr-FR"/>
        </w:rPr>
        <w:t>d</w:t>
      </w:r>
      <w:r w:rsidR="008010EE" w:rsidRPr="00E375ED">
        <w:rPr>
          <w:lang w:val="fr-FR"/>
        </w:rPr>
        <w:t>irectives opérationnelles :</w:t>
      </w:r>
    </w:p>
    <w:p w14:paraId="5B7328A8" w14:textId="527AE4D2"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A.1 :</w:t>
      </w:r>
      <w:r w:rsidR="00621A14" w:rsidRPr="00621A14">
        <w:rPr>
          <w:rFonts w:ascii="Arial" w:eastAsiaTheme="minorEastAsia" w:hAnsi="Arial" w:cs="Arial"/>
          <w:sz w:val="22"/>
          <w:szCs w:val="22"/>
          <w:lang w:val="fr-FR" w:eastAsia="zh-CN"/>
        </w:rPr>
        <w:tab/>
      </w:r>
      <w:r w:rsidR="00150892" w:rsidRPr="00621A14">
        <w:rPr>
          <w:rFonts w:ascii="Arial" w:eastAsiaTheme="minorEastAsia" w:hAnsi="Arial" w:cs="Arial"/>
          <w:sz w:val="22"/>
          <w:szCs w:val="22"/>
          <w:lang w:val="fr-FR" w:eastAsia="zh-CN"/>
        </w:rPr>
        <w:t xml:space="preserve">Les communautés, les groupes et les individus concernés ont été largement impliqués dans la préparation de la </w:t>
      </w:r>
      <w:r w:rsidR="00BB6AF4" w:rsidRPr="00621A14">
        <w:rPr>
          <w:rFonts w:ascii="Arial" w:eastAsiaTheme="minorEastAsia" w:hAnsi="Arial" w:cs="Arial"/>
          <w:sz w:val="22"/>
          <w:szCs w:val="22"/>
          <w:lang w:val="fr-FR" w:eastAsia="zh-CN"/>
        </w:rPr>
        <w:t>candidature</w:t>
      </w:r>
      <w:r w:rsidR="00150892" w:rsidRPr="00621A14">
        <w:rPr>
          <w:rFonts w:ascii="Arial" w:eastAsiaTheme="minorEastAsia" w:hAnsi="Arial" w:cs="Arial"/>
          <w:sz w:val="22"/>
          <w:szCs w:val="22"/>
          <w:lang w:val="fr-FR" w:eastAsia="zh-CN"/>
        </w:rPr>
        <w:t xml:space="preserve"> d'inscription lors des études sur le terrain, ainsi qu'en fournissant des idées et des recommandations. </w:t>
      </w:r>
      <w:r w:rsidR="00150892" w:rsidRPr="001F6740">
        <w:rPr>
          <w:rFonts w:ascii="Arial" w:eastAsiaTheme="minorEastAsia" w:hAnsi="Arial" w:cs="Arial"/>
          <w:sz w:val="22"/>
          <w:szCs w:val="22"/>
          <w:lang w:val="fr-FR" w:eastAsia="zh-CN"/>
        </w:rPr>
        <w:t>Leurs points de vue ont été documentés à l'aide d'enregistrements audio-visuels. Ces communautés, groupes et individus seront également impliqués dans la mise en œuvre des projets, notamment dans l'apprentissage, la conférence de recherche et la collecte de données.</w:t>
      </w:r>
    </w:p>
    <w:p w14:paraId="6BEB9AC8" w14:textId="528F0F50"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A.2 :</w:t>
      </w:r>
      <w:r w:rsid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 xml:space="preserve">Au vu de l’ampleur de la mission à entreprendre, le budget proposé est approprié. </w:t>
      </w:r>
      <w:r w:rsidRPr="001F6740">
        <w:rPr>
          <w:rFonts w:ascii="Arial" w:eastAsiaTheme="minorEastAsia" w:hAnsi="Arial" w:cs="Arial"/>
          <w:sz w:val="22"/>
          <w:szCs w:val="22"/>
          <w:lang w:val="fr-FR" w:eastAsia="zh-CN"/>
        </w:rPr>
        <w:t>Les coûts découlant des études de terrain, du programme d’apprentissage et des publications semblent être adaptés en proportion. L’État partie peut éventuellement envisager l’attribution d’honoraires aux pratiquants et aux élèves pendant le colloque.</w:t>
      </w:r>
    </w:p>
    <w:p w14:paraId="489DDE1F" w14:textId="2ACAD4DE"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A.3 :</w:t>
      </w:r>
      <w:r w:rsidR="00621A14" w:rsidRP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 xml:space="preserve">Le plan comprend un ensemble d’objectifs et leurs activités correspondantes qui sont pertinents et bien conçus. </w:t>
      </w:r>
      <w:r w:rsidRPr="001F6740">
        <w:rPr>
          <w:rFonts w:ascii="Arial" w:eastAsiaTheme="minorEastAsia" w:hAnsi="Arial" w:cs="Arial"/>
          <w:sz w:val="22"/>
          <w:szCs w:val="22"/>
          <w:lang w:val="fr-FR" w:eastAsia="zh-CN"/>
        </w:rPr>
        <w:t xml:space="preserve">Les principaux objectifs de ce projet consistent à réaliser une évaluation de la viabilité de l’élément, </w:t>
      </w:r>
      <w:r w:rsidR="00A309D4" w:rsidRPr="001F6740">
        <w:rPr>
          <w:rFonts w:ascii="Arial" w:eastAsiaTheme="minorEastAsia" w:hAnsi="Arial" w:cs="Arial"/>
          <w:sz w:val="22"/>
          <w:szCs w:val="22"/>
          <w:lang w:val="fr-FR" w:eastAsia="zh-CN"/>
        </w:rPr>
        <w:t xml:space="preserve">afin de </w:t>
      </w:r>
      <w:r w:rsidRPr="001F6740">
        <w:rPr>
          <w:rFonts w:ascii="Arial" w:eastAsiaTheme="minorEastAsia" w:hAnsi="Arial" w:cs="Arial"/>
          <w:sz w:val="22"/>
          <w:szCs w:val="22"/>
          <w:lang w:val="fr-FR" w:eastAsia="zh-CN"/>
        </w:rPr>
        <w:t>le transférer de la Liste du patrimoine immatériel nécessitant une sauvegarde urgente vers la Liste représentative du patrimoine culturel immatériel de l’humanité</w:t>
      </w:r>
      <w:r w:rsidR="00A309D4" w:rsidRPr="001F6740">
        <w:rPr>
          <w:rFonts w:ascii="Arial" w:eastAsiaTheme="minorEastAsia" w:hAnsi="Arial" w:cs="Arial"/>
          <w:sz w:val="22"/>
          <w:szCs w:val="22"/>
          <w:lang w:val="fr-FR" w:eastAsia="zh-CN"/>
        </w:rPr>
        <w:t>. Le projet cherche également à</w:t>
      </w:r>
      <w:r w:rsidRPr="001F6740">
        <w:rPr>
          <w:rFonts w:ascii="Arial" w:eastAsiaTheme="minorEastAsia" w:hAnsi="Arial" w:cs="Arial"/>
          <w:sz w:val="22"/>
          <w:szCs w:val="22"/>
          <w:lang w:val="fr-FR" w:eastAsia="zh-CN"/>
        </w:rPr>
        <w:t xml:space="preserve"> soutenir sa viabilité par le biais d’un apprentissage, de séminaires régionaux, d’un colloque national</w:t>
      </w:r>
      <w:r w:rsidR="00A309D4" w:rsidRPr="001F6740">
        <w:rPr>
          <w:rFonts w:ascii="Arial" w:eastAsiaTheme="minorEastAsia" w:hAnsi="Arial" w:cs="Arial"/>
          <w:sz w:val="22"/>
          <w:szCs w:val="22"/>
          <w:lang w:val="fr-FR" w:eastAsia="zh-CN"/>
        </w:rPr>
        <w:t>,</w:t>
      </w:r>
      <w:r w:rsidRPr="001F6740">
        <w:rPr>
          <w:rFonts w:ascii="Arial" w:eastAsiaTheme="minorEastAsia" w:hAnsi="Arial" w:cs="Arial"/>
          <w:sz w:val="22"/>
          <w:szCs w:val="22"/>
          <w:lang w:val="fr-FR" w:eastAsia="zh-CN"/>
        </w:rPr>
        <w:t xml:space="preserve"> d’un festival de danse populaire, de publications et de supports audio-visuels. Le programme est généralement faisable, bien qu’il soit difficile de déterminer si le premier objectif peut être atteint.</w:t>
      </w:r>
    </w:p>
    <w:p w14:paraId="6B5F21A7" w14:textId="2AFC0603"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A.4 :</w:t>
      </w:r>
      <w:r w:rsidR="00621A14" w:rsidRP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 xml:space="preserve">Le dossier démontre que le projet aura un impact au-delà de sa durée, notamment en stabilisant la pratique du </w:t>
      </w:r>
      <w:r w:rsidR="00353459" w:rsidRPr="00621A14">
        <w:rPr>
          <w:rFonts w:ascii="Arial" w:eastAsiaTheme="minorEastAsia" w:hAnsi="Arial" w:cs="Arial"/>
          <w:sz w:val="22"/>
          <w:szCs w:val="22"/>
          <w:lang w:val="fr-FR" w:eastAsia="zh-CN"/>
        </w:rPr>
        <w:t>b</w:t>
      </w:r>
      <w:r w:rsidRPr="00621A14">
        <w:rPr>
          <w:rFonts w:ascii="Arial" w:eastAsiaTheme="minorEastAsia" w:hAnsi="Arial" w:cs="Arial"/>
          <w:sz w:val="22"/>
          <w:szCs w:val="22"/>
          <w:lang w:val="fr-FR" w:eastAsia="zh-CN"/>
        </w:rPr>
        <w:t xml:space="preserve">iyelgee et sa transmission aux jeunes générations. </w:t>
      </w:r>
      <w:r w:rsidRPr="001F6740">
        <w:rPr>
          <w:rFonts w:ascii="Arial" w:eastAsiaTheme="minorEastAsia" w:hAnsi="Arial" w:cs="Arial"/>
          <w:sz w:val="22"/>
          <w:szCs w:val="22"/>
          <w:lang w:val="fr-FR" w:eastAsia="zh-CN"/>
        </w:rPr>
        <w:t xml:space="preserve">L’instauration d’un système national de sauvegarde et de promotion de l’élément garantit également les effets durables du projet. L’archivage des données dans les bases de données publiques est un résultat important de ce projet, car les futurs pratiquants pourront accéder aux informations </w:t>
      </w:r>
      <w:r w:rsidR="004F142E" w:rsidRPr="001F6740">
        <w:rPr>
          <w:rFonts w:ascii="Arial" w:eastAsiaTheme="minorEastAsia" w:hAnsi="Arial" w:cs="Arial"/>
          <w:sz w:val="22"/>
          <w:szCs w:val="22"/>
          <w:lang w:val="fr-FR" w:eastAsia="zh-CN"/>
        </w:rPr>
        <w:t>à propos de</w:t>
      </w:r>
      <w:r w:rsidRPr="001F6740">
        <w:rPr>
          <w:rFonts w:ascii="Arial" w:eastAsiaTheme="minorEastAsia" w:hAnsi="Arial" w:cs="Arial"/>
          <w:sz w:val="22"/>
          <w:szCs w:val="22"/>
          <w:lang w:val="fr-FR" w:eastAsia="zh-CN"/>
        </w:rPr>
        <w:t xml:space="preserve"> l’élément. Les activités de diffusion prévues auront elles aussi des impacts à long terme.</w:t>
      </w:r>
    </w:p>
    <w:p w14:paraId="3B9AEE11" w14:textId="3E3E20CB"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A.5 :</w:t>
      </w:r>
      <w:r w:rsid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 xml:space="preserve">Le dossier démontre que l’État prendra partiellement en charge les coûts des activités du projet. </w:t>
      </w:r>
      <w:r w:rsidRPr="001F6740">
        <w:rPr>
          <w:rFonts w:ascii="Arial" w:eastAsiaTheme="minorEastAsia" w:hAnsi="Arial" w:cs="Arial"/>
          <w:sz w:val="22"/>
          <w:szCs w:val="22"/>
          <w:lang w:val="fr-FR" w:eastAsia="zh-CN"/>
        </w:rPr>
        <w:t>L’État partie prévoit une contribution de 46 710</w:t>
      </w:r>
      <w:r w:rsidR="00353459" w:rsidRPr="001F6740">
        <w:rPr>
          <w:rFonts w:ascii="Arial" w:eastAsiaTheme="minorEastAsia" w:hAnsi="Arial" w:cs="Arial"/>
          <w:sz w:val="22"/>
          <w:szCs w:val="22"/>
          <w:lang w:val="fr-FR" w:eastAsia="zh-CN"/>
        </w:rPr>
        <w:t xml:space="preserve"> dollars des États-Unis</w:t>
      </w:r>
      <w:r w:rsidRPr="001F6740">
        <w:rPr>
          <w:rFonts w:ascii="Arial" w:eastAsiaTheme="minorEastAsia" w:hAnsi="Arial" w:cs="Arial"/>
          <w:sz w:val="22"/>
          <w:szCs w:val="22"/>
          <w:lang w:val="fr-FR" w:eastAsia="zh-CN"/>
        </w:rPr>
        <w:t xml:space="preserve"> sur le budget total de 172</w:t>
      </w:r>
      <w:r w:rsidR="00353459" w:rsidRPr="001F6740">
        <w:rPr>
          <w:rFonts w:ascii="Arial" w:eastAsiaTheme="minorEastAsia" w:hAnsi="Arial" w:cs="Arial"/>
          <w:sz w:val="22"/>
          <w:szCs w:val="22"/>
          <w:lang w:val="fr-FR" w:eastAsia="zh-CN"/>
        </w:rPr>
        <w:t> </w:t>
      </w:r>
      <w:r w:rsidRPr="001F6740">
        <w:rPr>
          <w:rFonts w:ascii="Arial" w:eastAsiaTheme="minorEastAsia" w:hAnsi="Arial" w:cs="Arial"/>
          <w:sz w:val="22"/>
          <w:szCs w:val="22"/>
          <w:lang w:val="fr-FR" w:eastAsia="zh-CN"/>
        </w:rPr>
        <w:t>095</w:t>
      </w:r>
      <w:r w:rsidR="00353459" w:rsidRPr="001F6740">
        <w:rPr>
          <w:rFonts w:ascii="Arial" w:eastAsiaTheme="minorEastAsia" w:hAnsi="Arial" w:cs="Arial"/>
          <w:sz w:val="22"/>
          <w:szCs w:val="22"/>
          <w:lang w:val="fr-FR" w:eastAsia="zh-CN"/>
        </w:rPr>
        <w:t xml:space="preserve"> dollars des États-Unis</w:t>
      </w:r>
      <w:r w:rsidRPr="001F6740">
        <w:rPr>
          <w:rFonts w:ascii="Arial" w:eastAsiaTheme="minorEastAsia" w:hAnsi="Arial" w:cs="Arial"/>
          <w:sz w:val="22"/>
          <w:szCs w:val="22"/>
          <w:lang w:val="fr-FR" w:eastAsia="zh-CN"/>
        </w:rPr>
        <w:t>. Cette contribution prévue est supérieure à un quart du budget total, ce qui démontre l’engagement fort de l’État à mettre en œuvre les activités de sauvegarde.</w:t>
      </w:r>
    </w:p>
    <w:p w14:paraId="41ABD951" w14:textId="4459CEE9" w:rsidR="008010EE" w:rsidRPr="001F6740" w:rsidRDefault="008010EE" w:rsidP="00621A14">
      <w:pPr>
        <w:pStyle w:val="ListParagraph"/>
        <w:tabs>
          <w:tab w:val="left" w:pos="1800"/>
        </w:tabs>
        <w:spacing w:before="120" w:after="120"/>
        <w:ind w:left="1701" w:hanging="567"/>
        <w:jc w:val="both"/>
        <w:rPr>
          <w:rFonts w:ascii="Arial" w:eastAsiaTheme="minorEastAsia" w:hAnsi="Arial" w:cs="Arial"/>
          <w:sz w:val="22"/>
          <w:szCs w:val="22"/>
          <w:lang w:val="fr-FR" w:eastAsia="zh-CN"/>
        </w:rPr>
      </w:pPr>
      <w:r w:rsidRPr="00621A14">
        <w:rPr>
          <w:rFonts w:ascii="Arial" w:eastAsiaTheme="minorEastAsia" w:hAnsi="Arial" w:cs="Arial"/>
          <w:sz w:val="22"/>
          <w:szCs w:val="22"/>
          <w:lang w:val="fr-FR" w:eastAsia="zh-CN"/>
        </w:rPr>
        <w:t>A.6 :</w:t>
      </w:r>
      <w:r w:rsid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 xml:space="preserve">La demande indique que </w:t>
      </w:r>
      <w:r w:rsidR="00346E79" w:rsidRPr="00621A14">
        <w:rPr>
          <w:rFonts w:ascii="Arial" w:eastAsiaTheme="minorEastAsia" w:hAnsi="Arial" w:cs="Arial"/>
          <w:sz w:val="22"/>
          <w:szCs w:val="22"/>
          <w:lang w:val="fr-FR" w:eastAsia="zh-CN"/>
        </w:rPr>
        <w:t xml:space="preserve">les capacités des </w:t>
      </w:r>
      <w:r w:rsidRPr="00621A14">
        <w:rPr>
          <w:rFonts w:ascii="Arial" w:eastAsiaTheme="minorEastAsia" w:hAnsi="Arial" w:cs="Arial"/>
          <w:sz w:val="22"/>
          <w:szCs w:val="22"/>
          <w:lang w:val="fr-FR" w:eastAsia="zh-CN"/>
        </w:rPr>
        <w:t>responsables culturels</w:t>
      </w:r>
      <w:r w:rsidR="00346E79" w:rsidRPr="00621A14">
        <w:rPr>
          <w:rFonts w:ascii="Arial" w:eastAsiaTheme="minorEastAsia" w:hAnsi="Arial" w:cs="Arial"/>
          <w:sz w:val="22"/>
          <w:szCs w:val="22"/>
          <w:lang w:val="fr-FR" w:eastAsia="zh-CN"/>
        </w:rPr>
        <w:t xml:space="preserve"> se</w:t>
      </w:r>
      <w:r w:rsidRPr="00621A14">
        <w:rPr>
          <w:rFonts w:ascii="Arial" w:eastAsiaTheme="minorEastAsia" w:hAnsi="Arial" w:cs="Arial"/>
          <w:sz w:val="22"/>
          <w:szCs w:val="22"/>
          <w:lang w:val="fr-FR" w:eastAsia="zh-CN"/>
        </w:rPr>
        <w:t>ront renforc</w:t>
      </w:r>
      <w:r w:rsidR="00346E79" w:rsidRPr="00621A14">
        <w:rPr>
          <w:rFonts w:ascii="Arial" w:eastAsiaTheme="minorEastAsia" w:hAnsi="Arial" w:cs="Arial"/>
          <w:sz w:val="22"/>
          <w:szCs w:val="22"/>
          <w:lang w:val="fr-FR" w:eastAsia="zh-CN"/>
        </w:rPr>
        <w:t>ées</w:t>
      </w:r>
      <w:r w:rsidRPr="00621A14">
        <w:rPr>
          <w:rFonts w:ascii="Arial" w:eastAsiaTheme="minorEastAsia" w:hAnsi="Arial" w:cs="Arial"/>
          <w:sz w:val="22"/>
          <w:szCs w:val="22"/>
          <w:lang w:val="fr-FR" w:eastAsia="zh-CN"/>
        </w:rPr>
        <w:t xml:space="preserve"> et </w:t>
      </w:r>
      <w:r w:rsidR="00346E79" w:rsidRPr="00621A14">
        <w:rPr>
          <w:rFonts w:ascii="Arial" w:eastAsiaTheme="minorEastAsia" w:hAnsi="Arial" w:cs="Arial"/>
          <w:sz w:val="22"/>
          <w:szCs w:val="22"/>
          <w:lang w:val="fr-FR" w:eastAsia="zh-CN"/>
        </w:rPr>
        <w:t>améliorées</w:t>
      </w:r>
      <w:r w:rsidRPr="00621A14">
        <w:rPr>
          <w:rFonts w:ascii="Arial" w:eastAsiaTheme="minorEastAsia" w:hAnsi="Arial" w:cs="Arial"/>
          <w:sz w:val="22"/>
          <w:szCs w:val="22"/>
          <w:lang w:val="fr-FR" w:eastAsia="zh-CN"/>
        </w:rPr>
        <w:t xml:space="preserve">, grâce à une expérience sur site en temps réel, consistant à identifier et enregistrer l’élément, documenter son répertoire </w:t>
      </w:r>
      <w:r w:rsidR="009C592F" w:rsidRPr="00621A14">
        <w:rPr>
          <w:rFonts w:ascii="Arial" w:eastAsiaTheme="minorEastAsia" w:hAnsi="Arial" w:cs="Arial"/>
          <w:sz w:val="22"/>
          <w:szCs w:val="22"/>
          <w:lang w:val="fr-FR" w:eastAsia="zh-CN"/>
        </w:rPr>
        <w:t xml:space="preserve">à l’aide </w:t>
      </w:r>
      <w:r w:rsidRPr="00621A14">
        <w:rPr>
          <w:rFonts w:ascii="Arial" w:eastAsiaTheme="minorEastAsia" w:hAnsi="Arial" w:cs="Arial"/>
          <w:sz w:val="22"/>
          <w:szCs w:val="22"/>
          <w:lang w:val="fr-FR" w:eastAsia="zh-CN"/>
        </w:rPr>
        <w:t>d</w:t>
      </w:r>
      <w:r w:rsidR="009C592F" w:rsidRPr="00621A14">
        <w:rPr>
          <w:rFonts w:ascii="Arial" w:eastAsiaTheme="minorEastAsia" w:hAnsi="Arial" w:cs="Arial"/>
          <w:sz w:val="22"/>
          <w:szCs w:val="22"/>
          <w:lang w:val="fr-FR" w:eastAsia="zh-CN"/>
        </w:rPr>
        <w:t>’</w:t>
      </w:r>
      <w:r w:rsidRPr="00621A14">
        <w:rPr>
          <w:rFonts w:ascii="Arial" w:eastAsiaTheme="minorEastAsia" w:hAnsi="Arial" w:cs="Arial"/>
          <w:sz w:val="22"/>
          <w:szCs w:val="22"/>
          <w:lang w:val="fr-FR" w:eastAsia="zh-CN"/>
        </w:rPr>
        <w:t xml:space="preserve">enregistrements photographiques et audio-visuels, et enrichir la base de données nationale avec des variations de l’élément et des informations sur ses </w:t>
      </w:r>
      <w:r w:rsidR="00D73BF4" w:rsidRPr="00621A14">
        <w:rPr>
          <w:rFonts w:ascii="Arial" w:eastAsiaTheme="minorEastAsia" w:hAnsi="Arial" w:cs="Arial"/>
          <w:sz w:val="22"/>
          <w:szCs w:val="22"/>
          <w:lang w:val="fr-FR" w:eastAsia="zh-CN"/>
        </w:rPr>
        <w:t>praticiens</w:t>
      </w:r>
      <w:r w:rsidR="00346E79" w:rsidRPr="00621A14">
        <w:rPr>
          <w:rFonts w:ascii="Arial" w:eastAsiaTheme="minorEastAsia" w:hAnsi="Arial" w:cs="Arial"/>
          <w:sz w:val="22"/>
          <w:szCs w:val="22"/>
          <w:lang w:val="fr-FR" w:eastAsia="zh-CN"/>
        </w:rPr>
        <w:t>.</w:t>
      </w:r>
      <w:r w:rsidRPr="00621A14">
        <w:rPr>
          <w:rFonts w:ascii="Arial" w:eastAsiaTheme="minorEastAsia" w:hAnsi="Arial" w:cs="Arial"/>
          <w:sz w:val="22"/>
          <w:szCs w:val="22"/>
          <w:lang w:val="fr-FR" w:eastAsia="zh-CN"/>
        </w:rPr>
        <w:t xml:space="preserve"> </w:t>
      </w:r>
      <w:r w:rsidRPr="001F6740">
        <w:rPr>
          <w:rFonts w:ascii="Arial" w:eastAsiaTheme="minorEastAsia" w:hAnsi="Arial" w:cs="Arial"/>
          <w:sz w:val="22"/>
          <w:szCs w:val="22"/>
          <w:lang w:val="fr-FR" w:eastAsia="zh-CN"/>
        </w:rPr>
        <w:t xml:space="preserve">Le dossier explique également que ce projet améliorera les compétences des organismes chargés de sa mise en œuvre (par exemple, le Conseil national pour la protection des expressions culturelles, l’Institut des études culturelles et artistiques de l’Université d’État de Mongolie pour les Arts et la culture </w:t>
      </w:r>
      <w:r w:rsidRPr="001F6740">
        <w:rPr>
          <w:rFonts w:ascii="Arial" w:eastAsiaTheme="minorEastAsia" w:hAnsi="Arial" w:cs="Arial"/>
          <w:sz w:val="22"/>
          <w:szCs w:val="22"/>
          <w:lang w:val="fr-FR" w:eastAsia="zh-CN"/>
        </w:rPr>
        <w:lastRenderedPageBreak/>
        <w:t>et le Centre national du patrimoine culturel) en matière de sauvegarde de cet élément en particulier et du patrimoine culturel immatériel en général.</w:t>
      </w:r>
    </w:p>
    <w:p w14:paraId="78BCDBC7" w14:textId="3B11BD4A" w:rsidR="008010EE" w:rsidRPr="00E375ED" w:rsidRDefault="008010EE" w:rsidP="00621A14">
      <w:pPr>
        <w:pStyle w:val="ListParagraph"/>
        <w:tabs>
          <w:tab w:val="left" w:pos="1800"/>
        </w:tabs>
        <w:spacing w:before="120" w:after="120"/>
        <w:ind w:left="1701" w:hanging="567"/>
        <w:jc w:val="both"/>
        <w:rPr>
          <w:rFonts w:cs="Arial"/>
          <w:sz w:val="22"/>
          <w:szCs w:val="22"/>
          <w:lang w:val="fr-FR"/>
        </w:rPr>
      </w:pPr>
      <w:r w:rsidRPr="00621A14">
        <w:rPr>
          <w:rFonts w:ascii="Arial" w:eastAsiaTheme="minorEastAsia" w:hAnsi="Arial" w:cs="Arial"/>
          <w:sz w:val="22"/>
          <w:szCs w:val="22"/>
          <w:lang w:val="fr-FR" w:eastAsia="zh-CN"/>
        </w:rPr>
        <w:t>A.7 :</w:t>
      </w:r>
      <w:r w:rsidR="00621A14" w:rsidRPr="00621A14">
        <w:rPr>
          <w:rFonts w:ascii="Arial" w:eastAsiaTheme="minorEastAsia" w:hAnsi="Arial" w:cs="Arial"/>
          <w:sz w:val="22"/>
          <w:szCs w:val="22"/>
          <w:lang w:val="fr-FR" w:eastAsia="zh-CN"/>
        </w:rPr>
        <w:tab/>
      </w:r>
      <w:r w:rsidRPr="00621A14">
        <w:rPr>
          <w:rFonts w:ascii="Arial" w:eastAsiaTheme="minorEastAsia" w:hAnsi="Arial" w:cs="Arial"/>
          <w:sz w:val="22"/>
          <w:szCs w:val="22"/>
          <w:lang w:val="fr-FR" w:eastAsia="zh-CN"/>
        </w:rPr>
        <w:t>L'État partie a bénéficié de l’Assistance internationale du Fonds du patrimoine culturel immatériel pour les projets « La transmission aux nouvelles générations et la stabilisation de la technique d’interprétation du chant long des joueurs de flûte limbe – la respiration circulaire, à travers le répertoire ancien » (assistance financière de 99</w:t>
      </w:r>
      <w:r w:rsidR="00353459" w:rsidRPr="00621A14">
        <w:rPr>
          <w:rFonts w:ascii="Arial" w:eastAsiaTheme="minorEastAsia" w:hAnsi="Arial" w:cs="Arial"/>
          <w:sz w:val="22"/>
          <w:szCs w:val="22"/>
          <w:lang w:val="fr-FR" w:eastAsia="zh-CN"/>
        </w:rPr>
        <w:t> </w:t>
      </w:r>
      <w:r w:rsidRPr="00621A14">
        <w:rPr>
          <w:rFonts w:ascii="Arial" w:eastAsiaTheme="minorEastAsia" w:hAnsi="Arial" w:cs="Arial"/>
          <w:sz w:val="22"/>
          <w:szCs w:val="22"/>
          <w:lang w:val="fr-FR" w:eastAsia="zh-CN"/>
        </w:rPr>
        <w:t>846</w:t>
      </w:r>
      <w:r w:rsidR="00353459" w:rsidRPr="00621A14">
        <w:rPr>
          <w:rFonts w:ascii="Arial" w:eastAsiaTheme="minorEastAsia" w:hAnsi="Arial" w:cs="Arial"/>
          <w:sz w:val="22"/>
          <w:szCs w:val="22"/>
          <w:lang w:val="fr-FR" w:eastAsia="zh-CN"/>
        </w:rPr>
        <w:t> dollars des États-Unis</w:t>
      </w:r>
      <w:r w:rsidRPr="00621A14">
        <w:rPr>
          <w:rFonts w:ascii="Arial" w:eastAsiaTheme="minorEastAsia" w:hAnsi="Arial" w:cs="Arial"/>
          <w:sz w:val="22"/>
          <w:szCs w:val="22"/>
          <w:lang w:val="fr-FR" w:eastAsia="zh-CN"/>
        </w:rPr>
        <w:t xml:space="preserve"> accordée en 2018) et « Soutenir la durabilité naturelle et culturelle à travers la revitalisation et la transmission des pratiques traditionnelles de vénération des sites sacrés en Mongolie » (assistance financière de 98</w:t>
      </w:r>
      <w:r w:rsidR="00353459" w:rsidRPr="00621A14">
        <w:rPr>
          <w:rFonts w:ascii="Arial" w:eastAsiaTheme="minorEastAsia" w:hAnsi="Arial" w:cs="Arial"/>
          <w:sz w:val="22"/>
          <w:szCs w:val="22"/>
          <w:lang w:val="fr-FR" w:eastAsia="zh-CN"/>
        </w:rPr>
        <w:t> </w:t>
      </w:r>
      <w:r w:rsidRPr="00621A14">
        <w:rPr>
          <w:rFonts w:ascii="Arial" w:eastAsiaTheme="minorEastAsia" w:hAnsi="Arial" w:cs="Arial"/>
          <w:sz w:val="22"/>
          <w:szCs w:val="22"/>
          <w:lang w:val="fr-FR" w:eastAsia="zh-CN"/>
        </w:rPr>
        <w:t>500</w:t>
      </w:r>
      <w:r w:rsidR="00353459" w:rsidRPr="00621A14">
        <w:rPr>
          <w:rFonts w:ascii="Arial" w:eastAsiaTheme="minorEastAsia" w:hAnsi="Arial" w:cs="Arial"/>
          <w:sz w:val="22"/>
          <w:szCs w:val="22"/>
          <w:lang w:val="fr-FR" w:eastAsia="zh-CN"/>
        </w:rPr>
        <w:t xml:space="preserve"> dollars des États-Unis</w:t>
      </w:r>
      <w:r w:rsidRPr="00621A14">
        <w:rPr>
          <w:rFonts w:ascii="Arial" w:eastAsiaTheme="minorEastAsia" w:hAnsi="Arial" w:cs="Arial"/>
          <w:sz w:val="22"/>
          <w:szCs w:val="22"/>
          <w:lang w:val="fr-FR" w:eastAsia="zh-CN"/>
        </w:rPr>
        <w:t xml:space="preserve"> accordée en 2018). </w:t>
      </w:r>
      <w:r w:rsidRPr="001F6740">
        <w:rPr>
          <w:rFonts w:ascii="Arial" w:eastAsiaTheme="minorEastAsia" w:hAnsi="Arial" w:cs="Arial"/>
          <w:sz w:val="22"/>
          <w:szCs w:val="22"/>
          <w:lang w:val="fr-FR" w:eastAsia="zh-CN"/>
        </w:rPr>
        <w:t>Les deux projets ont été réalisés conformément aux réglementations de l’UNESCO et ont été menés à bien avec succès.</w:t>
      </w:r>
    </w:p>
    <w:p w14:paraId="00485BF4" w14:textId="2EECAFF7" w:rsidR="008010EE" w:rsidRPr="00621A14" w:rsidRDefault="008010EE" w:rsidP="00F645FD">
      <w:pPr>
        <w:tabs>
          <w:tab w:val="left" w:pos="1134"/>
          <w:tab w:val="left" w:pos="1701"/>
          <w:tab w:val="left" w:pos="2268"/>
        </w:tabs>
        <w:spacing w:before="120" w:after="120"/>
        <w:ind w:left="1134"/>
        <w:jc w:val="both"/>
        <w:rPr>
          <w:rFonts w:cs="Arial"/>
          <w:sz w:val="22"/>
          <w:szCs w:val="22"/>
          <w:lang w:val="fr-FR"/>
        </w:rPr>
      </w:pPr>
      <w:r w:rsidRPr="00621A14">
        <w:rPr>
          <w:rFonts w:cs="Arial"/>
          <w:sz w:val="22"/>
          <w:szCs w:val="22"/>
          <w:lang w:val="fr-FR"/>
        </w:rPr>
        <w:t xml:space="preserve">Paragraphe 10(a) : Le dossier indique que la Commission nationale mongole de l’UNESCO se coordonnera avec le bureau de l’UNESCO à </w:t>
      </w:r>
      <w:r w:rsidR="00353459" w:rsidRPr="00621A14">
        <w:rPr>
          <w:rFonts w:cs="Arial"/>
          <w:sz w:val="22"/>
          <w:szCs w:val="22"/>
          <w:lang w:val="fr-FR"/>
        </w:rPr>
        <w:t xml:space="preserve">Beijing </w:t>
      </w:r>
      <w:r w:rsidRPr="00621A14">
        <w:rPr>
          <w:rFonts w:cs="Arial"/>
          <w:sz w:val="22"/>
          <w:szCs w:val="22"/>
          <w:lang w:val="fr-FR"/>
        </w:rPr>
        <w:t>pour organiser des prestations de conseil professionnelles et méthodologiques concernant la mise en œuvre du projet, et qu’elle fera également intervenir un spécialiste international du patrimoine culturel immatériel au cours du colloque.</w:t>
      </w:r>
    </w:p>
    <w:p w14:paraId="72FC6073" w14:textId="64D739DD" w:rsidR="008010EE" w:rsidRPr="00621A14" w:rsidRDefault="008010EE" w:rsidP="00F645FD">
      <w:pPr>
        <w:tabs>
          <w:tab w:val="left" w:pos="1134"/>
          <w:tab w:val="left" w:pos="1701"/>
          <w:tab w:val="left" w:pos="2268"/>
        </w:tabs>
        <w:spacing w:before="120" w:after="120"/>
        <w:ind w:left="1134"/>
        <w:jc w:val="both"/>
        <w:rPr>
          <w:lang w:val="fr-FR"/>
        </w:rPr>
      </w:pPr>
      <w:r w:rsidRPr="00621A14">
        <w:rPr>
          <w:rFonts w:cs="Arial"/>
          <w:sz w:val="22"/>
          <w:szCs w:val="22"/>
          <w:lang w:val="fr-FR"/>
        </w:rPr>
        <w:t>Paragraphe 10(b) : La mise en œuvre du projet fera participer activement les autorités et les parties prenantes au niveau national et local. La participation d’institutions académiques et d’organismes gouvernementaux et non-gouvernementaux renforcera la prise en charge du projet et la durabilité de ses résultats. Le</w:t>
      </w:r>
      <w:r w:rsidR="00A914BA" w:rsidRPr="00621A14">
        <w:rPr>
          <w:rFonts w:cs="Arial"/>
          <w:sz w:val="22"/>
          <w:szCs w:val="22"/>
          <w:lang w:val="fr-FR"/>
        </w:rPr>
        <w:t>s résultats du</w:t>
      </w:r>
      <w:r w:rsidRPr="00621A14">
        <w:rPr>
          <w:rFonts w:cs="Arial"/>
          <w:sz w:val="22"/>
          <w:szCs w:val="22"/>
          <w:lang w:val="fr-FR"/>
        </w:rPr>
        <w:t xml:space="preserve"> projet permettr</w:t>
      </w:r>
      <w:r w:rsidR="00A914BA" w:rsidRPr="00621A14">
        <w:rPr>
          <w:rFonts w:cs="Arial"/>
          <w:sz w:val="22"/>
          <w:szCs w:val="22"/>
          <w:lang w:val="fr-FR"/>
        </w:rPr>
        <w:t>ont</w:t>
      </w:r>
      <w:r w:rsidRPr="00621A14">
        <w:rPr>
          <w:rFonts w:cs="Arial"/>
          <w:sz w:val="22"/>
          <w:szCs w:val="22"/>
          <w:lang w:val="fr-FR"/>
        </w:rPr>
        <w:t xml:space="preserve"> de susciter un plus grand intérêt de la part des organismes gouvernementaux et des médias pour les activités </w:t>
      </w:r>
      <w:r w:rsidR="00A914BA" w:rsidRPr="00621A14">
        <w:rPr>
          <w:rFonts w:cs="Arial"/>
          <w:sz w:val="22"/>
          <w:szCs w:val="22"/>
          <w:lang w:val="fr-FR"/>
        </w:rPr>
        <w:t>liées à</w:t>
      </w:r>
      <w:r w:rsidRPr="00621A14">
        <w:rPr>
          <w:rFonts w:cs="Arial"/>
          <w:sz w:val="22"/>
          <w:szCs w:val="22"/>
          <w:lang w:val="fr-FR"/>
        </w:rPr>
        <w:t xml:space="preserve"> l’élément, ainsi que pour le patrimoine culturel immatériel en général. Il en résultera une sensibilisation plus importante du grand public et une amélioration de</w:t>
      </w:r>
      <w:r w:rsidR="00BD63C2" w:rsidRPr="00621A14">
        <w:rPr>
          <w:rFonts w:cs="Arial"/>
          <w:sz w:val="22"/>
          <w:szCs w:val="22"/>
          <w:lang w:val="fr-FR"/>
        </w:rPr>
        <w:t>s</w:t>
      </w:r>
      <w:r w:rsidRPr="00621A14">
        <w:rPr>
          <w:rFonts w:cs="Arial"/>
          <w:sz w:val="22"/>
          <w:szCs w:val="22"/>
          <w:lang w:val="fr-FR"/>
        </w:rPr>
        <w:t xml:space="preserve"> capacité</w:t>
      </w:r>
      <w:r w:rsidR="00BD63C2" w:rsidRPr="00621A14">
        <w:rPr>
          <w:rFonts w:cs="Arial"/>
          <w:sz w:val="22"/>
          <w:szCs w:val="22"/>
          <w:lang w:val="fr-FR"/>
        </w:rPr>
        <w:t>s</w:t>
      </w:r>
      <w:r w:rsidRPr="00621A14">
        <w:rPr>
          <w:rFonts w:cs="Arial"/>
          <w:sz w:val="22"/>
          <w:szCs w:val="22"/>
          <w:lang w:val="fr-FR"/>
        </w:rPr>
        <w:t xml:space="preserve"> des </w:t>
      </w:r>
      <w:r w:rsidR="00514B07" w:rsidRPr="00621A14">
        <w:rPr>
          <w:rFonts w:cs="Arial"/>
          <w:sz w:val="22"/>
          <w:szCs w:val="22"/>
          <w:lang w:val="fr-FR"/>
        </w:rPr>
        <w:t>organisations non gouvernementales</w:t>
      </w:r>
      <w:r w:rsidRPr="00621A14">
        <w:rPr>
          <w:rFonts w:cs="Arial"/>
          <w:sz w:val="22"/>
          <w:szCs w:val="22"/>
          <w:lang w:val="fr-FR"/>
        </w:rPr>
        <w:t xml:space="preserve"> concerné</w:t>
      </w:r>
      <w:r w:rsidR="00D73BF4" w:rsidRPr="00621A14">
        <w:rPr>
          <w:rFonts w:cs="Arial"/>
          <w:sz w:val="22"/>
          <w:szCs w:val="22"/>
          <w:lang w:val="fr-FR"/>
        </w:rPr>
        <w:t>e</w:t>
      </w:r>
      <w:r w:rsidRPr="00621A14">
        <w:rPr>
          <w:rFonts w:cs="Arial"/>
          <w:sz w:val="22"/>
          <w:szCs w:val="22"/>
          <w:lang w:val="fr-FR"/>
        </w:rPr>
        <w:t>s.</w:t>
      </w:r>
    </w:p>
    <w:p w14:paraId="192A66E2" w14:textId="43767DB9" w:rsidR="008010EE" w:rsidRPr="00E375ED" w:rsidRDefault="008010EE" w:rsidP="00F645FD">
      <w:pPr>
        <w:pStyle w:val="Style1"/>
        <w:numPr>
          <w:ilvl w:val="1"/>
          <w:numId w:val="44"/>
        </w:numPr>
        <w:ind w:left="1143"/>
        <w:rPr>
          <w:lang w:val="fr-FR"/>
        </w:rPr>
      </w:pPr>
      <w:r w:rsidRPr="00E375ED">
        <w:rPr>
          <w:u w:val="single"/>
          <w:lang w:val="fr-FR"/>
        </w:rPr>
        <w:t>Décide d’approuver</w:t>
      </w:r>
      <w:r w:rsidRPr="00E375ED">
        <w:rPr>
          <w:lang w:val="fr-FR"/>
        </w:rPr>
        <w:t> la demande d’</w:t>
      </w:r>
      <w:r w:rsidR="00353459" w:rsidRPr="00E375ED">
        <w:rPr>
          <w:lang w:val="fr-FR"/>
        </w:rPr>
        <w:t>a</w:t>
      </w:r>
      <w:r w:rsidRPr="00E375ED">
        <w:rPr>
          <w:lang w:val="fr-FR"/>
        </w:rPr>
        <w:t xml:space="preserve">ssistance internationale de la Mongolie concernant le </w:t>
      </w:r>
      <w:r w:rsidRPr="00E375ED">
        <w:rPr>
          <w:bCs/>
          <w:lang w:val="fr-FR"/>
        </w:rPr>
        <w:t>projet</w:t>
      </w:r>
      <w:r w:rsidRPr="00E375ED">
        <w:rPr>
          <w:lang w:val="fr-FR"/>
        </w:rPr>
        <w:t xml:space="preserve"> intitulé </w:t>
      </w:r>
      <w:r w:rsidR="00353459" w:rsidRPr="00E375ED">
        <w:rPr>
          <w:b/>
          <w:lang w:val="fr-FR"/>
        </w:rPr>
        <w:t>L</w:t>
      </w:r>
      <w:r w:rsidR="00514B07" w:rsidRPr="00E375ED">
        <w:rPr>
          <w:b/>
          <w:lang w:val="fr-FR"/>
        </w:rPr>
        <w:t>e maintien et la transmission du biyelgee mongol</w:t>
      </w:r>
      <w:r w:rsidR="00514B07" w:rsidRPr="00E375ED" w:rsidDel="00514B07">
        <w:rPr>
          <w:b/>
          <w:lang w:val="fr-FR"/>
        </w:rPr>
        <w:t xml:space="preserve"> </w:t>
      </w:r>
      <w:r w:rsidRPr="00E375ED">
        <w:rPr>
          <w:lang w:val="fr-FR"/>
        </w:rPr>
        <w:t xml:space="preserve">et </w:t>
      </w:r>
      <w:r w:rsidR="00353459" w:rsidRPr="00E375ED">
        <w:rPr>
          <w:u w:val="single"/>
          <w:lang w:val="fr-FR"/>
        </w:rPr>
        <w:t>accorde</w:t>
      </w:r>
      <w:r w:rsidR="00353459" w:rsidRPr="00E375ED">
        <w:rPr>
          <w:lang w:val="fr-FR"/>
        </w:rPr>
        <w:t xml:space="preserve"> </w:t>
      </w:r>
      <w:r w:rsidRPr="00E375ED">
        <w:rPr>
          <w:lang w:val="fr-FR"/>
        </w:rPr>
        <w:t>l</w:t>
      </w:r>
      <w:r w:rsidR="007063E3" w:rsidRPr="00E375ED">
        <w:rPr>
          <w:lang w:val="fr-FR"/>
        </w:rPr>
        <w:t xml:space="preserve">e </w:t>
      </w:r>
      <w:r w:rsidR="00680EFC" w:rsidRPr="00E375ED">
        <w:rPr>
          <w:lang w:val="fr-FR"/>
        </w:rPr>
        <w:t>mont</w:t>
      </w:r>
      <w:r w:rsidR="004D2198" w:rsidRPr="00E375ED">
        <w:rPr>
          <w:lang w:val="fr-FR"/>
        </w:rPr>
        <w:t>a</w:t>
      </w:r>
      <w:r w:rsidR="00680EFC" w:rsidRPr="00E375ED">
        <w:rPr>
          <w:lang w:val="fr-FR"/>
        </w:rPr>
        <w:t xml:space="preserve">nt </w:t>
      </w:r>
      <w:r w:rsidRPr="00E375ED">
        <w:rPr>
          <w:lang w:val="fr-FR"/>
        </w:rPr>
        <w:t>de 17</w:t>
      </w:r>
      <w:r w:rsidR="00FB5943" w:rsidRPr="00E375ED">
        <w:rPr>
          <w:lang w:val="fr-FR"/>
        </w:rPr>
        <w:t>2</w:t>
      </w:r>
      <w:r w:rsidR="00353459" w:rsidRPr="00E375ED">
        <w:rPr>
          <w:lang w:val="fr-FR"/>
        </w:rPr>
        <w:t> </w:t>
      </w:r>
      <w:r w:rsidR="00FB5943" w:rsidRPr="00E375ED">
        <w:rPr>
          <w:lang w:val="fr-FR"/>
        </w:rPr>
        <w:t>095</w:t>
      </w:r>
      <w:r w:rsidR="00353459" w:rsidRPr="00E375ED">
        <w:rPr>
          <w:lang w:val="fr-FR"/>
        </w:rPr>
        <w:t xml:space="preserve"> dollars des États-Unis</w:t>
      </w:r>
      <w:r w:rsidRPr="00E375ED">
        <w:rPr>
          <w:lang w:val="fr-FR"/>
        </w:rPr>
        <w:t xml:space="preserve"> à l’État partie</w:t>
      </w:r>
      <w:r w:rsidR="00353459" w:rsidRPr="00E375ED">
        <w:rPr>
          <w:lang w:val="fr-FR"/>
        </w:rPr>
        <w:t xml:space="preserve"> à cette fin</w:t>
      </w:r>
      <w:r w:rsidRPr="00E375ED">
        <w:rPr>
          <w:lang w:val="fr-FR"/>
        </w:rPr>
        <w:t> ;</w:t>
      </w:r>
    </w:p>
    <w:p w14:paraId="478F30B1" w14:textId="1F071648" w:rsidR="008010EE" w:rsidRPr="00E375ED" w:rsidRDefault="008010EE" w:rsidP="00F645FD">
      <w:pPr>
        <w:pStyle w:val="Style1"/>
        <w:numPr>
          <w:ilvl w:val="1"/>
          <w:numId w:val="44"/>
        </w:numPr>
        <w:ind w:left="1143"/>
        <w:rPr>
          <w:lang w:val="fr-FR"/>
        </w:rPr>
      </w:pPr>
      <w:r w:rsidRPr="00E375ED">
        <w:rPr>
          <w:u w:val="single"/>
          <w:lang w:val="fr-FR"/>
        </w:rPr>
        <w:t>Invite</w:t>
      </w:r>
      <w:r w:rsidRPr="00E375ED">
        <w:rPr>
          <w:lang w:val="fr-FR"/>
        </w:rPr>
        <w:t xml:space="preserve"> l'État partie à utiliser le </w:t>
      </w:r>
      <w:r w:rsidR="00F432DE" w:rsidRPr="00E375ED">
        <w:rPr>
          <w:lang w:val="fr-FR"/>
        </w:rPr>
        <w:t>f</w:t>
      </w:r>
      <w:r w:rsidRPr="00E375ED">
        <w:rPr>
          <w:lang w:val="fr-FR"/>
        </w:rPr>
        <w:t>ormulaire ICH-04</w:t>
      </w:r>
      <w:r w:rsidR="00F432DE" w:rsidRPr="00E375ED">
        <w:rPr>
          <w:lang w:val="fr-FR"/>
        </w:rPr>
        <w:t>-Rapport</w:t>
      </w:r>
      <w:r w:rsidRPr="00E375ED">
        <w:rPr>
          <w:lang w:val="fr-FR"/>
        </w:rPr>
        <w:t xml:space="preserve"> </w:t>
      </w:r>
      <w:r w:rsidR="00770B0C" w:rsidRPr="00E375ED">
        <w:rPr>
          <w:lang w:val="fr-FR"/>
        </w:rPr>
        <w:t>pour rendre compte de l’utilisation de l’assistance accordée</w:t>
      </w:r>
      <w:r w:rsidRPr="00E375ED">
        <w:rPr>
          <w:lang w:val="fr-FR"/>
        </w:rPr>
        <w:t>.</w:t>
      </w:r>
    </w:p>
    <w:sectPr w:rsidR="008010EE" w:rsidRPr="00E375ED" w:rsidSect="007E3FB0">
      <w:headerReference w:type="even" r:id="rId13"/>
      <w:headerReference w:type="default" r:id="rId14"/>
      <w:footerReference w:type="default" r:id="rId15"/>
      <w:headerReference w:type="first" r:id="rId16"/>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6663" w14:textId="77777777" w:rsidR="0017744E" w:rsidRDefault="0017744E" w:rsidP="004963DE">
      <w:r>
        <w:separator/>
      </w:r>
    </w:p>
  </w:endnote>
  <w:endnote w:type="continuationSeparator" w:id="0">
    <w:p w14:paraId="75248228" w14:textId="77777777" w:rsidR="0017744E" w:rsidRDefault="0017744E"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D850" w14:textId="3935E0EF" w:rsidR="007B4429" w:rsidRPr="00845432" w:rsidRDefault="007B4429" w:rsidP="00845432">
    <w:pPr>
      <w:pStyle w:val="Footer"/>
      <w:tabs>
        <w:tab w:val="clear" w:pos="4513"/>
        <w:tab w:val="clear" w:pos="9026"/>
        <w:tab w:val="right" w:pos="9639"/>
      </w:tabs>
      <w:rPr>
        <w:sz w:val="22"/>
        <w:szCs w:val="22"/>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4CB9" w14:textId="77777777" w:rsidR="0017744E" w:rsidRDefault="0017744E" w:rsidP="004963DE">
      <w:r>
        <w:separator/>
      </w:r>
    </w:p>
  </w:footnote>
  <w:footnote w:type="continuationSeparator" w:id="0">
    <w:p w14:paraId="087FC5BA" w14:textId="77777777" w:rsidR="0017744E" w:rsidRDefault="0017744E" w:rsidP="004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A207" w14:textId="6C8B2D31" w:rsidR="007B4429" w:rsidRPr="00093D5A" w:rsidRDefault="005619D1" w:rsidP="00D519E8">
    <w:pPr>
      <w:pStyle w:val="Header"/>
      <w:rPr>
        <w:rFonts w:cs="Arial"/>
      </w:rPr>
    </w:pPr>
    <w:r w:rsidRPr="009621EB">
      <w:rPr>
        <w:rFonts w:cs="Arial"/>
        <w:sz w:val="20"/>
        <w:szCs w:val="20"/>
      </w:rPr>
      <w:t>LHE/21/16.COM</w:t>
    </w:r>
    <w:r w:rsidR="001A646B">
      <w:rPr>
        <w:rFonts w:cs="Arial"/>
        <w:sz w:val="20"/>
        <w:szCs w:val="20"/>
      </w:rPr>
      <w:t>/8.d</w:t>
    </w:r>
    <w:r w:rsidR="007B4429" w:rsidRPr="009271F2">
      <w:rPr>
        <w:rFonts w:cs="Arial"/>
        <w:sz w:val="20"/>
        <w:szCs w:val="20"/>
      </w:rPr>
      <w:t xml:space="preserve"> –</w:t>
    </w:r>
    <w:r w:rsidR="007B4429" w:rsidRPr="0063300C">
      <w:rPr>
        <w:rFonts w:cs="Arial"/>
        <w:sz w:val="20"/>
        <w:szCs w:val="20"/>
      </w:rPr>
      <w:t xml:space="preserve"> page </w:t>
    </w:r>
    <w:r w:rsidR="007B4429" w:rsidRPr="0063300C">
      <w:rPr>
        <w:rStyle w:val="PageNumber"/>
        <w:rFonts w:cs="Arial"/>
        <w:sz w:val="20"/>
        <w:szCs w:val="20"/>
      </w:rPr>
      <w:fldChar w:fldCharType="begin"/>
    </w:r>
    <w:r w:rsidR="007B4429" w:rsidRPr="0063300C">
      <w:rPr>
        <w:rStyle w:val="PageNumber"/>
        <w:rFonts w:cs="Arial"/>
        <w:sz w:val="20"/>
        <w:szCs w:val="20"/>
      </w:rPr>
      <w:instrText xml:space="preserve"> PAGE </w:instrText>
    </w:r>
    <w:r w:rsidR="007B4429" w:rsidRPr="0063300C">
      <w:rPr>
        <w:rStyle w:val="PageNumber"/>
        <w:rFonts w:cs="Arial"/>
        <w:sz w:val="20"/>
        <w:szCs w:val="20"/>
      </w:rPr>
      <w:fldChar w:fldCharType="separate"/>
    </w:r>
    <w:r w:rsidR="007B4429">
      <w:rPr>
        <w:rStyle w:val="PageNumber"/>
        <w:rFonts w:cs="Arial"/>
        <w:noProof/>
        <w:sz w:val="20"/>
        <w:szCs w:val="20"/>
      </w:rPr>
      <w:t>6</w:t>
    </w:r>
    <w:r w:rsidR="007B4429" w:rsidRPr="0063300C">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573B" w14:textId="3C9B87D2" w:rsidR="007B4429" w:rsidRPr="00093D5A" w:rsidRDefault="005619D1" w:rsidP="00D519E8">
    <w:pPr>
      <w:pStyle w:val="Header"/>
      <w:jc w:val="right"/>
      <w:rPr>
        <w:rFonts w:cs="Arial"/>
      </w:rPr>
    </w:pPr>
    <w:r w:rsidRPr="00F645FD">
      <w:rPr>
        <w:rFonts w:cs="Arial"/>
        <w:sz w:val="20"/>
        <w:szCs w:val="20"/>
      </w:rPr>
      <w:t xml:space="preserve"> LHE/21/16.COM</w:t>
    </w:r>
    <w:r w:rsidR="00A87941">
      <w:rPr>
        <w:rFonts w:cs="Arial"/>
        <w:sz w:val="20"/>
        <w:szCs w:val="20"/>
      </w:rPr>
      <w:t>/8.d</w:t>
    </w:r>
    <w:r w:rsidR="007B4429" w:rsidRPr="009271F2">
      <w:rPr>
        <w:rFonts w:cs="Arial"/>
        <w:sz w:val="20"/>
        <w:szCs w:val="20"/>
      </w:rPr>
      <w:t xml:space="preserve"> – page </w:t>
    </w:r>
    <w:r w:rsidR="007B4429" w:rsidRPr="009271F2">
      <w:rPr>
        <w:rStyle w:val="PageNumber"/>
        <w:rFonts w:cs="Arial"/>
        <w:sz w:val="20"/>
        <w:szCs w:val="20"/>
      </w:rPr>
      <w:fldChar w:fldCharType="begin"/>
    </w:r>
    <w:r w:rsidR="007B4429" w:rsidRPr="009271F2">
      <w:rPr>
        <w:rStyle w:val="PageNumber"/>
        <w:rFonts w:cs="Arial"/>
        <w:sz w:val="20"/>
        <w:szCs w:val="20"/>
      </w:rPr>
      <w:instrText xml:space="preserve"> PAGE </w:instrText>
    </w:r>
    <w:r w:rsidR="007B4429" w:rsidRPr="009271F2">
      <w:rPr>
        <w:rStyle w:val="PageNumber"/>
        <w:rFonts w:cs="Arial"/>
        <w:sz w:val="20"/>
        <w:szCs w:val="20"/>
      </w:rPr>
      <w:fldChar w:fldCharType="separate"/>
    </w:r>
    <w:r w:rsidR="007B4429" w:rsidRPr="009271F2">
      <w:rPr>
        <w:rStyle w:val="PageNumber"/>
        <w:rFonts w:cs="Arial"/>
        <w:noProof/>
        <w:sz w:val="20"/>
        <w:szCs w:val="20"/>
      </w:rPr>
      <w:t>3</w:t>
    </w:r>
    <w:r w:rsidR="007B4429" w:rsidRPr="009271F2">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5812" w14:textId="77777777" w:rsidR="00F645FD" w:rsidRPr="008B64DF" w:rsidRDefault="00F645FD" w:rsidP="00F645FD">
    <w:pPr>
      <w:pStyle w:val="Header"/>
      <w:rPr>
        <w:sz w:val="22"/>
        <w:szCs w:val="22"/>
      </w:rPr>
    </w:pPr>
    <w:r>
      <w:rPr>
        <w:rFonts w:cs="Arial"/>
        <w:b/>
        <w:noProof/>
        <w:sz w:val="44"/>
        <w:szCs w:val="44"/>
        <w:lang w:val="pt-PT"/>
      </w:rPr>
      <w:drawing>
        <wp:anchor distT="0" distB="0" distL="114300" distR="114300" simplePos="0" relativeHeight="251659264" behindDoc="1" locked="0" layoutInCell="1" allowOverlap="1" wp14:anchorId="41165C81" wp14:editId="11E79623">
          <wp:simplePos x="0" y="0"/>
          <wp:positionH relativeFrom="column">
            <wp:posOffset>1270</wp:posOffset>
          </wp:positionH>
          <wp:positionV relativeFrom="paragraph">
            <wp:posOffset>160020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D7F36" w14:textId="77777777" w:rsidR="00F645FD" w:rsidRPr="00FC4A15" w:rsidRDefault="00F645FD" w:rsidP="00F645FD">
    <w:pPr>
      <w:pStyle w:val="Header"/>
      <w:spacing w:after="520"/>
      <w:jc w:val="right"/>
      <w:rPr>
        <w:rFonts w:cs="Arial"/>
        <w:b/>
        <w:color w:val="0070C0"/>
        <w:sz w:val="44"/>
        <w:szCs w:val="44"/>
        <w:lang w:val="pt-PT"/>
      </w:rPr>
    </w:pPr>
    <w:r w:rsidRPr="00FC4A15">
      <w:rPr>
        <w:rFonts w:cs="Arial"/>
        <w:b/>
        <w:color w:val="0070C0"/>
        <w:sz w:val="44"/>
        <w:szCs w:val="44"/>
        <w:lang w:val="pt-PT"/>
      </w:rPr>
      <w:t>16 COM</w:t>
    </w:r>
  </w:p>
  <w:p w14:paraId="5945F7D5" w14:textId="13FB66B9" w:rsidR="00F645FD" w:rsidRPr="00FC4A15" w:rsidRDefault="00F645FD" w:rsidP="00F645FD">
    <w:pPr>
      <w:jc w:val="right"/>
      <w:rPr>
        <w:rFonts w:cs="Arial"/>
        <w:b/>
        <w:color w:val="0070C0"/>
        <w:sz w:val="22"/>
        <w:szCs w:val="22"/>
        <w:lang w:val="pt-PT"/>
      </w:rPr>
    </w:pPr>
    <w:r w:rsidRPr="00FC4A15">
      <w:rPr>
        <w:rFonts w:cs="Arial"/>
        <w:b/>
        <w:color w:val="0070C0"/>
        <w:sz w:val="22"/>
        <w:szCs w:val="22"/>
        <w:lang w:val="pt-PT"/>
      </w:rPr>
      <w:t>LHE/21/16.COM/8.</w:t>
    </w:r>
    <w:r>
      <w:rPr>
        <w:rFonts w:cs="Arial"/>
        <w:b/>
        <w:color w:val="0070C0"/>
        <w:sz w:val="22"/>
        <w:szCs w:val="22"/>
        <w:lang w:val="pt-PT"/>
      </w:rPr>
      <w:t>d</w:t>
    </w:r>
  </w:p>
  <w:p w14:paraId="6C418F93" w14:textId="77777777" w:rsidR="00F645FD" w:rsidRPr="00825C0C" w:rsidRDefault="00F645FD" w:rsidP="00F645FD">
    <w:pPr>
      <w:jc w:val="right"/>
      <w:rPr>
        <w:rFonts w:eastAsiaTheme="minorEastAsia" w:cs="Arial"/>
        <w:b/>
        <w:color w:val="0070C0"/>
        <w:sz w:val="22"/>
        <w:szCs w:val="22"/>
        <w:lang w:val="pt-PT" w:eastAsia="ko-KR"/>
      </w:rPr>
    </w:pPr>
    <w:r w:rsidRPr="00825C0C">
      <w:rPr>
        <w:rFonts w:cs="Arial"/>
        <w:b/>
        <w:color w:val="0070C0"/>
        <w:sz w:val="22"/>
        <w:szCs w:val="22"/>
        <w:lang w:val="pt-PT"/>
      </w:rPr>
      <w:t>Paris, le 15 novembre 2021</w:t>
    </w:r>
  </w:p>
  <w:p w14:paraId="27BCF26E" w14:textId="7520AB03" w:rsidR="008010EE" w:rsidRPr="00F645FD" w:rsidRDefault="00F645FD" w:rsidP="00F645FD">
    <w:pPr>
      <w:tabs>
        <w:tab w:val="left" w:pos="285"/>
        <w:tab w:val="right" w:pos="6840"/>
      </w:tabs>
      <w:spacing w:after="480"/>
      <w:jc w:val="right"/>
      <w:rPr>
        <w:rFonts w:cs="Arial"/>
        <w:b/>
        <w:color w:val="0070C0"/>
        <w:sz w:val="22"/>
        <w:szCs w:val="22"/>
        <w:lang w:val="fr-FR"/>
      </w:rPr>
    </w:pPr>
    <w:r w:rsidRPr="00F645FD">
      <w:rPr>
        <w:rFonts w:cs="Arial"/>
        <w:b/>
        <w:color w:val="0070C0"/>
        <w:sz w:val="22"/>
        <w:szCs w:val="22"/>
        <w:lang w:val="fr-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FE483F"/>
    <w:multiLevelType w:val="multilevel"/>
    <w:tmpl w:val="E70EBFFC"/>
    <w:numStyleLink w:val="Headingsubdecision"/>
  </w:abstractNum>
  <w:abstractNum w:abstractNumId="5"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786D18"/>
    <w:multiLevelType w:val="multilevel"/>
    <w:tmpl w:val="E70EBFFC"/>
    <w:numStyleLink w:val="Headingsubdecision"/>
  </w:abstractNum>
  <w:abstractNum w:abstractNumId="11"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117AC"/>
    <w:multiLevelType w:val="multilevel"/>
    <w:tmpl w:val="E70EBFFC"/>
    <w:numStyleLink w:val="Headingsubdecision"/>
  </w:abstractNum>
  <w:abstractNum w:abstractNumId="14" w15:restartNumberingAfterBreak="0">
    <w:nsid w:val="50522735"/>
    <w:multiLevelType w:val="multilevel"/>
    <w:tmpl w:val="E70EBFFC"/>
    <w:numStyleLink w:val="Headingsubdecision"/>
  </w:abstractNum>
  <w:abstractNum w:abstractNumId="15"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F71502"/>
    <w:multiLevelType w:val="multilevel"/>
    <w:tmpl w:val="E70EBFFC"/>
    <w:numStyleLink w:val="Headingsubdecision"/>
  </w:abstractNum>
  <w:abstractNum w:abstractNumId="20"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25"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28"/>
  </w:num>
  <w:num w:numId="4">
    <w:abstractNumId w:val="5"/>
  </w:num>
  <w:num w:numId="5">
    <w:abstractNumId w:val="2"/>
  </w:num>
  <w:num w:numId="6">
    <w:abstractNumId w:val="7"/>
  </w:num>
  <w:num w:numId="7">
    <w:abstractNumId w:val="24"/>
  </w:num>
  <w:num w:numId="8">
    <w:abstractNumId w:val="0"/>
  </w:num>
  <w:num w:numId="9">
    <w:abstractNumId w:val="16"/>
  </w:num>
  <w:num w:numId="10">
    <w:abstractNumId w:val="11"/>
  </w:num>
  <w:num w:numId="11">
    <w:abstractNumId w:val="17"/>
  </w:num>
  <w:num w:numId="12">
    <w:abstractNumId w:val="9"/>
  </w:num>
  <w:num w:numId="13">
    <w:abstractNumId w:val="18"/>
  </w:num>
  <w:num w:numId="14">
    <w:abstractNumId w:val="21"/>
  </w:num>
  <w:num w:numId="15">
    <w:abstractNumId w:val="20"/>
  </w:num>
  <w:num w:numId="16">
    <w:abstractNumId w:val="15"/>
  </w:num>
  <w:num w:numId="17">
    <w:abstractNumId w:val="25"/>
  </w:num>
  <w:num w:numId="18">
    <w:abstractNumId w:val="8"/>
  </w:num>
  <w:num w:numId="19">
    <w:abstractNumId w:val="12"/>
  </w:num>
  <w:num w:numId="20">
    <w:abstractNumId w:val="3"/>
  </w:num>
  <w:num w:numId="21">
    <w:abstractNumId w:val="29"/>
  </w:num>
  <w:num w:numId="22">
    <w:abstractNumId w:val="6"/>
  </w:num>
  <w:num w:numId="23">
    <w:abstractNumId w:val="26"/>
  </w:num>
  <w:num w:numId="24">
    <w:abstractNumId w:val="19"/>
  </w:num>
  <w:num w:numId="25">
    <w:abstractNumId w:val="10"/>
  </w:num>
  <w:num w:numId="26">
    <w:abstractNumId w:val="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3"/>
  </w:num>
  <w:num w:numId="35">
    <w:abstractNumId w:val="13"/>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7"/>
  </w:num>
  <w:num w:numId="42">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7"/>
    </w:lvlOverride>
  </w:num>
  <w:num w:numId="45">
    <w:abstractNumId w:val="13"/>
    <w:lvlOverride w:ilvl="0">
      <w:startOverride w:val="1"/>
    </w:lvlOverride>
    <w:lvlOverride w:ilvl="1">
      <w:startOverride w:val="8"/>
    </w:lvlOverride>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3016"/>
    <w:rsid w:val="0000380D"/>
    <w:rsid w:val="00004BA0"/>
    <w:rsid w:val="00012543"/>
    <w:rsid w:val="00012A86"/>
    <w:rsid w:val="00021510"/>
    <w:rsid w:val="00022069"/>
    <w:rsid w:val="00022AE2"/>
    <w:rsid w:val="000257B5"/>
    <w:rsid w:val="00034DB4"/>
    <w:rsid w:val="00035E2B"/>
    <w:rsid w:val="00036D4C"/>
    <w:rsid w:val="000408C3"/>
    <w:rsid w:val="00042D0B"/>
    <w:rsid w:val="00047975"/>
    <w:rsid w:val="0005012F"/>
    <w:rsid w:val="0005140B"/>
    <w:rsid w:val="000540B0"/>
    <w:rsid w:val="00062E0E"/>
    <w:rsid w:val="00075C4A"/>
    <w:rsid w:val="00077110"/>
    <w:rsid w:val="0008302D"/>
    <w:rsid w:val="00084A1C"/>
    <w:rsid w:val="00086B0C"/>
    <w:rsid w:val="00090B01"/>
    <w:rsid w:val="00090BFA"/>
    <w:rsid w:val="00091C1C"/>
    <w:rsid w:val="00091E2E"/>
    <w:rsid w:val="00092807"/>
    <w:rsid w:val="00093891"/>
    <w:rsid w:val="00093D5A"/>
    <w:rsid w:val="000968B2"/>
    <w:rsid w:val="000977C1"/>
    <w:rsid w:val="000A18EC"/>
    <w:rsid w:val="000A6D2D"/>
    <w:rsid w:val="000B0FDA"/>
    <w:rsid w:val="000B2B42"/>
    <w:rsid w:val="000B4B06"/>
    <w:rsid w:val="000C12F9"/>
    <w:rsid w:val="000C1816"/>
    <w:rsid w:val="000D1665"/>
    <w:rsid w:val="000E396A"/>
    <w:rsid w:val="000E43A1"/>
    <w:rsid w:val="000E7684"/>
    <w:rsid w:val="000F2639"/>
    <w:rsid w:val="000F2DA1"/>
    <w:rsid w:val="001011D5"/>
    <w:rsid w:val="001037DE"/>
    <w:rsid w:val="001057B9"/>
    <w:rsid w:val="0010727B"/>
    <w:rsid w:val="00110652"/>
    <w:rsid w:val="00110952"/>
    <w:rsid w:val="00111BD2"/>
    <w:rsid w:val="00111C08"/>
    <w:rsid w:val="00112BDD"/>
    <w:rsid w:val="00116253"/>
    <w:rsid w:val="0012058A"/>
    <w:rsid w:val="00123386"/>
    <w:rsid w:val="001348D6"/>
    <w:rsid w:val="00134BD0"/>
    <w:rsid w:val="00135214"/>
    <w:rsid w:val="001356EF"/>
    <w:rsid w:val="00135E6A"/>
    <w:rsid w:val="00136E20"/>
    <w:rsid w:val="0014538B"/>
    <w:rsid w:val="001460FE"/>
    <w:rsid w:val="00150892"/>
    <w:rsid w:val="00151EF2"/>
    <w:rsid w:val="00163E7F"/>
    <w:rsid w:val="001643B0"/>
    <w:rsid w:val="00164762"/>
    <w:rsid w:val="00167664"/>
    <w:rsid w:val="00170700"/>
    <w:rsid w:val="00174C28"/>
    <w:rsid w:val="001771C3"/>
    <w:rsid w:val="0017744E"/>
    <w:rsid w:val="001818FC"/>
    <w:rsid w:val="001902C8"/>
    <w:rsid w:val="00191DD1"/>
    <w:rsid w:val="001961DF"/>
    <w:rsid w:val="001977CC"/>
    <w:rsid w:val="001A646B"/>
    <w:rsid w:val="001A6512"/>
    <w:rsid w:val="001A6898"/>
    <w:rsid w:val="001A6D0F"/>
    <w:rsid w:val="001B01C5"/>
    <w:rsid w:val="001B0974"/>
    <w:rsid w:val="001B0B47"/>
    <w:rsid w:val="001B1690"/>
    <w:rsid w:val="001B4D6C"/>
    <w:rsid w:val="001B5342"/>
    <w:rsid w:val="001B5430"/>
    <w:rsid w:val="001B6B5C"/>
    <w:rsid w:val="001C2779"/>
    <w:rsid w:val="001C2E16"/>
    <w:rsid w:val="001D3F6B"/>
    <w:rsid w:val="001D5647"/>
    <w:rsid w:val="001D5834"/>
    <w:rsid w:val="001D5A13"/>
    <w:rsid w:val="001E44BF"/>
    <w:rsid w:val="001E4887"/>
    <w:rsid w:val="001E4BB5"/>
    <w:rsid w:val="001E54D7"/>
    <w:rsid w:val="001F23C7"/>
    <w:rsid w:val="001F28C5"/>
    <w:rsid w:val="001F3A8E"/>
    <w:rsid w:val="001F3C6E"/>
    <w:rsid w:val="001F3F82"/>
    <w:rsid w:val="001F6740"/>
    <w:rsid w:val="001F78A0"/>
    <w:rsid w:val="00203881"/>
    <w:rsid w:val="002060D6"/>
    <w:rsid w:val="002069B1"/>
    <w:rsid w:val="00215B93"/>
    <w:rsid w:val="00225521"/>
    <w:rsid w:val="002305EE"/>
    <w:rsid w:val="002352B0"/>
    <w:rsid w:val="0023552F"/>
    <w:rsid w:val="00242101"/>
    <w:rsid w:val="002438B0"/>
    <w:rsid w:val="00247ECF"/>
    <w:rsid w:val="002507AB"/>
    <w:rsid w:val="00252CE8"/>
    <w:rsid w:val="00255D05"/>
    <w:rsid w:val="002608A5"/>
    <w:rsid w:val="002724A5"/>
    <w:rsid w:val="00283E24"/>
    <w:rsid w:val="00286398"/>
    <w:rsid w:val="00297D76"/>
    <w:rsid w:val="002A482B"/>
    <w:rsid w:val="002B0495"/>
    <w:rsid w:val="002B3ED7"/>
    <w:rsid w:val="002C14AB"/>
    <w:rsid w:val="002C2DC9"/>
    <w:rsid w:val="002C735A"/>
    <w:rsid w:val="002D00CB"/>
    <w:rsid w:val="002D1A1F"/>
    <w:rsid w:val="002D268F"/>
    <w:rsid w:val="002D33F1"/>
    <w:rsid w:val="002D343E"/>
    <w:rsid w:val="002D402C"/>
    <w:rsid w:val="002D4BE0"/>
    <w:rsid w:val="002D6E2B"/>
    <w:rsid w:val="002D7AD9"/>
    <w:rsid w:val="002E1132"/>
    <w:rsid w:val="002E1D15"/>
    <w:rsid w:val="002E364A"/>
    <w:rsid w:val="002F0E8E"/>
    <w:rsid w:val="003017ED"/>
    <w:rsid w:val="00304ED8"/>
    <w:rsid w:val="0030744C"/>
    <w:rsid w:val="00310CD4"/>
    <w:rsid w:val="00315B69"/>
    <w:rsid w:val="003167E6"/>
    <w:rsid w:val="00316C80"/>
    <w:rsid w:val="0032241B"/>
    <w:rsid w:val="00326DB1"/>
    <w:rsid w:val="003315A4"/>
    <w:rsid w:val="00336C8B"/>
    <w:rsid w:val="003373B7"/>
    <w:rsid w:val="00342287"/>
    <w:rsid w:val="00343164"/>
    <w:rsid w:val="00343545"/>
    <w:rsid w:val="00345D5D"/>
    <w:rsid w:val="00346E79"/>
    <w:rsid w:val="00347E25"/>
    <w:rsid w:val="00353459"/>
    <w:rsid w:val="0035420E"/>
    <w:rsid w:val="00354BE9"/>
    <w:rsid w:val="00354CA1"/>
    <w:rsid w:val="00367638"/>
    <w:rsid w:val="003729E7"/>
    <w:rsid w:val="0037642E"/>
    <w:rsid w:val="00377524"/>
    <w:rsid w:val="003857C9"/>
    <w:rsid w:val="003874B5"/>
    <w:rsid w:val="003936A2"/>
    <w:rsid w:val="00397DEC"/>
    <w:rsid w:val="003A4CE7"/>
    <w:rsid w:val="003B2FE0"/>
    <w:rsid w:val="003B534D"/>
    <w:rsid w:val="003C7328"/>
    <w:rsid w:val="003D1A9F"/>
    <w:rsid w:val="003D62FC"/>
    <w:rsid w:val="003D6881"/>
    <w:rsid w:val="003D7E53"/>
    <w:rsid w:val="003E2684"/>
    <w:rsid w:val="003E2C4F"/>
    <w:rsid w:val="003E5AA3"/>
    <w:rsid w:val="003F23B5"/>
    <w:rsid w:val="003F3A64"/>
    <w:rsid w:val="003F61A7"/>
    <w:rsid w:val="003F6BE4"/>
    <w:rsid w:val="003F7D47"/>
    <w:rsid w:val="0040173D"/>
    <w:rsid w:val="0040539B"/>
    <w:rsid w:val="00406035"/>
    <w:rsid w:val="00416D6E"/>
    <w:rsid w:val="0042006F"/>
    <w:rsid w:val="00420146"/>
    <w:rsid w:val="0042282D"/>
    <w:rsid w:val="00423EB3"/>
    <w:rsid w:val="00427011"/>
    <w:rsid w:val="00427F26"/>
    <w:rsid w:val="00434794"/>
    <w:rsid w:val="004424D7"/>
    <w:rsid w:val="00442F9A"/>
    <w:rsid w:val="00446180"/>
    <w:rsid w:val="004508A5"/>
    <w:rsid w:val="004509FC"/>
    <w:rsid w:val="00452EFE"/>
    <w:rsid w:val="004554E8"/>
    <w:rsid w:val="00460553"/>
    <w:rsid w:val="004627CF"/>
    <w:rsid w:val="00465734"/>
    <w:rsid w:val="0047196E"/>
    <w:rsid w:val="0047247F"/>
    <w:rsid w:val="00473697"/>
    <w:rsid w:val="004758EE"/>
    <w:rsid w:val="0048407B"/>
    <w:rsid w:val="004859A3"/>
    <w:rsid w:val="00486875"/>
    <w:rsid w:val="00492A57"/>
    <w:rsid w:val="004963DE"/>
    <w:rsid w:val="004979FB"/>
    <w:rsid w:val="00497C1B"/>
    <w:rsid w:val="004A04A5"/>
    <w:rsid w:val="004B0BD6"/>
    <w:rsid w:val="004B1DD9"/>
    <w:rsid w:val="004B2E23"/>
    <w:rsid w:val="004B4884"/>
    <w:rsid w:val="004C1FD7"/>
    <w:rsid w:val="004C3649"/>
    <w:rsid w:val="004C3D21"/>
    <w:rsid w:val="004C4307"/>
    <w:rsid w:val="004C6AAD"/>
    <w:rsid w:val="004D0325"/>
    <w:rsid w:val="004D2198"/>
    <w:rsid w:val="004D3573"/>
    <w:rsid w:val="004E18B6"/>
    <w:rsid w:val="004E439D"/>
    <w:rsid w:val="004F142E"/>
    <w:rsid w:val="004F4632"/>
    <w:rsid w:val="0050371D"/>
    <w:rsid w:val="00506F05"/>
    <w:rsid w:val="00507DA1"/>
    <w:rsid w:val="005118A2"/>
    <w:rsid w:val="005137D1"/>
    <w:rsid w:val="00514B07"/>
    <w:rsid w:val="00517175"/>
    <w:rsid w:val="00520878"/>
    <w:rsid w:val="00521D81"/>
    <w:rsid w:val="00522BB0"/>
    <w:rsid w:val="00525A13"/>
    <w:rsid w:val="005302D5"/>
    <w:rsid w:val="00531768"/>
    <w:rsid w:val="00535110"/>
    <w:rsid w:val="0053703B"/>
    <w:rsid w:val="00542F45"/>
    <w:rsid w:val="005508D1"/>
    <w:rsid w:val="0055114C"/>
    <w:rsid w:val="0055212C"/>
    <w:rsid w:val="00552FFF"/>
    <w:rsid w:val="00553374"/>
    <w:rsid w:val="005564AC"/>
    <w:rsid w:val="0055763B"/>
    <w:rsid w:val="005619D1"/>
    <w:rsid w:val="0056321C"/>
    <w:rsid w:val="005635FF"/>
    <w:rsid w:val="00564F37"/>
    <w:rsid w:val="00570735"/>
    <w:rsid w:val="00575575"/>
    <w:rsid w:val="00575905"/>
    <w:rsid w:val="00591027"/>
    <w:rsid w:val="00591BDB"/>
    <w:rsid w:val="00591EB7"/>
    <w:rsid w:val="005924E0"/>
    <w:rsid w:val="00592B45"/>
    <w:rsid w:val="0059357A"/>
    <w:rsid w:val="00594FBD"/>
    <w:rsid w:val="005A68DA"/>
    <w:rsid w:val="005B0D53"/>
    <w:rsid w:val="005B11B9"/>
    <w:rsid w:val="005B3223"/>
    <w:rsid w:val="005B66E9"/>
    <w:rsid w:val="005B68D7"/>
    <w:rsid w:val="005B7708"/>
    <w:rsid w:val="005C235B"/>
    <w:rsid w:val="005C2B7E"/>
    <w:rsid w:val="005C41AC"/>
    <w:rsid w:val="005C5282"/>
    <w:rsid w:val="005D48F3"/>
    <w:rsid w:val="005D5D3C"/>
    <w:rsid w:val="005E1705"/>
    <w:rsid w:val="005E2EC6"/>
    <w:rsid w:val="005E36FD"/>
    <w:rsid w:val="005E591D"/>
    <w:rsid w:val="005E7715"/>
    <w:rsid w:val="005F7B51"/>
    <w:rsid w:val="00600AFC"/>
    <w:rsid w:val="006022E4"/>
    <w:rsid w:val="00604C03"/>
    <w:rsid w:val="0060718D"/>
    <w:rsid w:val="00613C60"/>
    <w:rsid w:val="00614F3E"/>
    <w:rsid w:val="00621A14"/>
    <w:rsid w:val="00626509"/>
    <w:rsid w:val="0062651C"/>
    <w:rsid w:val="0063149D"/>
    <w:rsid w:val="00637894"/>
    <w:rsid w:val="00646F92"/>
    <w:rsid w:val="006578F0"/>
    <w:rsid w:val="006638D8"/>
    <w:rsid w:val="006660FD"/>
    <w:rsid w:val="0066695D"/>
    <w:rsid w:val="00666BDC"/>
    <w:rsid w:val="0067020C"/>
    <w:rsid w:val="0067248F"/>
    <w:rsid w:val="00673C39"/>
    <w:rsid w:val="00675B0B"/>
    <w:rsid w:val="00677925"/>
    <w:rsid w:val="00677954"/>
    <w:rsid w:val="00677D03"/>
    <w:rsid w:val="00680EFC"/>
    <w:rsid w:val="00680F64"/>
    <w:rsid w:val="0068694A"/>
    <w:rsid w:val="006876C2"/>
    <w:rsid w:val="00687871"/>
    <w:rsid w:val="006906EB"/>
    <w:rsid w:val="00694B89"/>
    <w:rsid w:val="006A3359"/>
    <w:rsid w:val="006A5628"/>
    <w:rsid w:val="006B1199"/>
    <w:rsid w:val="006B6D8F"/>
    <w:rsid w:val="006C34F1"/>
    <w:rsid w:val="006C4F14"/>
    <w:rsid w:val="006C5294"/>
    <w:rsid w:val="006D13AE"/>
    <w:rsid w:val="006D35DD"/>
    <w:rsid w:val="006D5D4C"/>
    <w:rsid w:val="006D6087"/>
    <w:rsid w:val="006D792F"/>
    <w:rsid w:val="006E163B"/>
    <w:rsid w:val="006F10A5"/>
    <w:rsid w:val="006F201B"/>
    <w:rsid w:val="006F48C6"/>
    <w:rsid w:val="00702EEF"/>
    <w:rsid w:val="007063E3"/>
    <w:rsid w:val="00706E57"/>
    <w:rsid w:val="00707336"/>
    <w:rsid w:val="00710221"/>
    <w:rsid w:val="00710D8E"/>
    <w:rsid w:val="00712223"/>
    <w:rsid w:val="0072192C"/>
    <w:rsid w:val="00730E82"/>
    <w:rsid w:val="00743B35"/>
    <w:rsid w:val="00746ACF"/>
    <w:rsid w:val="007511D9"/>
    <w:rsid w:val="0075327F"/>
    <w:rsid w:val="007542B7"/>
    <w:rsid w:val="00754CE4"/>
    <w:rsid w:val="00763C17"/>
    <w:rsid w:val="00765E36"/>
    <w:rsid w:val="00770B0C"/>
    <w:rsid w:val="00772853"/>
    <w:rsid w:val="00773EE9"/>
    <w:rsid w:val="00774825"/>
    <w:rsid w:val="007800BA"/>
    <w:rsid w:val="0078310C"/>
    <w:rsid w:val="00785E80"/>
    <w:rsid w:val="0078635B"/>
    <w:rsid w:val="007916DF"/>
    <w:rsid w:val="0079485C"/>
    <w:rsid w:val="00796FEE"/>
    <w:rsid w:val="007A1136"/>
    <w:rsid w:val="007A1739"/>
    <w:rsid w:val="007A22F6"/>
    <w:rsid w:val="007A5067"/>
    <w:rsid w:val="007A7C3A"/>
    <w:rsid w:val="007B12B4"/>
    <w:rsid w:val="007B20B9"/>
    <w:rsid w:val="007B4429"/>
    <w:rsid w:val="007B614E"/>
    <w:rsid w:val="007C0466"/>
    <w:rsid w:val="007C17E8"/>
    <w:rsid w:val="007C27B8"/>
    <w:rsid w:val="007C4712"/>
    <w:rsid w:val="007D10B4"/>
    <w:rsid w:val="007E31E3"/>
    <w:rsid w:val="007E3FB0"/>
    <w:rsid w:val="007E6D51"/>
    <w:rsid w:val="007F0990"/>
    <w:rsid w:val="007F11F9"/>
    <w:rsid w:val="007F74D6"/>
    <w:rsid w:val="008010EE"/>
    <w:rsid w:val="0080292A"/>
    <w:rsid w:val="0080382A"/>
    <w:rsid w:val="008060F3"/>
    <w:rsid w:val="0080789F"/>
    <w:rsid w:val="00810B57"/>
    <w:rsid w:val="00811497"/>
    <w:rsid w:val="00814EB5"/>
    <w:rsid w:val="0081599E"/>
    <w:rsid w:val="00825C0C"/>
    <w:rsid w:val="00833AAA"/>
    <w:rsid w:val="00837E5F"/>
    <w:rsid w:val="00845432"/>
    <w:rsid w:val="00845498"/>
    <w:rsid w:val="008506B2"/>
    <w:rsid w:val="0085549F"/>
    <w:rsid w:val="00862498"/>
    <w:rsid w:val="00874210"/>
    <w:rsid w:val="008805F9"/>
    <w:rsid w:val="0088407F"/>
    <w:rsid w:val="00886479"/>
    <w:rsid w:val="00890BF4"/>
    <w:rsid w:val="0089484D"/>
    <w:rsid w:val="008A574B"/>
    <w:rsid w:val="008A5877"/>
    <w:rsid w:val="008A7169"/>
    <w:rsid w:val="008B4C51"/>
    <w:rsid w:val="008B4F50"/>
    <w:rsid w:val="008C389F"/>
    <w:rsid w:val="008D06B7"/>
    <w:rsid w:val="008D0769"/>
    <w:rsid w:val="008D1B7A"/>
    <w:rsid w:val="008D2314"/>
    <w:rsid w:val="008D5ED1"/>
    <w:rsid w:val="008E1F0E"/>
    <w:rsid w:val="008E3042"/>
    <w:rsid w:val="008F5FC3"/>
    <w:rsid w:val="00903851"/>
    <w:rsid w:val="00904717"/>
    <w:rsid w:val="00904D8F"/>
    <w:rsid w:val="00911732"/>
    <w:rsid w:val="00915040"/>
    <w:rsid w:val="00915930"/>
    <w:rsid w:val="00916131"/>
    <w:rsid w:val="009171E5"/>
    <w:rsid w:val="0092107B"/>
    <w:rsid w:val="00923742"/>
    <w:rsid w:val="009271F2"/>
    <w:rsid w:val="00932893"/>
    <w:rsid w:val="00933A6C"/>
    <w:rsid w:val="00940069"/>
    <w:rsid w:val="009424E1"/>
    <w:rsid w:val="00945AC3"/>
    <w:rsid w:val="0094645E"/>
    <w:rsid w:val="009510D3"/>
    <w:rsid w:val="00951845"/>
    <w:rsid w:val="00960C7F"/>
    <w:rsid w:val="009621EB"/>
    <w:rsid w:val="00974BDC"/>
    <w:rsid w:val="009761A3"/>
    <w:rsid w:val="00977279"/>
    <w:rsid w:val="00985F05"/>
    <w:rsid w:val="00995EDB"/>
    <w:rsid w:val="00997BA4"/>
    <w:rsid w:val="009A4765"/>
    <w:rsid w:val="009A52F7"/>
    <w:rsid w:val="009B6BAC"/>
    <w:rsid w:val="009B79A0"/>
    <w:rsid w:val="009C3588"/>
    <w:rsid w:val="009C592F"/>
    <w:rsid w:val="009C6CAD"/>
    <w:rsid w:val="009C720F"/>
    <w:rsid w:val="009C76F7"/>
    <w:rsid w:val="009D156F"/>
    <w:rsid w:val="009D19BD"/>
    <w:rsid w:val="009D6A73"/>
    <w:rsid w:val="009E1D96"/>
    <w:rsid w:val="009E3A6D"/>
    <w:rsid w:val="009E3BAB"/>
    <w:rsid w:val="009E5A9D"/>
    <w:rsid w:val="009E6D11"/>
    <w:rsid w:val="009F1CC6"/>
    <w:rsid w:val="009F27C3"/>
    <w:rsid w:val="009F617C"/>
    <w:rsid w:val="00A0054F"/>
    <w:rsid w:val="00A02D86"/>
    <w:rsid w:val="00A040DF"/>
    <w:rsid w:val="00A10E4A"/>
    <w:rsid w:val="00A11B1D"/>
    <w:rsid w:val="00A12C9E"/>
    <w:rsid w:val="00A1614A"/>
    <w:rsid w:val="00A309D4"/>
    <w:rsid w:val="00A329AA"/>
    <w:rsid w:val="00A37BCF"/>
    <w:rsid w:val="00A412CB"/>
    <w:rsid w:val="00A41FC9"/>
    <w:rsid w:val="00A42939"/>
    <w:rsid w:val="00A45AAF"/>
    <w:rsid w:val="00A5120A"/>
    <w:rsid w:val="00A5672D"/>
    <w:rsid w:val="00A578CA"/>
    <w:rsid w:val="00A64D66"/>
    <w:rsid w:val="00A66D19"/>
    <w:rsid w:val="00A75CF0"/>
    <w:rsid w:val="00A75F0A"/>
    <w:rsid w:val="00A8144C"/>
    <w:rsid w:val="00A81CF4"/>
    <w:rsid w:val="00A87941"/>
    <w:rsid w:val="00A914BA"/>
    <w:rsid w:val="00A97DB5"/>
    <w:rsid w:val="00AA27FA"/>
    <w:rsid w:val="00AA5504"/>
    <w:rsid w:val="00AA668A"/>
    <w:rsid w:val="00AB1234"/>
    <w:rsid w:val="00AB2601"/>
    <w:rsid w:val="00AB32E9"/>
    <w:rsid w:val="00AB5DF0"/>
    <w:rsid w:val="00AC37FD"/>
    <w:rsid w:val="00AC6123"/>
    <w:rsid w:val="00AD1315"/>
    <w:rsid w:val="00AD15E3"/>
    <w:rsid w:val="00AD3A3F"/>
    <w:rsid w:val="00AD55D0"/>
    <w:rsid w:val="00AD5E3A"/>
    <w:rsid w:val="00AD7B8F"/>
    <w:rsid w:val="00AE07B9"/>
    <w:rsid w:val="00AE0C3C"/>
    <w:rsid w:val="00AE354E"/>
    <w:rsid w:val="00AE7E4B"/>
    <w:rsid w:val="00AF0432"/>
    <w:rsid w:val="00AF6DAC"/>
    <w:rsid w:val="00B06E5E"/>
    <w:rsid w:val="00B0712B"/>
    <w:rsid w:val="00B10117"/>
    <w:rsid w:val="00B11665"/>
    <w:rsid w:val="00B1285F"/>
    <w:rsid w:val="00B13203"/>
    <w:rsid w:val="00B16E59"/>
    <w:rsid w:val="00B26711"/>
    <w:rsid w:val="00B26DA6"/>
    <w:rsid w:val="00B27F0E"/>
    <w:rsid w:val="00B43896"/>
    <w:rsid w:val="00B529BE"/>
    <w:rsid w:val="00B553EA"/>
    <w:rsid w:val="00B57022"/>
    <w:rsid w:val="00B611FB"/>
    <w:rsid w:val="00B62BBC"/>
    <w:rsid w:val="00B71762"/>
    <w:rsid w:val="00B72BD0"/>
    <w:rsid w:val="00B735C0"/>
    <w:rsid w:val="00B77DA9"/>
    <w:rsid w:val="00B844EB"/>
    <w:rsid w:val="00B90524"/>
    <w:rsid w:val="00B9699B"/>
    <w:rsid w:val="00BA3304"/>
    <w:rsid w:val="00BA54CE"/>
    <w:rsid w:val="00BA7C8E"/>
    <w:rsid w:val="00BB0D36"/>
    <w:rsid w:val="00BB2A70"/>
    <w:rsid w:val="00BB4794"/>
    <w:rsid w:val="00BB59E3"/>
    <w:rsid w:val="00BB6AF4"/>
    <w:rsid w:val="00BC21D3"/>
    <w:rsid w:val="00BD13A6"/>
    <w:rsid w:val="00BD3186"/>
    <w:rsid w:val="00BD63C2"/>
    <w:rsid w:val="00BE2517"/>
    <w:rsid w:val="00BE7AC4"/>
    <w:rsid w:val="00BF5484"/>
    <w:rsid w:val="00BF5669"/>
    <w:rsid w:val="00BF5B68"/>
    <w:rsid w:val="00BF7382"/>
    <w:rsid w:val="00C01FBE"/>
    <w:rsid w:val="00C049B8"/>
    <w:rsid w:val="00C10FC3"/>
    <w:rsid w:val="00C124F1"/>
    <w:rsid w:val="00C21C04"/>
    <w:rsid w:val="00C2597F"/>
    <w:rsid w:val="00C304D6"/>
    <w:rsid w:val="00C34AF0"/>
    <w:rsid w:val="00C35C24"/>
    <w:rsid w:val="00C36879"/>
    <w:rsid w:val="00C37979"/>
    <w:rsid w:val="00C42E46"/>
    <w:rsid w:val="00C433B6"/>
    <w:rsid w:val="00C50EF9"/>
    <w:rsid w:val="00C521D0"/>
    <w:rsid w:val="00C53E8E"/>
    <w:rsid w:val="00C6310A"/>
    <w:rsid w:val="00C65BAD"/>
    <w:rsid w:val="00C729C7"/>
    <w:rsid w:val="00C740ED"/>
    <w:rsid w:val="00C74670"/>
    <w:rsid w:val="00C74743"/>
    <w:rsid w:val="00C77B6E"/>
    <w:rsid w:val="00C81822"/>
    <w:rsid w:val="00C90F1A"/>
    <w:rsid w:val="00C955DF"/>
    <w:rsid w:val="00CA3D2B"/>
    <w:rsid w:val="00CC58A2"/>
    <w:rsid w:val="00CD0958"/>
    <w:rsid w:val="00CD14A6"/>
    <w:rsid w:val="00CD2545"/>
    <w:rsid w:val="00CD654A"/>
    <w:rsid w:val="00CE2985"/>
    <w:rsid w:val="00CE7281"/>
    <w:rsid w:val="00CE77CF"/>
    <w:rsid w:val="00CF004C"/>
    <w:rsid w:val="00CF02C4"/>
    <w:rsid w:val="00CF4B1C"/>
    <w:rsid w:val="00D14150"/>
    <w:rsid w:val="00D16EF2"/>
    <w:rsid w:val="00D174D2"/>
    <w:rsid w:val="00D17761"/>
    <w:rsid w:val="00D17890"/>
    <w:rsid w:val="00D23097"/>
    <w:rsid w:val="00D239C3"/>
    <w:rsid w:val="00D41D38"/>
    <w:rsid w:val="00D422F7"/>
    <w:rsid w:val="00D519E8"/>
    <w:rsid w:val="00D6330D"/>
    <w:rsid w:val="00D719D4"/>
    <w:rsid w:val="00D7369D"/>
    <w:rsid w:val="00D73BF4"/>
    <w:rsid w:val="00D77F3B"/>
    <w:rsid w:val="00D85E51"/>
    <w:rsid w:val="00D87D16"/>
    <w:rsid w:val="00D91081"/>
    <w:rsid w:val="00DA134D"/>
    <w:rsid w:val="00DA35C3"/>
    <w:rsid w:val="00DA5D79"/>
    <w:rsid w:val="00DB29FC"/>
    <w:rsid w:val="00DB305B"/>
    <w:rsid w:val="00DB4B93"/>
    <w:rsid w:val="00DD4094"/>
    <w:rsid w:val="00DE108A"/>
    <w:rsid w:val="00DE35B6"/>
    <w:rsid w:val="00DE67D6"/>
    <w:rsid w:val="00DF357C"/>
    <w:rsid w:val="00DF5C5D"/>
    <w:rsid w:val="00DF6531"/>
    <w:rsid w:val="00DF7561"/>
    <w:rsid w:val="00DF7B2F"/>
    <w:rsid w:val="00E10A58"/>
    <w:rsid w:val="00E2068B"/>
    <w:rsid w:val="00E20C3A"/>
    <w:rsid w:val="00E247C7"/>
    <w:rsid w:val="00E26752"/>
    <w:rsid w:val="00E33988"/>
    <w:rsid w:val="00E375ED"/>
    <w:rsid w:val="00E3787A"/>
    <w:rsid w:val="00E43134"/>
    <w:rsid w:val="00E438AA"/>
    <w:rsid w:val="00E43DB7"/>
    <w:rsid w:val="00E452E0"/>
    <w:rsid w:val="00E45881"/>
    <w:rsid w:val="00E52173"/>
    <w:rsid w:val="00E61536"/>
    <w:rsid w:val="00E65915"/>
    <w:rsid w:val="00E72EBF"/>
    <w:rsid w:val="00E744D6"/>
    <w:rsid w:val="00E76D0D"/>
    <w:rsid w:val="00E77922"/>
    <w:rsid w:val="00E80831"/>
    <w:rsid w:val="00E82DC9"/>
    <w:rsid w:val="00E834A2"/>
    <w:rsid w:val="00E852B4"/>
    <w:rsid w:val="00E8698F"/>
    <w:rsid w:val="00E92373"/>
    <w:rsid w:val="00E96747"/>
    <w:rsid w:val="00E97D3D"/>
    <w:rsid w:val="00EA08E2"/>
    <w:rsid w:val="00EA443B"/>
    <w:rsid w:val="00EA4DAF"/>
    <w:rsid w:val="00EA6970"/>
    <w:rsid w:val="00EB0E75"/>
    <w:rsid w:val="00EB62B9"/>
    <w:rsid w:val="00EB7155"/>
    <w:rsid w:val="00EB7DE4"/>
    <w:rsid w:val="00EC4AFB"/>
    <w:rsid w:val="00ED43DB"/>
    <w:rsid w:val="00ED486C"/>
    <w:rsid w:val="00ED57E8"/>
    <w:rsid w:val="00ED6F59"/>
    <w:rsid w:val="00ED7401"/>
    <w:rsid w:val="00EE0251"/>
    <w:rsid w:val="00EE6BE9"/>
    <w:rsid w:val="00EE7237"/>
    <w:rsid w:val="00EE7D51"/>
    <w:rsid w:val="00EF33F7"/>
    <w:rsid w:val="00EF44D2"/>
    <w:rsid w:val="00EF5560"/>
    <w:rsid w:val="00F000EF"/>
    <w:rsid w:val="00F00207"/>
    <w:rsid w:val="00F030A5"/>
    <w:rsid w:val="00F10319"/>
    <w:rsid w:val="00F1040F"/>
    <w:rsid w:val="00F13A4D"/>
    <w:rsid w:val="00F13EC6"/>
    <w:rsid w:val="00F14430"/>
    <w:rsid w:val="00F1453E"/>
    <w:rsid w:val="00F1620B"/>
    <w:rsid w:val="00F30DD6"/>
    <w:rsid w:val="00F331B4"/>
    <w:rsid w:val="00F363BB"/>
    <w:rsid w:val="00F4001E"/>
    <w:rsid w:val="00F432DE"/>
    <w:rsid w:val="00F44162"/>
    <w:rsid w:val="00F53E6F"/>
    <w:rsid w:val="00F54D70"/>
    <w:rsid w:val="00F60A77"/>
    <w:rsid w:val="00F6276E"/>
    <w:rsid w:val="00F63295"/>
    <w:rsid w:val="00F645FD"/>
    <w:rsid w:val="00F66453"/>
    <w:rsid w:val="00F703A6"/>
    <w:rsid w:val="00F71506"/>
    <w:rsid w:val="00F73E0F"/>
    <w:rsid w:val="00F7778A"/>
    <w:rsid w:val="00F84519"/>
    <w:rsid w:val="00F84898"/>
    <w:rsid w:val="00F8770E"/>
    <w:rsid w:val="00F9024B"/>
    <w:rsid w:val="00F911D2"/>
    <w:rsid w:val="00F96E1D"/>
    <w:rsid w:val="00FB004B"/>
    <w:rsid w:val="00FB2612"/>
    <w:rsid w:val="00FB3246"/>
    <w:rsid w:val="00FB4B92"/>
    <w:rsid w:val="00FB5943"/>
    <w:rsid w:val="00FB6250"/>
    <w:rsid w:val="00FB761A"/>
    <w:rsid w:val="00FC57F5"/>
    <w:rsid w:val="00FC5D1E"/>
    <w:rsid w:val="00FD6DF3"/>
    <w:rsid w:val="00FD76E2"/>
    <w:rsid w:val="00FE011D"/>
    <w:rsid w:val="00FE67F2"/>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2">
    <w:name w:val="heading 2"/>
    <w:basedOn w:val="Normal"/>
    <w:next w:val="Normal"/>
    <w:link w:val="Heading2Char"/>
    <w:unhideWhenUsed/>
    <w:qFormat/>
    <w:rsid w:val="0053703B"/>
    <w:pPr>
      <w:keepNext/>
      <w:keepLines/>
      <w:spacing w:before="40"/>
      <w:outlineLvl w:val="1"/>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basedOn w:val="Normal"/>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semiHidden/>
    <w:unhideWhenUsed/>
    <w:rsid w:val="0023552F"/>
    <w:rPr>
      <w:sz w:val="20"/>
      <w:szCs w:val="20"/>
    </w:rPr>
  </w:style>
  <w:style w:type="character" w:customStyle="1" w:styleId="CommentTextChar">
    <w:name w:val="Comment Text Char"/>
    <w:basedOn w:val="DefaultParagraphFont"/>
    <w:link w:val="CommentText"/>
    <w:uiPriority w:val="99"/>
    <w:semiHidden/>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23"/>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styleId="UnresolvedMention">
    <w:name w:val="Unresolved Mention"/>
    <w:basedOn w:val="DefaultParagraphFont"/>
    <w:uiPriority w:val="99"/>
    <w:semiHidden/>
    <w:unhideWhenUsed/>
    <w:rsid w:val="00F14430"/>
    <w:rPr>
      <w:color w:val="605E5C"/>
      <w:shd w:val="clear" w:color="auto" w:fill="E1DFDD"/>
    </w:rPr>
  </w:style>
  <w:style w:type="paragraph" w:styleId="Revision">
    <w:name w:val="Revision"/>
    <w:hidden/>
    <w:uiPriority w:val="99"/>
    <w:semiHidden/>
    <w:rsid w:val="00347E25"/>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8-FR.doc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0-15.COM-8.d-E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Recommandatio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8d-demandes-dassistance-internationale-0119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DF6BD5" w:rsidRDefault="00044A53" w:rsidP="00044A53">
          <w:pPr>
            <w:pStyle w:val="73F59EB9CCF84F8AAC3A834DC83DB1D4"/>
          </w:pPr>
          <w:r>
            <w:rPr>
              <w:color w:val="2F5496" w:themeColor="accent1" w:themeShade="BF"/>
              <w:sz w:val="24"/>
              <w:szCs w:val="24"/>
            </w:rPr>
            <w:t>[Nom de la société]</w:t>
          </w:r>
        </w:p>
      </w:docPartBody>
    </w:docPart>
    <w:docPart>
      <w:docPartPr>
        <w:name w:val="03F40005E45141508D094C00A16ADF01"/>
        <w:category>
          <w:name w:val="General"/>
          <w:gallery w:val="placeholder"/>
        </w:category>
        <w:types>
          <w:type w:val="bbPlcHdr"/>
        </w:types>
        <w:behaviors>
          <w:behavior w:val="content"/>
        </w:behaviors>
        <w:guid w:val="{82DC0D0D-4040-4E40-AB2B-35E5AFEA46FC}"/>
      </w:docPartPr>
      <w:docPartBody>
        <w:p w:rsidR="00DF6BD5" w:rsidRDefault="00044A53" w:rsidP="00044A53">
          <w:pPr>
            <w:pStyle w:val="03F40005E45141508D094C00A16ADF01"/>
          </w:pPr>
          <w:r>
            <w:rPr>
              <w:rFonts w:asciiTheme="majorHAnsi" w:eastAsiaTheme="majorEastAsia" w:hAnsiTheme="majorHAnsi" w:cstheme="majorBidi"/>
              <w:color w:val="4472C4" w:themeColor="accent1"/>
              <w:sz w:val="88"/>
              <w:szCs w:val="88"/>
            </w:rPr>
            <w:t>[Titre du document]</w:t>
          </w:r>
        </w:p>
      </w:docPartBody>
    </w:docPart>
    <w:docPart>
      <w:docPartPr>
        <w:name w:val="E75D4E981FC047B89A2A45945770EBD7"/>
        <w:category>
          <w:name w:val="General"/>
          <w:gallery w:val="placeholder"/>
        </w:category>
        <w:types>
          <w:type w:val="bbPlcHdr"/>
        </w:types>
        <w:behaviors>
          <w:behavior w:val="content"/>
        </w:behaviors>
        <w:guid w:val="{3CB35D65-DCE1-4665-AF86-4749F816E0C9}"/>
      </w:docPartPr>
      <w:docPartBody>
        <w:p w:rsidR="00DF6BD5" w:rsidRDefault="00044A53" w:rsidP="00044A53">
          <w:pPr>
            <w:pStyle w:val="E75D4E981FC047B89A2A45945770EBD7"/>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44951"/>
    <w:rsid w:val="00044A53"/>
    <w:rsid w:val="00201405"/>
    <w:rsid w:val="003B34CC"/>
    <w:rsid w:val="007E0A01"/>
    <w:rsid w:val="0091347F"/>
    <w:rsid w:val="009340BB"/>
    <w:rsid w:val="00951329"/>
    <w:rsid w:val="00A72BC9"/>
    <w:rsid w:val="00D42862"/>
    <w:rsid w:val="00DF2E42"/>
    <w:rsid w:val="00DF6B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59EB9CCF84F8AAC3A834DC83DB1D4">
    <w:name w:val="73F59EB9CCF84F8AAC3A834DC83DB1D4"/>
    <w:rsid w:val="00044A53"/>
  </w:style>
  <w:style w:type="paragraph" w:customStyle="1" w:styleId="03F40005E45141508D094C00A16ADF01">
    <w:name w:val="03F40005E45141508D094C00A16ADF01"/>
    <w:rsid w:val="00044A53"/>
  </w:style>
  <w:style w:type="paragraph" w:customStyle="1" w:styleId="E75D4E981FC047B89A2A45945770EBD7">
    <w:name w:val="E75D4E981FC047B89A2A45945770EBD7"/>
    <w:rsid w:val="00044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D112-818F-43D3-B024-AE0994B3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1450</Words>
  <Characters>8269</Characters>
  <Application>Microsoft Office Word</Application>
  <DocSecurity>0</DocSecurity>
  <Lines>68</Lines>
  <Paragraphs>19</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Examen des demandes d’assistance internationale</vt:lpstr>
      <vt:lpstr>Examen des demandes d’assistance internationale</vt:lpstr>
      <vt:lpstr>Examination of requests for International Assistance</vt:lpstr>
    </vt:vector>
  </TitlesOfParts>
  <Company>POINT 8.D DE L’ORDRE DU JOUR PROVISOIRE</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demandes d’assistance internationale</dc:title>
  <dc:subject>Seizième session, Comité intergouvernemental de sauvegarde du patrimoine culturel immatériel (En ligne – du 13 au 18 décembre 2021)</dc:subject>
  <dc:creator>CLT/CEH/ITH - H. Sicard</dc:creator>
  <cp:lastModifiedBy>Kim, Dain</cp:lastModifiedBy>
  <cp:revision>42</cp:revision>
  <cp:lastPrinted>2009-05-07T17:43:00Z</cp:lastPrinted>
  <dcterms:created xsi:type="dcterms:W3CDTF">2021-10-20T13:38:00Z</dcterms:created>
  <dcterms:modified xsi:type="dcterms:W3CDTF">2021-12-07T15:37:00Z</dcterms:modified>
</cp:coreProperties>
</file>