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7" w:rightFromText="187" w:horzAnchor="margin" w:tblpXSpec="center" w:tblpY="2881"/>
        <w:tblW w:w="3058" w:type="pct"/>
        <w:tblBorders>
          <w:left w:val="single" w:sz="12" w:space="0" w:color="4472C4" w:themeColor="accent1"/>
        </w:tblBorders>
        <w:tblCellMar>
          <w:left w:w="144" w:type="dxa"/>
          <w:right w:w="115" w:type="dxa"/>
        </w:tblCellMar>
        <w:tblLook w:val="04A0" w:firstRow="1" w:lastRow="0" w:firstColumn="1" w:lastColumn="0" w:noHBand="0" w:noVBand="1"/>
      </w:tblPr>
      <w:tblGrid>
        <w:gridCol w:w="6085"/>
      </w:tblGrid>
      <w:tr w:rsidR="001F72C0" w:rsidRPr="004C693B" w14:paraId="121ADF9F" w14:textId="77777777" w:rsidTr="00F60640">
        <w:trPr>
          <w:trHeight w:val="297"/>
        </w:trPr>
        <w:sdt>
          <w:sdtPr>
            <w:rPr>
              <w:rFonts w:ascii="Arial" w:hAnsi="Arial" w:cs="Arial"/>
              <w:color w:val="2F5496" w:themeColor="accent1" w:themeShade="BF"/>
            </w:rPr>
            <w:alias w:val="Société"/>
            <w:id w:val="522215403"/>
            <w:placeholder>
              <w:docPart w:val="2F4212CC20374C149C04600338CEB1BE"/>
            </w:placeholder>
            <w:dataBinding w:prefixMappings="xmlns:ns0='http://schemas.openxmlformats.org/officeDocument/2006/extended-properties'" w:xpath="/ns0:Properties[1]/ns0:Company[1]" w:storeItemID="{6668398D-A668-4E3E-A5EB-62B293D839F1}"/>
            <w:text/>
          </w:sdtPr>
          <w:sdtEndPr/>
          <w:sdtContent>
            <w:tc>
              <w:tcPr>
                <w:tcW w:w="6085" w:type="dxa"/>
                <w:tcMar>
                  <w:top w:w="216" w:type="dxa"/>
                  <w:left w:w="115" w:type="dxa"/>
                  <w:bottom w:w="216" w:type="dxa"/>
                  <w:right w:w="115" w:type="dxa"/>
                </w:tcMar>
              </w:tcPr>
              <w:p w14:paraId="1A177CC9" w14:textId="394352C2" w:rsidR="001F72C0" w:rsidRPr="004C693B" w:rsidRDefault="005E6032" w:rsidP="00052018">
                <w:pPr>
                  <w:pStyle w:val="NoSpacing"/>
                  <w:rPr>
                    <w:rFonts w:ascii="Arial" w:hAnsi="Arial" w:cs="Arial"/>
                    <w:color w:val="2F5496" w:themeColor="accent1" w:themeShade="BF"/>
                  </w:rPr>
                </w:pPr>
                <w:r w:rsidRPr="004C693B">
                  <w:rPr>
                    <w:rFonts w:ascii="Arial" w:hAnsi="Arial" w:cs="Arial"/>
                    <w:color w:val="2F5496" w:themeColor="accent1" w:themeShade="BF"/>
                  </w:rPr>
                  <w:t>POINT</w:t>
                </w:r>
                <w:r w:rsidR="003F3AFE" w:rsidRPr="004C693B">
                  <w:rPr>
                    <w:rFonts w:ascii="Arial" w:hAnsi="Arial" w:cs="Arial"/>
                    <w:color w:val="2F5496" w:themeColor="accent1" w:themeShade="BF"/>
                  </w:rPr>
                  <w:t xml:space="preserve"> 8 DE L</w:t>
                </w:r>
                <w:r w:rsidR="00FB39FB">
                  <w:rPr>
                    <w:rFonts w:ascii="Arial" w:hAnsi="Arial" w:cs="Arial"/>
                    <w:color w:val="2F5496" w:themeColor="accent1" w:themeShade="BF"/>
                  </w:rPr>
                  <w:t>’</w:t>
                </w:r>
                <w:r w:rsidRPr="004C693B">
                  <w:rPr>
                    <w:rFonts w:ascii="Arial" w:hAnsi="Arial" w:cs="Arial"/>
                    <w:color w:val="2F5496" w:themeColor="accent1" w:themeShade="BF"/>
                  </w:rPr>
                  <w:t>ORDRE DU JOUR PROVISOIRE</w:t>
                </w:r>
              </w:p>
            </w:tc>
          </w:sdtContent>
        </w:sdt>
      </w:tr>
      <w:tr w:rsidR="001F72C0" w:rsidRPr="004C693B" w14:paraId="551235F3" w14:textId="77777777" w:rsidTr="00F60640">
        <w:trPr>
          <w:trHeight w:val="820"/>
        </w:trPr>
        <w:tc>
          <w:tcPr>
            <w:tcW w:w="6085" w:type="dxa"/>
          </w:tcPr>
          <w:sdt>
            <w:sdtPr>
              <w:rPr>
                <w:rFonts w:ascii="Arial" w:eastAsiaTheme="majorEastAsia" w:hAnsi="Arial" w:cs="Arial"/>
                <w:b/>
                <w:bCs/>
                <w:color w:val="4472C4"/>
                <w:sz w:val="40"/>
                <w:szCs w:val="40"/>
              </w:rPr>
              <w:alias w:val="Titre"/>
              <w:id w:val="433558757"/>
              <w:placeholder>
                <w:docPart w:val="D2DBFBABFBFB43C9A0EE9E9DDBF73F47"/>
              </w:placeholder>
              <w:dataBinding w:prefixMappings="xmlns:ns0='http://schemas.openxmlformats.org/package/2006/metadata/core-properties' xmlns:ns1='http://purl.org/dc/elements/1.1/'" w:xpath="/ns0:coreProperties[1]/ns1:title[1]" w:storeItemID="{6C3C8BC8-F283-45AE-878A-BAB7291924A1}"/>
              <w:text/>
            </w:sdtPr>
            <w:sdtEndPr/>
            <w:sdtContent>
              <w:p w14:paraId="2C019DDF" w14:textId="6714B1AC" w:rsidR="001F72C0" w:rsidRPr="004C693B" w:rsidRDefault="003E54C9" w:rsidP="006370AC">
                <w:pPr>
                  <w:pStyle w:val="NoSpacing"/>
                  <w:spacing w:line="216" w:lineRule="auto"/>
                  <w:rPr>
                    <w:rFonts w:ascii="Arial" w:eastAsiaTheme="majorEastAsia" w:hAnsi="Arial" w:cs="Arial"/>
                    <w:b/>
                    <w:bCs/>
                    <w:color w:val="4472C4"/>
                    <w:sz w:val="40"/>
                    <w:szCs w:val="40"/>
                  </w:rPr>
                </w:pPr>
                <w:r w:rsidRPr="004C693B">
                  <w:rPr>
                    <w:rFonts w:ascii="Arial" w:eastAsiaTheme="majorEastAsia" w:hAnsi="Arial" w:cs="Arial"/>
                    <w:b/>
                    <w:bCs/>
                    <w:color w:val="4472C4"/>
                    <w:sz w:val="40"/>
                    <w:szCs w:val="40"/>
                  </w:rPr>
                  <w:t>R</w:t>
                </w:r>
                <w:r w:rsidR="0075155F" w:rsidRPr="004C693B">
                  <w:rPr>
                    <w:rFonts w:ascii="Arial" w:eastAsiaTheme="majorEastAsia" w:hAnsi="Arial" w:cs="Arial"/>
                    <w:b/>
                    <w:bCs/>
                    <w:color w:val="4472C4"/>
                    <w:sz w:val="40"/>
                    <w:szCs w:val="40"/>
                  </w:rPr>
                  <w:t>ap</w:t>
                </w:r>
                <w:r w:rsidRPr="004C693B">
                  <w:rPr>
                    <w:rFonts w:ascii="Arial" w:eastAsiaTheme="majorEastAsia" w:hAnsi="Arial" w:cs="Arial"/>
                    <w:b/>
                    <w:bCs/>
                    <w:color w:val="4472C4"/>
                    <w:sz w:val="40"/>
                    <w:szCs w:val="40"/>
                  </w:rPr>
                  <w:t xml:space="preserve">port </w:t>
                </w:r>
                <w:r w:rsidR="0075155F" w:rsidRPr="004C693B">
                  <w:rPr>
                    <w:rFonts w:ascii="Arial" w:eastAsiaTheme="majorEastAsia" w:hAnsi="Arial" w:cs="Arial"/>
                    <w:b/>
                    <w:bCs/>
                    <w:color w:val="4472C4"/>
                    <w:sz w:val="40"/>
                    <w:szCs w:val="40"/>
                  </w:rPr>
                  <w:t>de l</w:t>
                </w:r>
                <w:r w:rsidR="00FB39FB">
                  <w:rPr>
                    <w:rFonts w:ascii="Arial" w:eastAsiaTheme="majorEastAsia" w:hAnsi="Arial" w:cs="Arial"/>
                    <w:b/>
                    <w:bCs/>
                    <w:color w:val="4472C4"/>
                    <w:sz w:val="40"/>
                    <w:szCs w:val="40"/>
                  </w:rPr>
                  <w:t>’</w:t>
                </w:r>
                <w:r w:rsidR="0075155F" w:rsidRPr="004C693B">
                  <w:rPr>
                    <w:rFonts w:ascii="Arial" w:eastAsiaTheme="majorEastAsia" w:hAnsi="Arial" w:cs="Arial"/>
                    <w:b/>
                    <w:bCs/>
                    <w:color w:val="4472C4"/>
                    <w:sz w:val="40"/>
                    <w:szCs w:val="40"/>
                  </w:rPr>
                  <w:t>Organe d</w:t>
                </w:r>
                <w:r w:rsidR="00FB39FB">
                  <w:rPr>
                    <w:rFonts w:ascii="Arial" w:eastAsiaTheme="majorEastAsia" w:hAnsi="Arial" w:cs="Arial"/>
                    <w:b/>
                    <w:bCs/>
                    <w:color w:val="4472C4"/>
                    <w:sz w:val="40"/>
                    <w:szCs w:val="40"/>
                  </w:rPr>
                  <w:t>’</w:t>
                </w:r>
                <w:r w:rsidR="0075155F" w:rsidRPr="004C693B">
                  <w:rPr>
                    <w:rFonts w:ascii="Arial" w:eastAsiaTheme="majorEastAsia" w:hAnsi="Arial" w:cs="Arial"/>
                    <w:b/>
                    <w:bCs/>
                    <w:color w:val="4472C4"/>
                    <w:sz w:val="40"/>
                    <w:szCs w:val="40"/>
                  </w:rPr>
                  <w:t>é</w:t>
                </w:r>
                <w:r w:rsidRPr="004C693B">
                  <w:rPr>
                    <w:rFonts w:ascii="Arial" w:eastAsiaTheme="majorEastAsia" w:hAnsi="Arial" w:cs="Arial"/>
                    <w:b/>
                    <w:bCs/>
                    <w:color w:val="4472C4"/>
                    <w:sz w:val="40"/>
                    <w:szCs w:val="40"/>
                  </w:rPr>
                  <w:t xml:space="preserve">valuation </w:t>
                </w:r>
                <w:r w:rsidR="0075155F" w:rsidRPr="004C693B">
                  <w:rPr>
                    <w:rFonts w:ascii="Arial" w:eastAsiaTheme="majorEastAsia" w:hAnsi="Arial" w:cs="Arial"/>
                    <w:b/>
                    <w:bCs/>
                    <w:color w:val="4472C4"/>
                    <w:sz w:val="40"/>
                    <w:szCs w:val="40"/>
                  </w:rPr>
                  <w:t>sur ses travaux e</w:t>
                </w:r>
                <w:r w:rsidRPr="004C693B">
                  <w:rPr>
                    <w:rFonts w:ascii="Arial" w:eastAsiaTheme="majorEastAsia" w:hAnsi="Arial" w:cs="Arial"/>
                    <w:b/>
                    <w:bCs/>
                    <w:color w:val="4472C4"/>
                    <w:sz w:val="40"/>
                    <w:szCs w:val="40"/>
                  </w:rPr>
                  <w:t>n 2021</w:t>
                </w:r>
              </w:p>
            </w:sdtContent>
          </w:sdt>
        </w:tc>
      </w:tr>
      <w:tr w:rsidR="00F60640" w:rsidRPr="004C693B" w14:paraId="1295ABEB" w14:textId="77777777" w:rsidTr="00F60640">
        <w:trPr>
          <w:trHeight w:val="851"/>
        </w:trPr>
        <w:tc>
          <w:tcPr>
            <w:tcW w:w="6085" w:type="dxa"/>
            <w:tcMar>
              <w:top w:w="216" w:type="dxa"/>
              <w:left w:w="115" w:type="dxa"/>
              <w:bottom w:w="216" w:type="dxa"/>
              <w:right w:w="115" w:type="dxa"/>
            </w:tcMar>
          </w:tcPr>
          <w:p w14:paraId="36AC7F1F" w14:textId="78180A4F" w:rsidR="00F60640" w:rsidRPr="004C693B" w:rsidRDefault="007F1FB2" w:rsidP="00F60640">
            <w:pPr>
              <w:pStyle w:val="NoSpacing"/>
              <w:rPr>
                <w:rFonts w:ascii="Arial" w:hAnsi="Arial" w:cs="Arial"/>
                <w:color w:val="2F5496" w:themeColor="accent1" w:themeShade="BF"/>
                <w:highlight w:val="yellow"/>
              </w:rPr>
            </w:pPr>
            <w:sdt>
              <w:sdtPr>
                <w:rPr>
                  <w:rFonts w:asciiTheme="minorBidi" w:hAnsiTheme="minorBidi"/>
                  <w:color w:val="2F5496" w:themeColor="accent1" w:themeShade="BF"/>
                </w:rPr>
                <w:alias w:val="Sous-titre"/>
                <w:id w:val="1996529465"/>
                <w:placeholder>
                  <w:docPart w:val="99F2C8503BB5431D8D1131B0995FD61F"/>
                </w:placeholder>
                <w:dataBinding w:prefixMappings="xmlns:ns0='http://schemas.openxmlformats.org/package/2006/metadata/core-properties' xmlns:ns1='http://purl.org/dc/elements/1.1/'" w:xpath="/ns0:coreProperties[1]/ns1:subject[1]" w:storeItemID="{6C3C8BC8-F283-45AE-878A-BAB7291924A1}"/>
                <w:text/>
              </w:sdtPr>
              <w:sdtEndPr/>
              <w:sdtContent>
                <w:r w:rsidR="003F3AFE" w:rsidRPr="00B1188E">
                  <w:rPr>
                    <w:rFonts w:asciiTheme="minorBidi" w:hAnsiTheme="minorBidi"/>
                    <w:color w:val="2F5496" w:themeColor="accent1" w:themeShade="BF"/>
                  </w:rPr>
                  <w:t>Seizième session</w:t>
                </w:r>
                <w:r w:rsidR="005E6032" w:rsidRPr="00B1188E">
                  <w:rPr>
                    <w:rFonts w:asciiTheme="minorBidi" w:hAnsiTheme="minorBidi"/>
                    <w:color w:val="2F5496" w:themeColor="accent1" w:themeShade="BF"/>
                  </w:rPr>
                  <w:t>,</w:t>
                </w:r>
                <w:r w:rsidR="003F3AFE" w:rsidRPr="00B1188E">
                  <w:rPr>
                    <w:rFonts w:asciiTheme="minorBidi" w:hAnsiTheme="minorBidi"/>
                    <w:color w:val="2F5496" w:themeColor="accent1" w:themeShade="BF"/>
                  </w:rPr>
                  <w:t xml:space="preserve"> Comité intergouvernemental </w:t>
                </w:r>
                <w:r w:rsidR="005E6032" w:rsidRPr="00B1188E">
                  <w:rPr>
                    <w:rFonts w:asciiTheme="minorBidi" w:hAnsiTheme="minorBidi"/>
                    <w:color w:val="2F5496" w:themeColor="accent1" w:themeShade="BF"/>
                  </w:rPr>
                  <w:t>de</w:t>
                </w:r>
                <w:r w:rsidR="003F3AFE" w:rsidRPr="00B1188E">
                  <w:rPr>
                    <w:rFonts w:asciiTheme="minorBidi" w:hAnsiTheme="minorBidi"/>
                    <w:color w:val="2F5496" w:themeColor="accent1" w:themeShade="BF"/>
                  </w:rPr>
                  <w:t xml:space="preserve"> sauvegarde du patrimoine culturel </w:t>
                </w:r>
                <w:r w:rsidR="005E6032" w:rsidRPr="00B1188E">
                  <w:rPr>
                    <w:rFonts w:asciiTheme="minorBidi" w:hAnsiTheme="minorBidi"/>
                    <w:color w:val="2F5496" w:themeColor="accent1" w:themeShade="BF"/>
                  </w:rPr>
                  <w:t>immatériel</w:t>
                </w:r>
                <w:r w:rsidR="003F3AFE" w:rsidRPr="00B1188E">
                  <w:rPr>
                    <w:rFonts w:asciiTheme="minorBidi" w:hAnsiTheme="minorBidi"/>
                    <w:color w:val="2F5496" w:themeColor="accent1" w:themeShade="BF"/>
                  </w:rPr>
                  <w:t xml:space="preserve"> (</w:t>
                </w:r>
                <w:r>
                  <w:rPr>
                    <w:rFonts w:asciiTheme="minorBidi" w:hAnsiTheme="minorBidi"/>
                    <w:color w:val="2F5496" w:themeColor="accent1" w:themeShade="BF"/>
                  </w:rPr>
                  <w:t>En ligne</w:t>
                </w:r>
                <w:r w:rsidR="001064E6" w:rsidRPr="00B1188E">
                  <w:rPr>
                    <w:rFonts w:asciiTheme="minorBidi" w:hAnsiTheme="minorBidi"/>
                    <w:color w:val="2F5496" w:themeColor="accent1" w:themeShade="BF"/>
                  </w:rPr>
                  <w:t xml:space="preserve"> –</w:t>
                </w:r>
                <w:r w:rsidR="003F3AFE" w:rsidRPr="00B1188E">
                  <w:rPr>
                    <w:rFonts w:asciiTheme="minorBidi" w:hAnsiTheme="minorBidi"/>
                    <w:color w:val="2F5496" w:themeColor="accent1" w:themeShade="BF"/>
                  </w:rPr>
                  <w:t xml:space="preserve"> </w:t>
                </w:r>
                <w:r w:rsidR="005E6032" w:rsidRPr="00B1188E">
                  <w:rPr>
                    <w:rFonts w:asciiTheme="minorBidi" w:hAnsiTheme="minorBidi"/>
                    <w:color w:val="2F5496" w:themeColor="accent1" w:themeShade="BF"/>
                  </w:rPr>
                  <w:t xml:space="preserve">du </w:t>
                </w:r>
                <w:r w:rsidR="003F3AFE" w:rsidRPr="00B1188E">
                  <w:rPr>
                    <w:rFonts w:asciiTheme="minorBidi" w:hAnsiTheme="minorBidi"/>
                    <w:color w:val="2F5496" w:themeColor="accent1" w:themeShade="BF"/>
                  </w:rPr>
                  <w:t>13 au 18 décembre 2021)</w:t>
                </w:r>
              </w:sdtContent>
            </w:sdt>
          </w:p>
        </w:tc>
      </w:tr>
    </w:tbl>
    <w:p w14:paraId="5E9F398B" w14:textId="77777777" w:rsidR="001F72C0" w:rsidRPr="004C693B" w:rsidRDefault="001F72C0" w:rsidP="003818E9">
      <w:pPr>
        <w:pStyle w:val="Sansinterligne2"/>
        <w:spacing w:after="1200"/>
        <w:rPr>
          <w:rFonts w:ascii="Arial" w:hAnsi="Arial" w:cs="Arial"/>
          <w:b/>
          <w:sz w:val="22"/>
          <w:szCs w:val="22"/>
        </w:rPr>
      </w:pPr>
    </w:p>
    <w:tbl>
      <w:tblPr>
        <w:tblpPr w:leftFromText="187" w:rightFromText="187" w:vertAnchor="page" w:horzAnchor="page" w:tblpX="2321" w:tblpY="10001"/>
        <w:tblW w:w="3857" w:type="pct"/>
        <w:tblLook w:val="04A0" w:firstRow="1" w:lastRow="0" w:firstColumn="1" w:lastColumn="0" w:noHBand="0" w:noVBand="1"/>
      </w:tblPr>
      <w:tblGrid>
        <w:gridCol w:w="7651"/>
      </w:tblGrid>
      <w:tr w:rsidR="001C05CE" w:rsidRPr="004C693B" w14:paraId="0A44C79B" w14:textId="77777777" w:rsidTr="001C05CE">
        <w:tc>
          <w:tcPr>
            <w:tcW w:w="7651" w:type="dxa"/>
            <w:tcBorders>
              <w:top w:val="single" w:sz="18" w:space="0" w:color="4472C4"/>
              <w:left w:val="single" w:sz="18" w:space="0" w:color="4472C4"/>
              <w:bottom w:val="single" w:sz="18" w:space="0" w:color="4472C4"/>
              <w:right w:val="single" w:sz="18" w:space="0" w:color="4472C4"/>
            </w:tcBorders>
            <w:tcMar>
              <w:top w:w="216" w:type="dxa"/>
              <w:left w:w="115" w:type="dxa"/>
              <w:bottom w:w="216" w:type="dxa"/>
              <w:right w:w="115" w:type="dxa"/>
            </w:tcMar>
          </w:tcPr>
          <w:p w14:paraId="42D96326" w14:textId="77777777" w:rsidR="001C05CE" w:rsidRPr="004C693B" w:rsidRDefault="001C05CE" w:rsidP="001C05CE">
            <w:pPr>
              <w:spacing w:after="160" w:line="259" w:lineRule="auto"/>
              <w:jc w:val="both"/>
              <w:rPr>
                <w:rFonts w:ascii="Arial" w:eastAsia="SimSun" w:hAnsi="Arial" w:cs="Arial"/>
                <w:b/>
                <w:color w:val="4472C4" w:themeColor="accent1"/>
              </w:rPr>
            </w:pPr>
            <w:r w:rsidRPr="004C693B">
              <w:rPr>
                <w:rFonts w:ascii="Arial" w:hAnsi="Arial"/>
                <w:b/>
                <w:color w:val="4472C4" w:themeColor="accent1"/>
              </w:rPr>
              <w:t>Résumé</w:t>
            </w:r>
          </w:p>
          <w:p w14:paraId="14EBFD58" w14:textId="6DEA59F2" w:rsidR="009057F2" w:rsidRPr="004C693B" w:rsidRDefault="009057F2" w:rsidP="00855C81">
            <w:pPr>
              <w:spacing w:after="160" w:line="259" w:lineRule="auto"/>
              <w:jc w:val="both"/>
              <w:rPr>
                <w:rFonts w:ascii="Arial" w:eastAsia="SimSun" w:hAnsi="Arial" w:cs="Arial"/>
                <w:bCs/>
                <w:color w:val="4472C4" w:themeColor="accent1"/>
              </w:rPr>
            </w:pPr>
            <w:r w:rsidRPr="004C693B">
              <w:rPr>
                <w:rFonts w:ascii="Arial" w:hAnsi="Arial"/>
                <w:color w:val="4472C4" w:themeColor="accent1"/>
              </w:rPr>
              <w:t>Lors de sa quinzième session, le Comité a créé un organe consultatif chargé de l</w:t>
            </w:r>
            <w:r w:rsidR="00FB39FB">
              <w:rPr>
                <w:rFonts w:ascii="Arial" w:hAnsi="Arial"/>
                <w:color w:val="4472C4" w:themeColor="accent1"/>
              </w:rPr>
              <w:t>’</w:t>
            </w:r>
            <w:r w:rsidRPr="004C693B">
              <w:rPr>
                <w:rFonts w:ascii="Arial" w:hAnsi="Arial"/>
                <w:color w:val="4472C4" w:themeColor="accent1"/>
              </w:rPr>
              <w:t xml:space="preserve">évaluation en 2021 des candidatures à la </w:t>
            </w:r>
            <w:r w:rsidR="004462E4" w:rsidRPr="004C693B">
              <w:rPr>
                <w:rFonts w:ascii="Arial" w:hAnsi="Arial"/>
                <w:color w:val="4472C4" w:themeColor="accent1"/>
              </w:rPr>
              <w:t>Liste de sauvegarde urgente</w:t>
            </w:r>
            <w:r w:rsidRPr="004C693B">
              <w:rPr>
                <w:rFonts w:ascii="Arial" w:hAnsi="Arial"/>
                <w:color w:val="4472C4" w:themeColor="accent1"/>
              </w:rPr>
              <w:t xml:space="preserve"> et à la Liste représentative du patrimoine culturel immatériel de l</w:t>
            </w:r>
            <w:r w:rsidR="00FB39FB">
              <w:rPr>
                <w:rFonts w:ascii="Arial" w:hAnsi="Arial"/>
                <w:color w:val="4472C4" w:themeColor="accent1"/>
              </w:rPr>
              <w:t>’</w:t>
            </w:r>
            <w:r w:rsidRPr="004C693B">
              <w:rPr>
                <w:rFonts w:ascii="Arial" w:hAnsi="Arial"/>
                <w:color w:val="4472C4" w:themeColor="accent1"/>
              </w:rPr>
              <w:t xml:space="preserve">humanité, </w:t>
            </w:r>
            <w:r w:rsidR="002F0AD0" w:rsidRPr="004C693B">
              <w:rPr>
                <w:rFonts w:ascii="Arial" w:hAnsi="Arial"/>
                <w:color w:val="4472C4" w:themeColor="accent1"/>
              </w:rPr>
              <w:t xml:space="preserve">propositions </w:t>
            </w:r>
            <w:r w:rsidRPr="004C693B">
              <w:rPr>
                <w:rFonts w:ascii="Arial" w:hAnsi="Arial"/>
                <w:color w:val="4472C4" w:themeColor="accent1"/>
              </w:rPr>
              <w:t xml:space="preserve">pour </w:t>
            </w:r>
            <w:r w:rsidR="002F0AD0" w:rsidRPr="004C693B">
              <w:rPr>
                <w:rFonts w:ascii="Arial" w:hAnsi="Arial"/>
                <w:color w:val="4472C4" w:themeColor="accent1"/>
              </w:rPr>
              <w:t>le</w:t>
            </w:r>
            <w:r w:rsidRPr="004C693B">
              <w:rPr>
                <w:rFonts w:ascii="Arial" w:hAnsi="Arial"/>
                <w:color w:val="4472C4" w:themeColor="accent1"/>
              </w:rPr>
              <w:t xml:space="preserve"> Registre de bonnes pratiques de sauvegarde et </w:t>
            </w:r>
            <w:r w:rsidR="00402F23" w:rsidRPr="004C693B">
              <w:rPr>
                <w:rFonts w:ascii="Arial" w:hAnsi="Arial"/>
                <w:color w:val="4472C4" w:themeColor="accent1"/>
              </w:rPr>
              <w:t>demandes d</w:t>
            </w:r>
            <w:r w:rsidR="00FB39FB">
              <w:rPr>
                <w:rFonts w:ascii="Arial" w:hAnsi="Arial"/>
                <w:color w:val="4472C4" w:themeColor="accent1"/>
              </w:rPr>
              <w:t>’</w:t>
            </w:r>
            <w:r w:rsidR="00402F23" w:rsidRPr="004C693B">
              <w:rPr>
                <w:rFonts w:ascii="Arial" w:hAnsi="Arial"/>
                <w:color w:val="4472C4" w:themeColor="accent1"/>
              </w:rPr>
              <w:t>assistance internationale</w:t>
            </w:r>
            <w:r w:rsidRPr="004C693B">
              <w:rPr>
                <w:rFonts w:ascii="Arial" w:hAnsi="Arial"/>
                <w:color w:val="4472C4" w:themeColor="accent1"/>
              </w:rPr>
              <w:t xml:space="preserve"> d</w:t>
            </w:r>
            <w:r w:rsidR="00FB39FB">
              <w:rPr>
                <w:rFonts w:ascii="Arial" w:hAnsi="Arial"/>
                <w:color w:val="4472C4" w:themeColor="accent1"/>
              </w:rPr>
              <w:t>’</w:t>
            </w:r>
            <w:r w:rsidRPr="004C693B">
              <w:rPr>
                <w:rFonts w:ascii="Arial" w:hAnsi="Arial"/>
                <w:color w:val="4472C4" w:themeColor="accent1"/>
              </w:rPr>
              <w:t>un montant de plus de 100 000 </w:t>
            </w:r>
            <w:r w:rsidR="005E6032" w:rsidRPr="004C693B">
              <w:rPr>
                <w:rFonts w:ascii="Arial" w:hAnsi="Arial"/>
                <w:color w:val="4472C4" w:themeColor="accent1"/>
              </w:rPr>
              <w:t>dollars des États-Unis</w:t>
            </w:r>
            <w:r w:rsidRPr="004C693B">
              <w:rPr>
                <w:rFonts w:ascii="Arial" w:hAnsi="Arial"/>
                <w:color w:val="4472C4" w:themeColor="accent1"/>
              </w:rPr>
              <w:t xml:space="preserve"> (</w:t>
            </w:r>
            <w:hyperlink r:id="rId8" w:history="1">
              <w:r w:rsidRPr="004C693B">
                <w:rPr>
                  <w:rStyle w:val="Hyperlink"/>
                  <w:rFonts w:asciiTheme="minorBidi" w:hAnsiTheme="minorBidi"/>
                  <w:color w:val="0000FF"/>
                  <w:lang w:eastAsia="en-GB"/>
                </w:rPr>
                <w:t>décision 15.COM</w:t>
              </w:r>
              <w:r w:rsidR="00DA03FA" w:rsidRPr="004C693B">
                <w:rPr>
                  <w:rStyle w:val="Hyperlink"/>
                  <w:rFonts w:asciiTheme="minorBidi" w:hAnsiTheme="minorBidi"/>
                  <w:color w:val="0000FF"/>
                  <w:lang w:eastAsia="en-GB"/>
                </w:rPr>
                <w:t> </w:t>
              </w:r>
              <w:r w:rsidRPr="004C693B">
                <w:rPr>
                  <w:rStyle w:val="Hyperlink"/>
                  <w:rFonts w:asciiTheme="minorBidi" w:hAnsiTheme="minorBidi"/>
                  <w:color w:val="0000FF"/>
                  <w:lang w:eastAsia="en-GB"/>
                </w:rPr>
                <w:t>10</w:t>
              </w:r>
            </w:hyperlink>
            <w:r w:rsidRPr="004C693B">
              <w:rPr>
                <w:rFonts w:ascii="Arial" w:hAnsi="Arial"/>
                <w:color w:val="4472C4" w:themeColor="accent1"/>
              </w:rPr>
              <w:t>). Le présent document constitue le rapport de l</w:t>
            </w:r>
            <w:r w:rsidR="00FB39FB">
              <w:rPr>
                <w:rFonts w:ascii="Arial" w:hAnsi="Arial"/>
                <w:color w:val="4472C4" w:themeColor="accent1"/>
              </w:rPr>
              <w:t>’</w:t>
            </w:r>
            <w:r w:rsidRPr="004C693B">
              <w:rPr>
                <w:rFonts w:ascii="Arial" w:hAnsi="Arial"/>
                <w:color w:val="4472C4" w:themeColor="accent1"/>
              </w:rPr>
              <w:t>Organe d</w:t>
            </w:r>
            <w:r w:rsidR="00FB39FB">
              <w:rPr>
                <w:rFonts w:ascii="Arial" w:hAnsi="Arial"/>
                <w:color w:val="4472C4" w:themeColor="accent1"/>
              </w:rPr>
              <w:t>’</w:t>
            </w:r>
            <w:r w:rsidRPr="004C693B">
              <w:rPr>
                <w:rFonts w:ascii="Arial" w:hAnsi="Arial"/>
                <w:color w:val="4472C4" w:themeColor="accent1"/>
              </w:rPr>
              <w:t>évaluation, qui comprend une vue d</w:t>
            </w:r>
            <w:r w:rsidR="00FB39FB">
              <w:rPr>
                <w:rFonts w:ascii="Arial" w:hAnsi="Arial"/>
                <w:color w:val="4472C4" w:themeColor="accent1"/>
              </w:rPr>
              <w:t>’</w:t>
            </w:r>
            <w:r w:rsidRPr="004C693B">
              <w:rPr>
                <w:rFonts w:ascii="Arial" w:hAnsi="Arial"/>
                <w:color w:val="4472C4" w:themeColor="accent1"/>
              </w:rPr>
              <w:t xml:space="preserve">ensemble du cycle de 2021 (partie A), des </w:t>
            </w:r>
            <w:r w:rsidRPr="004C693B">
              <w:rPr>
                <w:rFonts w:asciiTheme="minorBidi" w:eastAsia="SimSun" w:hAnsiTheme="minorBidi" w:cs="Times New Roman"/>
                <w:color w:val="4472C4" w:themeColor="accent1"/>
                <w:lang w:eastAsia="fr-FR"/>
              </w:rPr>
              <w:t>observations</w:t>
            </w:r>
            <w:r w:rsidRPr="004C693B">
              <w:rPr>
                <w:rFonts w:ascii="Arial" w:hAnsi="Arial"/>
                <w:color w:val="4472C4" w:themeColor="accent1"/>
              </w:rPr>
              <w:t xml:space="preserve"> et recommandations concernant les méthodes de travail, ainsi que plusieurs questions transversales (partie B), un aperçu des questions récurrentes (partie C) et un projet de décision aux fins d</w:t>
            </w:r>
            <w:r w:rsidR="00FB39FB">
              <w:rPr>
                <w:rFonts w:ascii="Arial" w:hAnsi="Arial"/>
                <w:color w:val="4472C4" w:themeColor="accent1"/>
              </w:rPr>
              <w:t>’</w:t>
            </w:r>
            <w:r w:rsidRPr="004C693B">
              <w:rPr>
                <w:rFonts w:ascii="Arial" w:hAnsi="Arial"/>
                <w:color w:val="4472C4" w:themeColor="accent1"/>
              </w:rPr>
              <w:t>examen par le Comité (partie D).</w:t>
            </w:r>
          </w:p>
          <w:p w14:paraId="06306950" w14:textId="7D235B2A" w:rsidR="001C05CE" w:rsidRPr="004C693B" w:rsidRDefault="001C05CE" w:rsidP="001C05CE">
            <w:pPr>
              <w:pStyle w:val="NoSpacing"/>
              <w:jc w:val="both"/>
              <w:rPr>
                <w:rFonts w:ascii="Arial" w:hAnsi="Arial" w:cs="Arial"/>
                <w:bCs/>
                <w:color w:val="4472C4" w:themeColor="accent1"/>
              </w:rPr>
            </w:pPr>
            <w:r w:rsidRPr="004C693B">
              <w:rPr>
                <w:rFonts w:ascii="Arial" w:hAnsi="Arial"/>
                <w:b/>
                <w:color w:val="4472C4" w:themeColor="accent1"/>
              </w:rPr>
              <w:t>Décision requise </w:t>
            </w:r>
            <w:r w:rsidRPr="004C693B">
              <w:rPr>
                <w:rFonts w:ascii="Arial" w:hAnsi="Arial"/>
                <w:color w:val="4472C4" w:themeColor="accent1"/>
              </w:rPr>
              <w:t xml:space="preserve">: paragraphe </w:t>
            </w:r>
            <w:r w:rsidR="00126810" w:rsidRPr="004C693B">
              <w:rPr>
                <w:rFonts w:ascii="Arial" w:hAnsi="Arial"/>
                <w:color w:val="4472C4" w:themeColor="accent1"/>
              </w:rPr>
              <w:t>78</w:t>
            </w:r>
          </w:p>
        </w:tc>
      </w:tr>
    </w:tbl>
    <w:p w14:paraId="3F145BF7" w14:textId="77777777" w:rsidR="001F72C0" w:rsidRPr="004C693B" w:rsidRDefault="001F72C0">
      <w:pPr>
        <w:spacing w:after="160" w:line="259" w:lineRule="auto"/>
        <w:rPr>
          <w:rFonts w:ascii="Arial" w:eastAsia="Times New Roman" w:hAnsi="Arial" w:cs="Arial"/>
          <w:snapToGrid w:val="0"/>
        </w:rPr>
      </w:pPr>
      <w:r w:rsidRPr="004C693B">
        <w:br w:type="page"/>
      </w:r>
    </w:p>
    <w:p w14:paraId="01C09CA2" w14:textId="1F5C8D9C" w:rsidR="00F60640" w:rsidRPr="004C693B" w:rsidRDefault="00F60640" w:rsidP="00E81059">
      <w:pPr>
        <w:pStyle w:val="COMPara"/>
        <w:numPr>
          <w:ilvl w:val="0"/>
          <w:numId w:val="8"/>
        </w:numPr>
        <w:ind w:left="567" w:hanging="567"/>
        <w:jc w:val="both"/>
        <w:rPr>
          <w:rFonts w:eastAsia="SimSun"/>
          <w:snapToGrid/>
          <w:color w:val="000000" w:themeColor="text1"/>
        </w:rPr>
      </w:pPr>
      <w:r w:rsidRPr="004C693B">
        <w:rPr>
          <w:snapToGrid/>
          <w:color w:val="000000" w:themeColor="text1"/>
        </w:rPr>
        <w:lastRenderedPageBreak/>
        <w:t xml:space="preserve">Conformément au paragraphe 27 des Directives opérationnelles </w:t>
      </w:r>
      <w:r w:rsidR="0099178D" w:rsidRPr="004C693B">
        <w:rPr>
          <w:snapToGrid/>
          <w:color w:val="000000" w:themeColor="text1"/>
        </w:rPr>
        <w:t xml:space="preserve">relatives à </w:t>
      </w:r>
      <w:r w:rsidRPr="004C693B">
        <w:rPr>
          <w:snapToGrid/>
          <w:color w:val="000000" w:themeColor="text1"/>
        </w:rPr>
        <w:t>la mise en œuvre de la Convention, l</w:t>
      </w:r>
      <w:r w:rsidR="00FB39FB">
        <w:rPr>
          <w:snapToGrid/>
          <w:color w:val="000000" w:themeColor="text1"/>
        </w:rPr>
        <w:t>’</w:t>
      </w:r>
      <w:r w:rsidRPr="004C693B">
        <w:rPr>
          <w:snapToGrid/>
          <w:color w:val="000000" w:themeColor="text1"/>
        </w:rPr>
        <w:t xml:space="preserve">évaluation des candidatures à inscrire à la </w:t>
      </w:r>
      <w:r w:rsidR="004462E4" w:rsidRPr="004C693B">
        <w:rPr>
          <w:snapToGrid/>
          <w:color w:val="000000" w:themeColor="text1"/>
        </w:rPr>
        <w:t>Liste de sauvegarde urgente</w:t>
      </w:r>
      <w:r w:rsidRPr="004C693B">
        <w:rPr>
          <w:snapToGrid/>
          <w:color w:val="000000" w:themeColor="text1"/>
        </w:rPr>
        <w:t xml:space="preserve"> et à la Liste représentative, les propositions relatives au Registre de bonnes pratiques de sauvegarde et les </w:t>
      </w:r>
      <w:r w:rsidR="00402F23" w:rsidRPr="004C693B">
        <w:rPr>
          <w:snapToGrid/>
          <w:color w:val="000000" w:themeColor="text1"/>
        </w:rPr>
        <w:t>demandes d</w:t>
      </w:r>
      <w:r w:rsidR="00FB39FB">
        <w:rPr>
          <w:snapToGrid/>
          <w:color w:val="000000" w:themeColor="text1"/>
        </w:rPr>
        <w:t>’</w:t>
      </w:r>
      <w:r w:rsidR="00402F23" w:rsidRPr="004C693B">
        <w:rPr>
          <w:snapToGrid/>
          <w:color w:val="000000" w:themeColor="text1"/>
        </w:rPr>
        <w:t>assistance internationale</w:t>
      </w:r>
      <w:r w:rsidRPr="004C693B">
        <w:rPr>
          <w:snapToGrid/>
          <w:color w:val="000000" w:themeColor="text1"/>
        </w:rPr>
        <w:t xml:space="preserve"> </w:t>
      </w:r>
      <w:r w:rsidR="00D72DFC" w:rsidRPr="004C693B">
        <w:rPr>
          <w:snapToGrid/>
          <w:color w:val="000000" w:themeColor="text1"/>
        </w:rPr>
        <w:t>d</w:t>
      </w:r>
      <w:r w:rsidR="00FB39FB">
        <w:rPr>
          <w:snapToGrid/>
          <w:color w:val="000000" w:themeColor="text1"/>
        </w:rPr>
        <w:t>’</w:t>
      </w:r>
      <w:r w:rsidR="00D72DFC" w:rsidRPr="004C693B">
        <w:rPr>
          <w:snapToGrid/>
          <w:color w:val="000000" w:themeColor="text1"/>
        </w:rPr>
        <w:t xml:space="preserve">un montant </w:t>
      </w:r>
      <w:r w:rsidRPr="004C693B">
        <w:rPr>
          <w:snapToGrid/>
          <w:color w:val="000000" w:themeColor="text1"/>
        </w:rPr>
        <w:t>supérieur à 100 000 </w:t>
      </w:r>
      <w:r w:rsidR="00856912" w:rsidRPr="004C693B">
        <w:rPr>
          <w:snapToGrid/>
          <w:color w:val="000000" w:themeColor="text1"/>
        </w:rPr>
        <w:t>dollars des États-Unis</w:t>
      </w:r>
      <w:r w:rsidRPr="004C693B">
        <w:rPr>
          <w:snapToGrid/>
          <w:color w:val="000000" w:themeColor="text1"/>
        </w:rPr>
        <w:t xml:space="preserve">, seront </w:t>
      </w:r>
      <w:r w:rsidR="007455B3" w:rsidRPr="004C693B">
        <w:rPr>
          <w:snapToGrid/>
          <w:color w:val="000000" w:themeColor="text1"/>
        </w:rPr>
        <w:t xml:space="preserve">confiées à </w:t>
      </w:r>
      <w:r w:rsidRPr="004C693B">
        <w:rPr>
          <w:snapToGrid/>
          <w:color w:val="000000" w:themeColor="text1"/>
        </w:rPr>
        <w:t>un organe consultatif du Comité créé conformément à l</w:t>
      </w:r>
      <w:r w:rsidR="00FB39FB">
        <w:rPr>
          <w:snapToGrid/>
          <w:color w:val="000000" w:themeColor="text1"/>
        </w:rPr>
        <w:t>’</w:t>
      </w:r>
      <w:r w:rsidRPr="004C693B">
        <w:rPr>
          <w:snapToGrid/>
          <w:color w:val="000000" w:themeColor="text1"/>
        </w:rPr>
        <w:t xml:space="preserve">article 8.3 de la Convention, ainsi que </w:t>
      </w:r>
      <w:r w:rsidR="00F106D7" w:rsidRPr="004C693B">
        <w:rPr>
          <w:snapToGrid/>
          <w:color w:val="000000" w:themeColor="text1"/>
        </w:rPr>
        <w:t xml:space="preserve">selon </w:t>
      </w:r>
      <w:r w:rsidRPr="004C693B">
        <w:rPr>
          <w:snapToGrid/>
          <w:color w:val="000000" w:themeColor="text1"/>
        </w:rPr>
        <w:t>l</w:t>
      </w:r>
      <w:r w:rsidR="00FB39FB">
        <w:rPr>
          <w:snapToGrid/>
          <w:color w:val="000000" w:themeColor="text1"/>
        </w:rPr>
        <w:t>’</w:t>
      </w:r>
      <w:r w:rsidRPr="004C693B">
        <w:rPr>
          <w:snapToGrid/>
          <w:color w:val="000000" w:themeColor="text1"/>
        </w:rPr>
        <w:t>article 20 de son Règlement intérieur, connu sous le nom d</w:t>
      </w:r>
      <w:r w:rsidR="00FB39FB">
        <w:rPr>
          <w:snapToGrid/>
          <w:color w:val="000000" w:themeColor="text1"/>
        </w:rPr>
        <w:t>’</w:t>
      </w:r>
      <w:r w:rsidRPr="004C693B">
        <w:rPr>
          <w:snapToGrid/>
          <w:color w:val="000000" w:themeColor="text1"/>
        </w:rPr>
        <w:t>« Organe d</w:t>
      </w:r>
      <w:r w:rsidR="00FB39FB">
        <w:rPr>
          <w:snapToGrid/>
          <w:color w:val="000000" w:themeColor="text1"/>
        </w:rPr>
        <w:t>’</w:t>
      </w:r>
      <w:r w:rsidRPr="004C693B">
        <w:rPr>
          <w:snapToGrid/>
          <w:color w:val="000000" w:themeColor="text1"/>
        </w:rPr>
        <w:t>évaluation ».</w:t>
      </w:r>
    </w:p>
    <w:p w14:paraId="55459AA3" w14:textId="662F8D1A" w:rsidR="00F60640" w:rsidRPr="004C693B" w:rsidRDefault="00F60640" w:rsidP="0008437D">
      <w:pPr>
        <w:pStyle w:val="COMPara"/>
        <w:numPr>
          <w:ilvl w:val="0"/>
          <w:numId w:val="8"/>
        </w:numPr>
        <w:ind w:left="567" w:hanging="567"/>
        <w:jc w:val="both"/>
        <w:rPr>
          <w:rFonts w:eastAsia="SimSun"/>
          <w:snapToGrid/>
          <w:color w:val="000000" w:themeColor="text1"/>
        </w:rPr>
      </w:pPr>
      <w:r w:rsidRPr="004C693B">
        <w:rPr>
          <w:snapToGrid/>
          <w:color w:val="000000" w:themeColor="text1"/>
        </w:rPr>
        <w:t xml:space="preserve">En vertu de sa </w:t>
      </w:r>
      <w:hyperlink r:id="rId9" w:history="1">
        <w:r w:rsidRPr="004C693B">
          <w:rPr>
            <w:rStyle w:val="Hyperlink"/>
            <w:snapToGrid/>
          </w:rPr>
          <w:t>décision</w:t>
        </w:r>
        <w:r w:rsidR="0008437D" w:rsidRPr="004C693B">
          <w:rPr>
            <w:rStyle w:val="Hyperlink"/>
            <w:snapToGrid/>
          </w:rPr>
          <w:t> </w:t>
        </w:r>
        <w:r w:rsidRPr="004C693B">
          <w:rPr>
            <w:rStyle w:val="Hyperlink"/>
            <w:snapToGrid/>
          </w:rPr>
          <w:t>15.COM</w:t>
        </w:r>
        <w:r w:rsidR="0008437D" w:rsidRPr="004C693B">
          <w:rPr>
            <w:rStyle w:val="Hyperlink"/>
            <w:snapToGrid/>
          </w:rPr>
          <w:t> </w:t>
        </w:r>
        <w:r w:rsidRPr="004C693B">
          <w:rPr>
            <w:rStyle w:val="Hyperlink"/>
            <w:snapToGrid/>
          </w:rPr>
          <w:t>10</w:t>
        </w:r>
      </w:hyperlink>
      <w:r w:rsidRPr="004C693B">
        <w:rPr>
          <w:snapToGrid/>
          <w:color w:val="000000" w:themeColor="text1"/>
        </w:rPr>
        <w:t xml:space="preserve">, le Comité a créé le présent </w:t>
      </w:r>
      <w:r w:rsidR="0015445C" w:rsidRPr="004C693B">
        <w:rPr>
          <w:snapToGrid/>
          <w:color w:val="000000" w:themeColor="text1"/>
        </w:rPr>
        <w:t>O</w:t>
      </w:r>
      <w:r w:rsidRPr="004C693B">
        <w:rPr>
          <w:snapToGrid/>
          <w:color w:val="000000" w:themeColor="text1"/>
        </w:rPr>
        <w:t xml:space="preserve">rgane lors </w:t>
      </w:r>
      <w:r w:rsidR="005E6032" w:rsidRPr="004C693B">
        <w:rPr>
          <w:snapToGrid/>
          <w:color w:val="000000" w:themeColor="text1"/>
        </w:rPr>
        <w:t xml:space="preserve">de </w:t>
      </w:r>
      <w:r w:rsidRPr="004C693B">
        <w:rPr>
          <w:snapToGrid/>
          <w:color w:val="000000" w:themeColor="text1"/>
        </w:rPr>
        <w:t>sa quinzième session. L</w:t>
      </w:r>
      <w:r w:rsidR="00FB39FB">
        <w:rPr>
          <w:snapToGrid/>
          <w:color w:val="000000" w:themeColor="text1"/>
        </w:rPr>
        <w:t>’</w:t>
      </w:r>
      <w:r w:rsidRPr="004C693B">
        <w:rPr>
          <w:snapToGrid/>
          <w:color w:val="000000" w:themeColor="text1"/>
        </w:rPr>
        <w:t>Organe d</w:t>
      </w:r>
      <w:r w:rsidR="00FB39FB">
        <w:rPr>
          <w:snapToGrid/>
          <w:color w:val="000000" w:themeColor="text1"/>
        </w:rPr>
        <w:t>’</w:t>
      </w:r>
      <w:r w:rsidRPr="004C693B">
        <w:rPr>
          <w:snapToGrid/>
          <w:color w:val="000000" w:themeColor="text1"/>
        </w:rPr>
        <w:t xml:space="preserve">évaluation est composé de six experts qualifiés dans divers domaines du patrimoine culturel immatériel représentant des États parties </w:t>
      </w:r>
      <w:r w:rsidR="0023702F" w:rsidRPr="004C693B">
        <w:rPr>
          <w:snapToGrid/>
          <w:color w:val="000000" w:themeColor="text1"/>
        </w:rPr>
        <w:t>non-membres</w:t>
      </w:r>
      <w:r w:rsidRPr="004C693B">
        <w:rPr>
          <w:snapToGrid/>
          <w:color w:val="000000" w:themeColor="text1"/>
        </w:rPr>
        <w:t xml:space="preserve"> du Comité</w:t>
      </w:r>
      <w:r w:rsidR="005A2D0C" w:rsidRPr="004C693B">
        <w:rPr>
          <w:snapToGrid/>
          <w:color w:val="000000" w:themeColor="text1"/>
        </w:rPr>
        <w:t xml:space="preserve">, </w:t>
      </w:r>
      <w:r w:rsidRPr="004C693B">
        <w:rPr>
          <w:snapToGrid/>
          <w:color w:val="000000" w:themeColor="text1"/>
        </w:rPr>
        <w:t xml:space="preserve">et six organisations non gouvernementales accréditées. Comme indiqué dans la </w:t>
      </w:r>
      <w:hyperlink r:id="rId10" w:history="1">
        <w:r w:rsidRPr="004C693B">
          <w:rPr>
            <w:rStyle w:val="Hyperlink"/>
            <w:snapToGrid/>
          </w:rPr>
          <w:t>décision</w:t>
        </w:r>
        <w:r w:rsidR="0008437D" w:rsidRPr="004C693B">
          <w:rPr>
            <w:rStyle w:val="Hyperlink"/>
            <w:snapToGrid/>
          </w:rPr>
          <w:t> </w:t>
        </w:r>
        <w:r w:rsidRPr="004C693B">
          <w:rPr>
            <w:rStyle w:val="Hyperlink"/>
            <w:snapToGrid/>
          </w:rPr>
          <w:t>9.COM</w:t>
        </w:r>
        <w:r w:rsidR="0008437D" w:rsidRPr="004C693B">
          <w:rPr>
            <w:rStyle w:val="Hyperlink"/>
            <w:snapToGrid/>
          </w:rPr>
          <w:t> </w:t>
        </w:r>
        <w:r w:rsidRPr="004C693B">
          <w:rPr>
            <w:rStyle w:val="Hyperlink"/>
            <w:snapToGrid/>
          </w:rPr>
          <w:t>11</w:t>
        </w:r>
      </w:hyperlink>
      <w:r w:rsidRPr="004C693B">
        <w:rPr>
          <w:snapToGrid/>
          <w:color w:val="000000" w:themeColor="text1"/>
        </w:rPr>
        <w:t xml:space="preserve">, un système de rotation entre les sièges a été établi, en vertu duquel le Comité a nommé neuf membres </w:t>
      </w:r>
      <w:r w:rsidR="00856912" w:rsidRPr="004C693B">
        <w:rPr>
          <w:snapToGrid/>
          <w:color w:val="000000" w:themeColor="text1"/>
        </w:rPr>
        <w:t>déjà en exercice</w:t>
      </w:r>
      <w:r w:rsidRPr="004C693B">
        <w:rPr>
          <w:snapToGrid/>
          <w:color w:val="000000" w:themeColor="text1"/>
        </w:rPr>
        <w:t xml:space="preserve"> et élu trois nouveaux membres : M. Nigel Encalada (Belize), M. Kirk Siang Yeo (Singapour)</w:t>
      </w:r>
      <w:r w:rsidR="005E6032" w:rsidRPr="004C693B">
        <w:rPr>
          <w:snapToGrid/>
          <w:color w:val="000000" w:themeColor="text1"/>
        </w:rPr>
        <w:t xml:space="preserve"> et </w:t>
      </w:r>
      <w:r w:rsidR="002F0AD0" w:rsidRPr="004C693B">
        <w:rPr>
          <w:rFonts w:eastAsia="SimSun"/>
          <w:snapToGrid/>
          <w:color w:val="000000" w:themeColor="text1"/>
          <w:lang w:bidi="en-US"/>
        </w:rPr>
        <w:t>Syria Trust for Development</w:t>
      </w:r>
      <w:r w:rsidRPr="004C693B">
        <w:rPr>
          <w:snapToGrid/>
          <w:color w:val="000000" w:themeColor="text1"/>
        </w:rPr>
        <w:t xml:space="preserve">. Ces membres ont été élus par le Comité en tenant compte </w:t>
      </w:r>
      <w:r w:rsidR="00D718A8" w:rsidRPr="004C693B">
        <w:rPr>
          <w:snapToGrid/>
          <w:color w:val="000000" w:themeColor="text1"/>
        </w:rPr>
        <w:t>d</w:t>
      </w:r>
      <w:r w:rsidR="00FB39FB">
        <w:rPr>
          <w:snapToGrid/>
          <w:color w:val="000000" w:themeColor="text1"/>
        </w:rPr>
        <w:t>’</w:t>
      </w:r>
      <w:r w:rsidR="00D718A8" w:rsidRPr="004C693B">
        <w:rPr>
          <w:snapToGrid/>
          <w:color w:val="000000" w:themeColor="text1"/>
        </w:rPr>
        <w:t xml:space="preserve">une </w:t>
      </w:r>
      <w:r w:rsidRPr="004C693B">
        <w:rPr>
          <w:snapToGrid/>
          <w:color w:val="000000" w:themeColor="text1"/>
        </w:rPr>
        <w:t>représentation géographique équitable et de leurs qualifications au regard de divers domaines du patrimoine culturel immatériel. Les douze membres, ainsi que le pays qu</w:t>
      </w:r>
      <w:r w:rsidR="00FB39FB">
        <w:rPr>
          <w:snapToGrid/>
          <w:color w:val="000000" w:themeColor="text1"/>
        </w:rPr>
        <w:t>’</w:t>
      </w:r>
      <w:r w:rsidRPr="004C693B">
        <w:rPr>
          <w:snapToGrid/>
          <w:color w:val="000000" w:themeColor="text1"/>
        </w:rPr>
        <w:t>ils représentent dans le cas des experts, sont les suivants :</w:t>
      </w:r>
    </w:p>
    <w:p w14:paraId="6A4A4A5D" w14:textId="49451BE0" w:rsidR="00F60640" w:rsidRPr="004C693B" w:rsidRDefault="00856912" w:rsidP="00F60640">
      <w:pPr>
        <w:pStyle w:val="COMPara"/>
        <w:spacing w:before="120"/>
        <w:ind w:left="567"/>
        <w:jc w:val="both"/>
        <w:rPr>
          <w:rFonts w:eastAsia="SimSun"/>
          <w:b/>
          <w:snapToGrid/>
          <w:color w:val="000000" w:themeColor="text1"/>
        </w:rPr>
      </w:pPr>
      <w:r w:rsidRPr="004C693B">
        <w:rPr>
          <w:b/>
          <w:snapToGrid/>
          <w:color w:val="000000" w:themeColor="text1"/>
        </w:rPr>
        <w:t>E</w:t>
      </w:r>
      <w:r w:rsidR="00F60640" w:rsidRPr="004C693B">
        <w:rPr>
          <w:b/>
          <w:snapToGrid/>
          <w:color w:val="000000" w:themeColor="text1"/>
        </w:rPr>
        <w:t>xperts</w:t>
      </w:r>
      <w:r w:rsidRPr="004C693B">
        <w:rPr>
          <w:b/>
          <w:snapToGrid/>
          <w:color w:val="000000" w:themeColor="text1"/>
        </w:rPr>
        <w:t xml:space="preserve"> représentants</w:t>
      </w:r>
      <w:r w:rsidR="00F60640" w:rsidRPr="004C693B">
        <w:rPr>
          <w:b/>
          <w:snapToGrid/>
          <w:color w:val="000000" w:themeColor="text1"/>
        </w:rPr>
        <w:t xml:space="preserve"> d</w:t>
      </w:r>
      <w:r w:rsidR="00FB39FB">
        <w:rPr>
          <w:b/>
          <w:snapToGrid/>
          <w:color w:val="000000" w:themeColor="text1"/>
        </w:rPr>
        <w:t>’</w:t>
      </w:r>
      <w:r w:rsidR="00F60640" w:rsidRPr="004C693B">
        <w:rPr>
          <w:b/>
          <w:snapToGrid/>
          <w:color w:val="000000" w:themeColor="text1"/>
        </w:rPr>
        <w:t>États parties non membres du Comité</w:t>
      </w:r>
    </w:p>
    <w:p w14:paraId="3F13B8E3" w14:textId="66F58F0A" w:rsidR="00F60640" w:rsidRPr="004C693B" w:rsidRDefault="009E46EB" w:rsidP="00F60640">
      <w:pPr>
        <w:pStyle w:val="COMPara"/>
        <w:ind w:left="1440"/>
        <w:rPr>
          <w:color w:val="000000" w:themeColor="text1"/>
        </w:rPr>
      </w:pPr>
      <w:r w:rsidRPr="004C693B">
        <w:rPr>
          <w:color w:val="000000" w:themeColor="text1"/>
        </w:rPr>
        <w:t>GE</w:t>
      </w:r>
      <w:r w:rsidR="00F60640" w:rsidRPr="004C693B">
        <w:rPr>
          <w:color w:val="000000" w:themeColor="text1"/>
        </w:rPr>
        <w:t xml:space="preserve"> I : M. Pier Luigi Petrillo (Italie)</w:t>
      </w:r>
    </w:p>
    <w:p w14:paraId="72A8B3E7" w14:textId="7B253ACC" w:rsidR="00F60640" w:rsidRPr="004C693B" w:rsidRDefault="009E46EB" w:rsidP="00F60640">
      <w:pPr>
        <w:pStyle w:val="COMPara"/>
        <w:ind w:left="1440"/>
        <w:rPr>
          <w:color w:val="000000" w:themeColor="text1"/>
        </w:rPr>
      </w:pPr>
      <w:r w:rsidRPr="004C693B">
        <w:rPr>
          <w:color w:val="000000" w:themeColor="text1"/>
        </w:rPr>
        <w:t>GE</w:t>
      </w:r>
      <w:r w:rsidR="00F60640" w:rsidRPr="004C693B">
        <w:rPr>
          <w:color w:val="000000" w:themeColor="text1"/>
        </w:rPr>
        <w:t xml:space="preserve"> II : Mme Ľubica Voľanská (Slovaquie)</w:t>
      </w:r>
    </w:p>
    <w:p w14:paraId="4D0AA425" w14:textId="439F5757" w:rsidR="00F60640" w:rsidRPr="00FB39FB" w:rsidRDefault="009E46EB" w:rsidP="00F60640">
      <w:pPr>
        <w:pStyle w:val="COMPara"/>
        <w:ind w:left="1440"/>
        <w:rPr>
          <w:rFonts w:eastAsia="SimSun"/>
          <w:color w:val="000000" w:themeColor="text1"/>
          <w:lang w:val="pt-PT"/>
        </w:rPr>
      </w:pPr>
      <w:r w:rsidRPr="00FB39FB">
        <w:rPr>
          <w:color w:val="000000" w:themeColor="text1"/>
          <w:lang w:val="pt-PT"/>
        </w:rPr>
        <w:t>GE</w:t>
      </w:r>
      <w:r w:rsidR="00F60640" w:rsidRPr="00FB39FB">
        <w:rPr>
          <w:color w:val="000000" w:themeColor="text1"/>
          <w:lang w:val="pt-PT"/>
        </w:rPr>
        <w:t xml:space="preserve"> III : M. Nigel Encalada (Belize)</w:t>
      </w:r>
    </w:p>
    <w:p w14:paraId="2C4809C4" w14:textId="34DD90FB" w:rsidR="00F60640" w:rsidRPr="007F1FB2" w:rsidRDefault="009E46EB" w:rsidP="00F60640">
      <w:pPr>
        <w:pStyle w:val="COMPara"/>
        <w:ind w:left="1440"/>
        <w:rPr>
          <w:rFonts w:eastAsia="SimSun"/>
          <w:color w:val="000000" w:themeColor="text1"/>
          <w:lang w:val="en-US"/>
        </w:rPr>
      </w:pPr>
      <w:r w:rsidRPr="007F1FB2">
        <w:rPr>
          <w:color w:val="000000" w:themeColor="text1"/>
          <w:lang w:val="en-US"/>
        </w:rPr>
        <w:t>GE</w:t>
      </w:r>
      <w:r w:rsidR="00F60640" w:rsidRPr="007F1FB2">
        <w:rPr>
          <w:color w:val="000000" w:themeColor="text1"/>
          <w:lang w:val="en-US"/>
        </w:rPr>
        <w:t xml:space="preserve"> IV : M. Kirk Siang Yeo (Singapour)</w:t>
      </w:r>
    </w:p>
    <w:p w14:paraId="62AB7460" w14:textId="05B7A064" w:rsidR="00F60640" w:rsidRPr="00B1188E" w:rsidRDefault="009E46EB" w:rsidP="00F60640">
      <w:pPr>
        <w:pStyle w:val="COMPara"/>
        <w:ind w:left="1440"/>
        <w:rPr>
          <w:color w:val="000000" w:themeColor="text1"/>
          <w:lang w:val="en-GB"/>
        </w:rPr>
      </w:pPr>
      <w:r w:rsidRPr="00B1188E">
        <w:rPr>
          <w:color w:val="000000" w:themeColor="text1"/>
          <w:lang w:val="en-GB"/>
        </w:rPr>
        <w:t>GE</w:t>
      </w:r>
      <w:r w:rsidR="00F60640" w:rsidRPr="00B1188E">
        <w:rPr>
          <w:color w:val="000000" w:themeColor="text1"/>
          <w:lang w:val="en-GB"/>
        </w:rPr>
        <w:t xml:space="preserve"> V(a) : M. Lemeneh Getachew Senishaw (Éthiopie)</w:t>
      </w:r>
    </w:p>
    <w:p w14:paraId="669C6E59" w14:textId="35345988" w:rsidR="00F60640" w:rsidRPr="004C693B" w:rsidRDefault="009E46EB" w:rsidP="00F60640">
      <w:pPr>
        <w:pStyle w:val="COMPara"/>
        <w:ind w:left="1440"/>
        <w:rPr>
          <w:color w:val="000000" w:themeColor="text1"/>
        </w:rPr>
      </w:pPr>
      <w:r w:rsidRPr="004C693B">
        <w:rPr>
          <w:color w:val="000000" w:themeColor="text1"/>
        </w:rPr>
        <w:t>GE</w:t>
      </w:r>
      <w:r w:rsidR="00F60640" w:rsidRPr="004C693B">
        <w:rPr>
          <w:color w:val="000000" w:themeColor="text1"/>
        </w:rPr>
        <w:t xml:space="preserve"> V(b) : M. Saeed Al Busaïdi (Oman)</w:t>
      </w:r>
    </w:p>
    <w:p w14:paraId="1A42469E" w14:textId="77777777" w:rsidR="00F60640" w:rsidRPr="004C693B" w:rsidRDefault="00F60640" w:rsidP="00F60640">
      <w:pPr>
        <w:pStyle w:val="COMPara"/>
        <w:spacing w:before="120"/>
        <w:ind w:left="567"/>
        <w:jc w:val="both"/>
        <w:rPr>
          <w:rFonts w:eastAsia="SimSun"/>
          <w:b/>
          <w:snapToGrid/>
          <w:color w:val="000000" w:themeColor="text1"/>
        </w:rPr>
      </w:pPr>
      <w:r w:rsidRPr="004C693B">
        <w:rPr>
          <w:b/>
          <w:snapToGrid/>
          <w:color w:val="000000" w:themeColor="text1"/>
        </w:rPr>
        <w:t>Organisations non gouvernementales accréditées</w:t>
      </w:r>
    </w:p>
    <w:p w14:paraId="7B9BDFA8" w14:textId="795E0BA7" w:rsidR="00F60640" w:rsidRPr="00FB39FB" w:rsidRDefault="009E46EB" w:rsidP="00F60640">
      <w:pPr>
        <w:pStyle w:val="COMPara"/>
        <w:ind w:left="1440"/>
        <w:rPr>
          <w:color w:val="000000" w:themeColor="text1"/>
          <w:lang w:val="en-GB"/>
        </w:rPr>
      </w:pPr>
      <w:r w:rsidRPr="00FB39FB">
        <w:rPr>
          <w:color w:val="000000" w:themeColor="text1"/>
          <w:lang w:val="en-GB"/>
        </w:rPr>
        <w:t>GE</w:t>
      </w:r>
      <w:r w:rsidR="00F60640" w:rsidRPr="00FB39FB">
        <w:rPr>
          <w:color w:val="000000" w:themeColor="text1"/>
          <w:lang w:val="en-GB"/>
        </w:rPr>
        <w:t xml:space="preserve"> I : </w:t>
      </w:r>
      <w:r w:rsidRPr="00FB39FB">
        <w:rPr>
          <w:color w:val="000000" w:themeColor="text1"/>
          <w:lang w:val="en-GB"/>
        </w:rPr>
        <w:t>Workshop intangible heritage Flanders</w:t>
      </w:r>
    </w:p>
    <w:p w14:paraId="25E01C14" w14:textId="14AC8657" w:rsidR="00F60640" w:rsidRPr="00B1188E" w:rsidRDefault="009E46EB" w:rsidP="00F60640">
      <w:pPr>
        <w:pStyle w:val="COMPara"/>
        <w:ind w:left="1440"/>
        <w:rPr>
          <w:color w:val="000000" w:themeColor="text1"/>
          <w:lang w:val="en-GB"/>
        </w:rPr>
      </w:pPr>
      <w:r w:rsidRPr="00B1188E">
        <w:rPr>
          <w:color w:val="000000" w:themeColor="text1"/>
          <w:lang w:val="en-GB"/>
        </w:rPr>
        <w:t>GE</w:t>
      </w:r>
      <w:r w:rsidR="00F60640" w:rsidRPr="00B1188E">
        <w:rPr>
          <w:color w:val="000000" w:themeColor="text1"/>
          <w:lang w:val="en-GB"/>
        </w:rPr>
        <w:t xml:space="preserve"> II : European Association of Folklore Festivals</w:t>
      </w:r>
    </w:p>
    <w:p w14:paraId="1FC9F187" w14:textId="51B7CFF3" w:rsidR="009E46EB" w:rsidRPr="00B1188E" w:rsidRDefault="009E46EB" w:rsidP="009E46EB">
      <w:pPr>
        <w:pStyle w:val="COMPara"/>
        <w:ind w:left="1440"/>
        <w:rPr>
          <w:rFonts w:eastAsia="SimSun"/>
          <w:snapToGrid/>
          <w:color w:val="000000" w:themeColor="text1"/>
          <w:lang w:val="en-GB" w:bidi="en-US"/>
        </w:rPr>
      </w:pPr>
      <w:r w:rsidRPr="00B1188E">
        <w:rPr>
          <w:color w:val="000000" w:themeColor="text1"/>
          <w:lang w:val="en-GB"/>
        </w:rPr>
        <w:t>GE</w:t>
      </w:r>
      <w:r w:rsidR="00F60640" w:rsidRPr="00B1188E">
        <w:rPr>
          <w:color w:val="000000" w:themeColor="text1"/>
          <w:lang w:val="en-GB"/>
        </w:rPr>
        <w:t xml:space="preserve"> III : </w:t>
      </w:r>
      <w:r w:rsidRPr="00B1188E">
        <w:rPr>
          <w:rFonts w:eastAsia="SimSun"/>
          <w:snapToGrid/>
          <w:color w:val="000000" w:themeColor="text1"/>
          <w:lang w:val="en-GB" w:bidi="en-US"/>
        </w:rPr>
        <w:t>Erigaie Foundation</w:t>
      </w:r>
    </w:p>
    <w:p w14:paraId="5F433322" w14:textId="20AEEC12" w:rsidR="00F60640" w:rsidRPr="00FB39FB" w:rsidRDefault="009E46EB" w:rsidP="00F60640">
      <w:pPr>
        <w:pStyle w:val="COMPara"/>
        <w:ind w:left="1440"/>
        <w:rPr>
          <w:color w:val="000000" w:themeColor="text1"/>
          <w:lang w:val="en-GB"/>
        </w:rPr>
      </w:pPr>
      <w:r w:rsidRPr="00FB39FB">
        <w:rPr>
          <w:color w:val="000000" w:themeColor="text1"/>
          <w:lang w:val="en-GB"/>
        </w:rPr>
        <w:t>GE</w:t>
      </w:r>
      <w:r w:rsidR="00F60640" w:rsidRPr="00FB39FB">
        <w:rPr>
          <w:color w:val="000000" w:themeColor="text1"/>
          <w:lang w:val="en-GB"/>
        </w:rPr>
        <w:t xml:space="preserve"> IV : </w:t>
      </w:r>
      <w:r w:rsidRPr="00FB39FB">
        <w:rPr>
          <w:color w:val="000000" w:themeColor="text1"/>
          <w:lang w:val="en-GB"/>
        </w:rPr>
        <w:t>Korea Cultural Heritage Foundation (CHF)</w:t>
      </w:r>
    </w:p>
    <w:p w14:paraId="300D9A03" w14:textId="5B7F8964" w:rsidR="00F60640" w:rsidRPr="004C693B" w:rsidRDefault="009E46EB" w:rsidP="00F60640">
      <w:pPr>
        <w:pStyle w:val="COMPara"/>
        <w:ind w:left="1440"/>
        <w:rPr>
          <w:color w:val="000000" w:themeColor="text1"/>
        </w:rPr>
      </w:pPr>
      <w:r w:rsidRPr="004C693B">
        <w:rPr>
          <w:color w:val="000000" w:themeColor="text1"/>
        </w:rPr>
        <w:t>GE</w:t>
      </w:r>
      <w:r w:rsidR="00F60640" w:rsidRPr="004C693B">
        <w:rPr>
          <w:color w:val="000000" w:themeColor="text1"/>
        </w:rPr>
        <w:t xml:space="preserve"> V(a) : Association pour la sauvegarde des masques (ASAMA)</w:t>
      </w:r>
    </w:p>
    <w:p w14:paraId="14DA25D5" w14:textId="0BC68432" w:rsidR="00F60640" w:rsidRPr="00FB39FB" w:rsidRDefault="009E46EB" w:rsidP="00F60640">
      <w:pPr>
        <w:pStyle w:val="COMPara"/>
        <w:ind w:left="1440"/>
        <w:rPr>
          <w:rFonts w:eastAsia="SimSun"/>
          <w:color w:val="000000" w:themeColor="text1"/>
          <w:lang w:val="en-GB"/>
        </w:rPr>
      </w:pPr>
      <w:r w:rsidRPr="00FB39FB">
        <w:rPr>
          <w:color w:val="000000" w:themeColor="text1"/>
          <w:lang w:val="en-GB"/>
        </w:rPr>
        <w:t>GE</w:t>
      </w:r>
      <w:r w:rsidR="00F60640" w:rsidRPr="00FB39FB">
        <w:rPr>
          <w:color w:val="000000" w:themeColor="text1"/>
          <w:lang w:val="en-GB"/>
        </w:rPr>
        <w:t xml:space="preserve"> V(b) : </w:t>
      </w:r>
      <w:r w:rsidRPr="00FB39FB">
        <w:rPr>
          <w:rFonts w:eastAsia="SimSun"/>
          <w:snapToGrid/>
          <w:color w:val="000000" w:themeColor="text1"/>
          <w:lang w:val="en-GB" w:bidi="en-US"/>
        </w:rPr>
        <w:t>Syria Trust for Development</w:t>
      </w:r>
    </w:p>
    <w:p w14:paraId="0FEA0D76" w14:textId="66B820BD" w:rsidR="00F60640" w:rsidRPr="004C693B" w:rsidRDefault="00F60640" w:rsidP="00B1188E">
      <w:pPr>
        <w:pStyle w:val="COMPara"/>
        <w:numPr>
          <w:ilvl w:val="0"/>
          <w:numId w:val="8"/>
        </w:numPr>
        <w:ind w:left="567" w:hanging="567"/>
        <w:jc w:val="both"/>
      </w:pPr>
      <w:r w:rsidRPr="004C693B">
        <w:t xml:space="preserve">À la suite de la soumission et de la présentation du rapport </w:t>
      </w:r>
      <w:r w:rsidR="008719CF" w:rsidRPr="004C693B">
        <w:t>relatif à</w:t>
      </w:r>
      <w:r w:rsidRPr="004C693B">
        <w:t xml:space="preserve"> ses travaux lors de la seizième session du Comité, le présent Organe d</w:t>
      </w:r>
      <w:r w:rsidR="00FB39FB">
        <w:t>’</w:t>
      </w:r>
      <w:r w:rsidRPr="004C693B">
        <w:t xml:space="preserve">évaluation </w:t>
      </w:r>
      <w:r w:rsidR="009E46EB" w:rsidRPr="004C693B">
        <w:t>cessera</w:t>
      </w:r>
      <w:r w:rsidRPr="004C693B">
        <w:t xml:space="preserve"> d</w:t>
      </w:r>
      <w:r w:rsidR="00FB39FB">
        <w:t>’</w:t>
      </w:r>
      <w:r w:rsidRPr="004C693B">
        <w:t xml:space="preserve">exister avec </w:t>
      </w:r>
      <w:r w:rsidR="009E46EB" w:rsidRPr="004C693B">
        <w:t>l</w:t>
      </w:r>
      <w:r w:rsidR="00FB39FB">
        <w:t>’</w:t>
      </w:r>
      <w:r w:rsidR="009E46EB" w:rsidRPr="004C693B">
        <w:t>établissement</w:t>
      </w:r>
      <w:r w:rsidRPr="004C693B">
        <w:t xml:space="preserve"> de l</w:t>
      </w:r>
      <w:r w:rsidR="00FB39FB">
        <w:t>’</w:t>
      </w:r>
      <w:r w:rsidRPr="004C693B">
        <w:t xml:space="preserve">Organe subséquent. Conformément aux exigences décrites dans la </w:t>
      </w:r>
      <w:hyperlink r:id="rId11" w:history="1">
        <w:r w:rsidRPr="004C693B">
          <w:rPr>
            <w:rStyle w:val="Hyperlink"/>
            <w:snapToGrid/>
          </w:rPr>
          <w:t>décision</w:t>
        </w:r>
        <w:r w:rsidR="0008437D" w:rsidRPr="004C693B">
          <w:rPr>
            <w:rStyle w:val="Hyperlink"/>
            <w:snapToGrid/>
          </w:rPr>
          <w:t> </w:t>
        </w:r>
        <w:r w:rsidRPr="004C693B">
          <w:rPr>
            <w:rStyle w:val="Hyperlink"/>
            <w:snapToGrid/>
          </w:rPr>
          <w:t>15.COM</w:t>
        </w:r>
        <w:r w:rsidR="0008437D" w:rsidRPr="004C693B">
          <w:rPr>
            <w:rStyle w:val="Hyperlink"/>
            <w:snapToGrid/>
          </w:rPr>
          <w:t> </w:t>
        </w:r>
        <w:r w:rsidRPr="004C693B">
          <w:rPr>
            <w:rStyle w:val="Hyperlink"/>
            <w:snapToGrid/>
          </w:rPr>
          <w:t>10</w:t>
        </w:r>
      </w:hyperlink>
      <w:r w:rsidRPr="004C693B">
        <w:t>, un nouvel Organe d</w:t>
      </w:r>
      <w:r w:rsidR="00FB39FB">
        <w:t>’</w:t>
      </w:r>
      <w:r w:rsidRPr="004C693B">
        <w:t>évaluation sera créé lors de la seizième session du Comité.</w:t>
      </w:r>
    </w:p>
    <w:p w14:paraId="21131A5F" w14:textId="10A7E44E" w:rsidR="00F60640" w:rsidRPr="004C693B" w:rsidRDefault="00F60640" w:rsidP="00B1188E">
      <w:pPr>
        <w:pStyle w:val="COMPara"/>
        <w:numPr>
          <w:ilvl w:val="0"/>
          <w:numId w:val="8"/>
        </w:numPr>
        <w:ind w:left="567" w:hanging="567"/>
        <w:jc w:val="both"/>
      </w:pPr>
      <w:r w:rsidRPr="004C693B">
        <w:t>Le rapport de l</w:t>
      </w:r>
      <w:r w:rsidR="00FB39FB">
        <w:t>’</w:t>
      </w:r>
      <w:r w:rsidRPr="004C693B">
        <w:t>Organe d</w:t>
      </w:r>
      <w:r w:rsidR="00FB39FB">
        <w:t>’</w:t>
      </w:r>
      <w:r w:rsidRPr="004C693B">
        <w:t>évaluation se compose de cinq documents de travail, comme suit :</w:t>
      </w:r>
    </w:p>
    <w:p w14:paraId="74E77252" w14:textId="48520281" w:rsidR="00F60640" w:rsidRPr="004C693B" w:rsidRDefault="00F60640" w:rsidP="00B1188E">
      <w:pPr>
        <w:pStyle w:val="COMPara"/>
        <w:numPr>
          <w:ilvl w:val="0"/>
          <w:numId w:val="9"/>
        </w:numPr>
        <w:ind w:left="1134" w:hanging="567"/>
        <w:jc w:val="both"/>
      </w:pPr>
      <w:r w:rsidRPr="004C693B">
        <w:t xml:space="preserve">Le présent document </w:t>
      </w:r>
      <w:r w:rsidR="009A1EB4" w:rsidRPr="004C693B">
        <w:t>LHE/21/16.COM/</w:t>
      </w:r>
      <w:r w:rsidR="003F3AFE" w:rsidRPr="004C693B">
        <w:t>8</w:t>
      </w:r>
      <w:r w:rsidRPr="004C693B">
        <w:t xml:space="preserve"> constitue le rapport général de l</w:t>
      </w:r>
      <w:r w:rsidR="00FB39FB">
        <w:t>’</w:t>
      </w:r>
      <w:r w:rsidRPr="004C693B">
        <w:t>Organe d</w:t>
      </w:r>
      <w:r w:rsidR="00FB39FB">
        <w:t>’</w:t>
      </w:r>
      <w:r w:rsidRPr="004C693B">
        <w:t>évaluation, comprenant une vue d</w:t>
      </w:r>
      <w:r w:rsidR="00FB39FB">
        <w:t>’</w:t>
      </w:r>
      <w:r w:rsidRPr="004C693B">
        <w:t>ensemble des dossiers de 2021 (partie A), des observations et recommandations générales concernant les méthodes de travail, ainsi qu</w:t>
      </w:r>
      <w:r w:rsidR="00FB39FB">
        <w:t>’</w:t>
      </w:r>
      <w:r w:rsidRPr="004C693B">
        <w:t xml:space="preserve">un certain nombre de questions transversales (partie B), un aperçu des questions récurrentes du cycle 2021 (partie C) et un projet de décision </w:t>
      </w:r>
      <w:r w:rsidR="009E46EB" w:rsidRPr="004C693B">
        <w:t xml:space="preserve">pour </w:t>
      </w:r>
      <w:r w:rsidRPr="004C693B">
        <w:t>examen par le Comité (partie</w:t>
      </w:r>
      <w:r w:rsidR="00111BED" w:rsidRPr="004C693B">
        <w:t> </w:t>
      </w:r>
      <w:r w:rsidRPr="004C693B">
        <w:t>D) ;</w:t>
      </w:r>
    </w:p>
    <w:p w14:paraId="6E199C63" w14:textId="60604C64" w:rsidR="00F60640" w:rsidRPr="004C693B" w:rsidRDefault="00F60640" w:rsidP="00B1188E">
      <w:pPr>
        <w:pStyle w:val="COMPara"/>
        <w:numPr>
          <w:ilvl w:val="0"/>
          <w:numId w:val="9"/>
        </w:numPr>
        <w:ind w:left="1134" w:hanging="567"/>
        <w:jc w:val="both"/>
      </w:pPr>
      <w:r w:rsidRPr="004C693B">
        <w:t xml:space="preserve">Le document </w:t>
      </w:r>
      <w:hyperlink r:id="rId12" w:history="1">
        <w:r w:rsidR="009A1EB4" w:rsidRPr="004C693B">
          <w:rPr>
            <w:rStyle w:val="Hyperlink"/>
          </w:rPr>
          <w:t>LHE/21/16.COM/</w:t>
        </w:r>
        <w:r w:rsidR="003F3AFE" w:rsidRPr="004C693B">
          <w:rPr>
            <w:rStyle w:val="Hyperlink"/>
          </w:rPr>
          <w:t>8</w:t>
        </w:r>
        <w:r w:rsidR="009A1EB4" w:rsidRPr="004C693B">
          <w:rPr>
            <w:rStyle w:val="Hyperlink"/>
          </w:rPr>
          <w:t>.a</w:t>
        </w:r>
      </w:hyperlink>
      <w:r w:rsidRPr="004C693B">
        <w:t xml:space="preserve"> </w:t>
      </w:r>
      <w:r w:rsidR="004A5CEC" w:rsidRPr="004C693B">
        <w:t xml:space="preserve">concerne </w:t>
      </w:r>
      <w:r w:rsidRPr="004C693B">
        <w:t xml:space="preserve">les candidatures </w:t>
      </w:r>
      <w:r w:rsidR="009E46EB" w:rsidRPr="004C693B">
        <w:t>pour inscription sur</w:t>
      </w:r>
      <w:r w:rsidRPr="004C693B">
        <w:t xml:space="preserve"> la </w:t>
      </w:r>
      <w:r w:rsidR="004462E4" w:rsidRPr="004C693B">
        <w:t>Liste de sauvegarde urgente</w:t>
      </w:r>
      <w:r w:rsidRPr="004C693B">
        <w:t xml:space="preserve">, les </w:t>
      </w:r>
      <w:r w:rsidR="009E46EB" w:rsidRPr="004C693B">
        <w:t>candidatures</w:t>
      </w:r>
      <w:r w:rsidRPr="004C693B">
        <w:t xml:space="preserve"> </w:t>
      </w:r>
      <w:r w:rsidR="009E46EB" w:rsidRPr="004C693B">
        <w:t>pour inscription sur cette Liste combinées à des demandes d</w:t>
      </w:r>
      <w:r w:rsidR="00FB39FB">
        <w:t>’</w:t>
      </w:r>
      <w:r w:rsidR="009E46EB" w:rsidRPr="004C693B">
        <w:t>assistance internationale</w:t>
      </w:r>
      <w:r w:rsidR="009E46EB" w:rsidRPr="004C693B" w:rsidDel="009E46EB">
        <w:t xml:space="preserve"> </w:t>
      </w:r>
      <w:r w:rsidRPr="004C693B">
        <w:t xml:space="preserve">visant à soutenir la mise en œuvre du plan de </w:t>
      </w:r>
      <w:r w:rsidRPr="004C693B">
        <w:lastRenderedPageBreak/>
        <w:t xml:space="preserve">sauvegarde proposé. </w:t>
      </w:r>
      <w:r w:rsidR="003F3AFE" w:rsidRPr="004C693B">
        <w:t>Il</w:t>
      </w:r>
      <w:r w:rsidR="00FA53DC" w:rsidRPr="004C693B">
        <w:t xml:space="preserve"> </w:t>
      </w:r>
      <w:r w:rsidRPr="004C693B">
        <w:t>comprend une évaluation de la conformité des candidatures au regard des critères d</w:t>
      </w:r>
      <w:r w:rsidR="00FB39FB">
        <w:t>’</w:t>
      </w:r>
      <w:r w:rsidRPr="004C693B">
        <w:t>inscription prévus au chapitre l.1 des Directives opérationnelles, y compris une évaluation de la viabilité de l</w:t>
      </w:r>
      <w:r w:rsidR="00FB39FB">
        <w:t>’</w:t>
      </w:r>
      <w:r w:rsidRPr="004C693B">
        <w:t xml:space="preserve">élément, de la faisabilité et de </w:t>
      </w:r>
      <w:r w:rsidR="009E46EB" w:rsidRPr="004C693B">
        <w:t>l</w:t>
      </w:r>
      <w:r w:rsidR="00FB39FB">
        <w:t>’</w:t>
      </w:r>
      <w:r w:rsidR="009E46EB" w:rsidRPr="004C693B">
        <w:t>adéquation</w:t>
      </w:r>
      <w:r w:rsidRPr="004C693B">
        <w:t xml:space="preserve"> du plan de sauvegarde et des risques de sa disparition, comme prévu au paragraphe 29 des Directives opérationnelles, ainsi que des recommandations faites au Comité d</w:t>
      </w:r>
      <w:r w:rsidR="00FB39FB">
        <w:t>’</w:t>
      </w:r>
      <w:r w:rsidRPr="004C693B">
        <w:t xml:space="preserve">inscrire ou non les éléments désignés sur la </w:t>
      </w:r>
      <w:r w:rsidR="004462E4" w:rsidRPr="004C693B">
        <w:t>Liste de sauvegarde urgente</w:t>
      </w:r>
      <w:r w:rsidRPr="004C693B">
        <w:t xml:space="preserve"> ou de renvoyer les candidatures à/aux État(s) </w:t>
      </w:r>
      <w:r w:rsidR="009E46EB" w:rsidRPr="004C693B">
        <w:t>soumissionnaire(s)</w:t>
      </w:r>
      <w:r w:rsidRPr="004C693B">
        <w:t xml:space="preserve"> pour </w:t>
      </w:r>
      <w:r w:rsidR="00114DA8" w:rsidRPr="004C693B">
        <w:t xml:space="preserve">recueillir </w:t>
      </w:r>
      <w:r w:rsidRPr="004C693B">
        <w:t>des informations complémentaires. S</w:t>
      </w:r>
      <w:r w:rsidR="00FB39FB">
        <w:t>’</w:t>
      </w:r>
      <w:r w:rsidRPr="004C693B">
        <w:t>agissant des dossiers inclu</w:t>
      </w:r>
      <w:r w:rsidR="002E24CB" w:rsidRPr="004C693B">
        <w:t>a</w:t>
      </w:r>
      <w:r w:rsidRPr="004C693B">
        <w:t>nt également une demande d</w:t>
      </w:r>
      <w:r w:rsidR="00FB39FB">
        <w:t>’</w:t>
      </w:r>
      <w:r w:rsidRPr="004C693B">
        <w:t xml:space="preserve">assistance internationale, le document comprend une évaluation de la conformité de la </w:t>
      </w:r>
      <w:r w:rsidR="009E46EB" w:rsidRPr="004C693B">
        <w:t>demande</w:t>
      </w:r>
      <w:r w:rsidRPr="004C693B">
        <w:t xml:space="preserve"> vis-à-vis des critères de sélection, comme le prévoit le chapitre l.4 des Directives opérationnelles, ainsi que des recommandations faites au Comité d</w:t>
      </w:r>
      <w:r w:rsidR="00FB39FB">
        <w:t>’</w:t>
      </w:r>
      <w:r w:rsidRPr="004C693B">
        <w:t xml:space="preserve">approuver ou non les </w:t>
      </w:r>
      <w:r w:rsidR="009E46EB" w:rsidRPr="004C693B">
        <w:t xml:space="preserve">demandes </w:t>
      </w:r>
      <w:r w:rsidRPr="004C693B">
        <w:t xml:space="preserve">ou de </w:t>
      </w:r>
      <w:r w:rsidR="009E46EB" w:rsidRPr="004C693B">
        <w:t>les renvoyer</w:t>
      </w:r>
      <w:r w:rsidRPr="004C693B">
        <w:t xml:space="preserve"> à/aux État(s) </w:t>
      </w:r>
      <w:r w:rsidR="009E46EB" w:rsidRPr="004C693B">
        <w:t xml:space="preserve">soumissionnaire(s) </w:t>
      </w:r>
      <w:r w:rsidRPr="004C693B">
        <w:t xml:space="preserve">pour </w:t>
      </w:r>
      <w:r w:rsidR="00CB2135" w:rsidRPr="004C693B">
        <w:t xml:space="preserve">recueillir </w:t>
      </w:r>
      <w:r w:rsidRPr="004C693B">
        <w:t>des informations complémentaires ;</w:t>
      </w:r>
    </w:p>
    <w:p w14:paraId="679171AE" w14:textId="4943985E" w:rsidR="00F60640" w:rsidRPr="004C693B" w:rsidRDefault="00F60640" w:rsidP="00B1188E">
      <w:pPr>
        <w:pStyle w:val="COMPara"/>
        <w:numPr>
          <w:ilvl w:val="0"/>
          <w:numId w:val="9"/>
        </w:numPr>
        <w:ind w:left="1134" w:hanging="567"/>
        <w:jc w:val="both"/>
      </w:pPr>
      <w:r w:rsidRPr="004C693B">
        <w:t xml:space="preserve">Le document </w:t>
      </w:r>
      <w:hyperlink r:id="rId13" w:history="1">
        <w:r w:rsidR="009A1EB4" w:rsidRPr="004C693B">
          <w:rPr>
            <w:rStyle w:val="Hyperlink"/>
          </w:rPr>
          <w:t>LHE/21/16.COM/</w:t>
        </w:r>
        <w:r w:rsidR="003F3AFE" w:rsidRPr="004C693B">
          <w:rPr>
            <w:rStyle w:val="Hyperlink"/>
          </w:rPr>
          <w:t>8</w:t>
        </w:r>
        <w:r w:rsidR="009A1EB4" w:rsidRPr="004C693B">
          <w:rPr>
            <w:rStyle w:val="Hyperlink"/>
          </w:rPr>
          <w:t>.b</w:t>
        </w:r>
      </w:hyperlink>
      <w:r w:rsidRPr="004C693B">
        <w:t xml:space="preserve"> concerne les candidatures destinées à l</w:t>
      </w:r>
      <w:r w:rsidR="00FB39FB">
        <w:t>’</w:t>
      </w:r>
      <w:r w:rsidRPr="004C693B">
        <w:t xml:space="preserve">inscription sur la Liste représentative. Il comprend une évaluation de la conformité de la </w:t>
      </w:r>
      <w:r w:rsidR="002F0AD0" w:rsidRPr="004C693B">
        <w:t xml:space="preserve">candidature </w:t>
      </w:r>
      <w:r w:rsidRPr="004C693B">
        <w:t>vis-à-vis des critères d</w:t>
      </w:r>
      <w:r w:rsidR="00FB39FB">
        <w:t>’</w:t>
      </w:r>
      <w:r w:rsidRPr="004C693B">
        <w:t>inscription, comme le prévoit le chapitre l.2 des Directives opérationnelles, ainsi que des recommandations faites au Comité d</w:t>
      </w:r>
      <w:r w:rsidR="00FB39FB">
        <w:t>’</w:t>
      </w:r>
      <w:r w:rsidRPr="004C693B">
        <w:t xml:space="preserve">inscrire ou non les éléments désignés sur la Liste représentative, ou de </w:t>
      </w:r>
      <w:r w:rsidR="00FD10B1" w:rsidRPr="004C693B">
        <w:t xml:space="preserve">renvoyer </w:t>
      </w:r>
      <w:r w:rsidRPr="004C693B">
        <w:t xml:space="preserve">les candidatures à/aux État(s) candidat(s) pour </w:t>
      </w:r>
      <w:r w:rsidR="006C5FDC" w:rsidRPr="004C693B">
        <w:t xml:space="preserve">recueillir </w:t>
      </w:r>
      <w:r w:rsidRPr="004C693B">
        <w:t>des informations complémentaires ;</w:t>
      </w:r>
    </w:p>
    <w:p w14:paraId="51C319D2" w14:textId="12385A96" w:rsidR="00F60640" w:rsidRPr="004C693B" w:rsidRDefault="00F60640" w:rsidP="00B1188E">
      <w:pPr>
        <w:pStyle w:val="COMPara"/>
        <w:numPr>
          <w:ilvl w:val="0"/>
          <w:numId w:val="9"/>
        </w:numPr>
        <w:ind w:left="1134" w:hanging="567"/>
        <w:jc w:val="both"/>
      </w:pPr>
      <w:r w:rsidRPr="004C693B">
        <w:t xml:space="preserve">Le document </w:t>
      </w:r>
      <w:hyperlink r:id="rId14" w:history="1">
        <w:r w:rsidR="009A1EB4" w:rsidRPr="004C693B">
          <w:rPr>
            <w:rStyle w:val="Hyperlink"/>
          </w:rPr>
          <w:t>LHE/21/16.COM/</w:t>
        </w:r>
        <w:r w:rsidR="003F3AFE" w:rsidRPr="004C693B">
          <w:rPr>
            <w:rStyle w:val="Hyperlink"/>
          </w:rPr>
          <w:t>8</w:t>
        </w:r>
        <w:r w:rsidR="009A1EB4" w:rsidRPr="004C693B">
          <w:rPr>
            <w:rStyle w:val="Hyperlink"/>
          </w:rPr>
          <w:t>.c</w:t>
        </w:r>
      </w:hyperlink>
      <w:r w:rsidRPr="004C693B">
        <w:t xml:space="preserve"> concerne les propositions relatives au Registre de bonnes pratiques de sauvegarde. Il comprend une évaluation de la conformité des propositions vis-à-vis des critères de sélection, comme le prévoit le chapitre l.3 des Directives opérationnelles, ainsi que des recommandations faites au Comité de sélectionner ou non les </w:t>
      </w:r>
      <w:r w:rsidR="009E46EB" w:rsidRPr="004C693B">
        <w:t xml:space="preserve">propositions </w:t>
      </w:r>
      <w:r w:rsidRPr="004C693B">
        <w:t xml:space="preserve">ou de </w:t>
      </w:r>
      <w:r w:rsidR="00FD10B1" w:rsidRPr="004C693B">
        <w:t xml:space="preserve">renvoyer </w:t>
      </w:r>
      <w:r w:rsidRPr="004C693B">
        <w:t xml:space="preserve">celles-ci à/aux État(s) </w:t>
      </w:r>
      <w:r w:rsidR="009E46EB" w:rsidRPr="004C693B">
        <w:t xml:space="preserve">soumissionnaire(s) </w:t>
      </w:r>
      <w:r w:rsidRPr="004C693B">
        <w:t xml:space="preserve">pour </w:t>
      </w:r>
      <w:r w:rsidR="00761581" w:rsidRPr="004C693B">
        <w:t xml:space="preserve">recueillir </w:t>
      </w:r>
      <w:r w:rsidRPr="004C693B">
        <w:t>des informations complémentaires ;</w:t>
      </w:r>
    </w:p>
    <w:p w14:paraId="44C25F8F" w14:textId="7DCA8207" w:rsidR="00F60640" w:rsidRPr="004C693B" w:rsidRDefault="00F60640" w:rsidP="00B1188E">
      <w:pPr>
        <w:pStyle w:val="COMPara"/>
        <w:numPr>
          <w:ilvl w:val="0"/>
          <w:numId w:val="9"/>
        </w:numPr>
        <w:ind w:left="1134" w:hanging="567"/>
        <w:jc w:val="both"/>
      </w:pPr>
      <w:r w:rsidRPr="004C693B">
        <w:t xml:space="preserve">Le document </w:t>
      </w:r>
      <w:hyperlink r:id="rId15" w:history="1">
        <w:r w:rsidR="009A1EB4" w:rsidRPr="004C693B">
          <w:rPr>
            <w:rStyle w:val="Hyperlink"/>
          </w:rPr>
          <w:t>LHE/21/16.COM/</w:t>
        </w:r>
        <w:r w:rsidR="003F3AFE" w:rsidRPr="004C693B">
          <w:rPr>
            <w:rStyle w:val="Hyperlink"/>
          </w:rPr>
          <w:t>8</w:t>
        </w:r>
        <w:r w:rsidR="009A1EB4" w:rsidRPr="004C693B">
          <w:rPr>
            <w:rStyle w:val="Hyperlink"/>
          </w:rPr>
          <w:t>.d</w:t>
        </w:r>
      </w:hyperlink>
      <w:r w:rsidRPr="004C693B">
        <w:t xml:space="preserve"> concerne les </w:t>
      </w:r>
      <w:r w:rsidR="002F0AD0" w:rsidRPr="004C693B">
        <w:t>demandes d</w:t>
      </w:r>
      <w:r w:rsidR="00FB39FB">
        <w:t>’</w:t>
      </w:r>
      <w:r w:rsidR="002F0AD0" w:rsidRPr="004C693B">
        <w:t>assistance</w:t>
      </w:r>
      <w:r w:rsidRPr="004C693B">
        <w:t xml:space="preserve"> internationale d</w:t>
      </w:r>
      <w:r w:rsidR="00FB39FB">
        <w:t>’</w:t>
      </w:r>
      <w:r w:rsidRPr="004C693B">
        <w:t xml:space="preserve">un montant </w:t>
      </w:r>
      <w:r w:rsidR="009E46EB" w:rsidRPr="004C693B">
        <w:t>supérieur à</w:t>
      </w:r>
      <w:r w:rsidRPr="004C693B">
        <w:t xml:space="preserve"> 100 000 </w:t>
      </w:r>
      <w:r w:rsidR="009E46EB" w:rsidRPr="004C693B">
        <w:t>dollars des États-Unis</w:t>
      </w:r>
      <w:r w:rsidRPr="004C693B">
        <w:t xml:space="preserve">. Il comprend une évaluation de la conformité des </w:t>
      </w:r>
      <w:r w:rsidR="002F0AD0" w:rsidRPr="004C693B">
        <w:t xml:space="preserve">demandes </w:t>
      </w:r>
      <w:r w:rsidRPr="004C693B">
        <w:t>vis-à-vis des critères de sélection, comme le prévoit le chapitre l.4 des Directives opérationnelles, ainsi que des recommandations faites au Comité d</w:t>
      </w:r>
      <w:r w:rsidR="00FB39FB">
        <w:t>’</w:t>
      </w:r>
      <w:r w:rsidRPr="004C693B">
        <w:t xml:space="preserve">approuver ou non les </w:t>
      </w:r>
      <w:r w:rsidR="009E46EB" w:rsidRPr="004C693B">
        <w:t>demandes</w:t>
      </w:r>
      <w:r w:rsidRPr="004C693B">
        <w:t xml:space="preserve"> ou de </w:t>
      </w:r>
      <w:r w:rsidR="00FD10B1" w:rsidRPr="004C693B">
        <w:t xml:space="preserve">renvoyer </w:t>
      </w:r>
      <w:r w:rsidRPr="004C693B">
        <w:t xml:space="preserve">celles-ci à/aux État(s) </w:t>
      </w:r>
      <w:r w:rsidR="009E46EB" w:rsidRPr="004C693B">
        <w:t xml:space="preserve">soumissionnaire(s) </w:t>
      </w:r>
      <w:r w:rsidRPr="004C693B">
        <w:t xml:space="preserve">pour </w:t>
      </w:r>
      <w:r w:rsidR="001D13B7" w:rsidRPr="004C693B">
        <w:t xml:space="preserve">recueillir </w:t>
      </w:r>
      <w:r w:rsidRPr="004C693B">
        <w:t>des informations complémentaires.</w:t>
      </w:r>
    </w:p>
    <w:p w14:paraId="6FD8DBB8" w14:textId="2CD19ABE" w:rsidR="00F60640" w:rsidRPr="004C693B" w:rsidRDefault="00F60640" w:rsidP="00B1188E">
      <w:pPr>
        <w:pStyle w:val="COMPara"/>
        <w:numPr>
          <w:ilvl w:val="0"/>
          <w:numId w:val="8"/>
        </w:numPr>
        <w:ind w:left="567" w:hanging="567"/>
        <w:jc w:val="both"/>
      </w:pPr>
      <w:r w:rsidRPr="004C693B">
        <w:t xml:space="preserve">Comme demandé dans la </w:t>
      </w:r>
      <w:hyperlink r:id="rId16" w:history="1">
        <w:r w:rsidRPr="004C693B">
          <w:rPr>
            <w:rStyle w:val="Hyperlink"/>
            <w:snapToGrid/>
          </w:rPr>
          <w:t>décision</w:t>
        </w:r>
        <w:r w:rsidR="0008437D" w:rsidRPr="004C693B">
          <w:rPr>
            <w:rStyle w:val="Hyperlink"/>
            <w:snapToGrid/>
          </w:rPr>
          <w:t> </w:t>
        </w:r>
        <w:r w:rsidRPr="004C693B">
          <w:rPr>
            <w:rStyle w:val="Hyperlink"/>
            <w:snapToGrid/>
          </w:rPr>
          <w:t>15.COM</w:t>
        </w:r>
        <w:r w:rsidR="0008437D" w:rsidRPr="004C693B">
          <w:rPr>
            <w:rStyle w:val="Hyperlink"/>
            <w:snapToGrid/>
          </w:rPr>
          <w:t> </w:t>
        </w:r>
        <w:r w:rsidRPr="004C693B">
          <w:rPr>
            <w:rStyle w:val="Hyperlink"/>
            <w:snapToGrid/>
          </w:rPr>
          <w:t>10</w:t>
        </w:r>
      </w:hyperlink>
      <w:r w:rsidRPr="004C693B">
        <w:t xml:space="preserve">, les candidatures, propositions et </w:t>
      </w:r>
      <w:r w:rsidR="009E46EB" w:rsidRPr="004C693B">
        <w:t xml:space="preserve">demandes </w:t>
      </w:r>
      <w:r w:rsidRPr="004C693B">
        <w:t>susmentionnées sont présentées dans leurs rapports respectifs, dans l</w:t>
      </w:r>
      <w:r w:rsidR="00FB39FB">
        <w:t>’</w:t>
      </w:r>
      <w:r w:rsidRPr="004C693B">
        <w:t xml:space="preserve">ordre alphabétique anglais, accompagnées des dossiers des États dont les noms commencent par la lettre X. Les dossiers </w:t>
      </w:r>
      <w:r w:rsidR="00CF7AB8" w:rsidRPr="004C693B">
        <w:t xml:space="preserve">évalués </w:t>
      </w:r>
      <w:r w:rsidRPr="004C693B">
        <w:t>par l</w:t>
      </w:r>
      <w:r w:rsidR="00FB39FB">
        <w:t>’</w:t>
      </w:r>
      <w:r w:rsidRPr="004C693B">
        <w:t>Organe d</w:t>
      </w:r>
      <w:r w:rsidR="00FB39FB">
        <w:t>’</w:t>
      </w:r>
      <w:r w:rsidRPr="004C693B">
        <w:t>évaluation pour le cycle 2021 sont disponibles sur le site Internet de la Convention à l</w:t>
      </w:r>
      <w:r w:rsidR="00FB39FB">
        <w:t>’</w:t>
      </w:r>
      <w:r w:rsidRPr="004C693B">
        <w:t xml:space="preserve">adresse suivante : </w:t>
      </w:r>
      <w:hyperlink r:id="rId17" w:history="1">
        <w:r w:rsidR="00FD10B1" w:rsidRPr="004C693B">
          <w:rPr>
            <w:rStyle w:val="Hyperlink"/>
          </w:rPr>
          <w:t>https://ich.unesco.org/fr/dossiers-2021-en-cours-01119</w:t>
        </w:r>
      </w:hyperlink>
      <w:r w:rsidRPr="004C693B">
        <w:t>.</w:t>
      </w:r>
    </w:p>
    <w:p w14:paraId="6D721BD3" w14:textId="002A40AC" w:rsidR="00F60640" w:rsidRPr="004C693B" w:rsidRDefault="00F60640" w:rsidP="00B1188E">
      <w:pPr>
        <w:pStyle w:val="COMPara"/>
        <w:spacing w:before="360"/>
        <w:ind w:left="567" w:hanging="567"/>
        <w:jc w:val="both"/>
        <w:rPr>
          <w:b/>
          <w:bCs/>
        </w:rPr>
      </w:pPr>
      <w:r w:rsidRPr="004C693B">
        <w:rPr>
          <w:b/>
        </w:rPr>
        <w:t>A.</w:t>
      </w:r>
      <w:r w:rsidRPr="004C693B">
        <w:rPr>
          <w:b/>
        </w:rPr>
        <w:tab/>
        <w:t>Vue d</w:t>
      </w:r>
      <w:r w:rsidR="00FB39FB">
        <w:rPr>
          <w:b/>
        </w:rPr>
        <w:t>’</w:t>
      </w:r>
      <w:r w:rsidRPr="004C693B">
        <w:rPr>
          <w:b/>
        </w:rPr>
        <w:t>ensemble du cycle 2021</w:t>
      </w:r>
    </w:p>
    <w:p w14:paraId="69B3CF72" w14:textId="2755B7C1" w:rsidR="00F60640" w:rsidRPr="004C693B" w:rsidRDefault="00F60640" w:rsidP="00B1188E">
      <w:pPr>
        <w:pStyle w:val="COMPara"/>
        <w:numPr>
          <w:ilvl w:val="0"/>
          <w:numId w:val="8"/>
        </w:numPr>
        <w:ind w:left="567" w:hanging="567"/>
        <w:jc w:val="both"/>
      </w:pPr>
      <w:r w:rsidRPr="004C693B">
        <w:t xml:space="preserve">Conformément au paragraphe 54 des Directives opérationnelles, la date limite de </w:t>
      </w:r>
      <w:r w:rsidR="00CF7AB8" w:rsidRPr="004C693B">
        <w:t xml:space="preserve">soumission </w:t>
      </w:r>
      <w:r w:rsidRPr="004C693B">
        <w:t>des dossiers pour le cycle 2021 était le 31 mars 2020. Les Directives opérationnelles prévoient que « le Comité détermine deux ans à l</w:t>
      </w:r>
      <w:r w:rsidR="00FB39FB">
        <w:t>’</w:t>
      </w:r>
      <w:r w:rsidRPr="004C693B">
        <w:t xml:space="preserve">avance, </w:t>
      </w:r>
      <w:r w:rsidR="005F12EF" w:rsidRPr="004C693B">
        <w:t xml:space="preserve">selon les </w:t>
      </w:r>
      <w:r w:rsidRPr="004C693B">
        <w:t xml:space="preserve">ressources disponibles et </w:t>
      </w:r>
      <w:r w:rsidR="005F12EF" w:rsidRPr="004C693B">
        <w:t>ses capacités</w:t>
      </w:r>
      <w:r w:rsidRPr="004C693B">
        <w:t xml:space="preserve">, le nombre de dossiers qui </w:t>
      </w:r>
      <w:r w:rsidR="005F12EF" w:rsidRPr="004C693B">
        <w:t xml:space="preserve">pourront </w:t>
      </w:r>
      <w:r w:rsidRPr="004C693B">
        <w:t>être traités au cours des deux cycles suivants » (paragraphe 33). Lors de sa treizième session tenu</w:t>
      </w:r>
      <w:r w:rsidR="007D3821" w:rsidRPr="004C693B">
        <w:t>e</w:t>
      </w:r>
      <w:r w:rsidRPr="004C693B">
        <w:t xml:space="preserve"> à Port Louis, République de Maurice en 2018, le Comité a décidé qu</w:t>
      </w:r>
      <w:r w:rsidR="00FB39FB">
        <w:t>’</w:t>
      </w:r>
      <w:r w:rsidRPr="004C693B">
        <w:t xml:space="preserve">au cours du cycle 2021, un total de cinquante dossiers pourraient être traités au titre de la </w:t>
      </w:r>
      <w:r w:rsidR="004462E4" w:rsidRPr="004C693B">
        <w:t>Liste de sauvegarde urgente</w:t>
      </w:r>
      <w:r w:rsidRPr="004C693B">
        <w:t xml:space="preserve">, de la Liste représentative, du Registre de bonnes pratiques de sauvegarde et de </w:t>
      </w:r>
      <w:r w:rsidR="002F0AD0" w:rsidRPr="004C693B">
        <w:t>l</w:t>
      </w:r>
      <w:r w:rsidR="00FB39FB">
        <w:t>’</w:t>
      </w:r>
      <w:r w:rsidR="00CF7AB8" w:rsidRPr="004C693B">
        <w:t>a</w:t>
      </w:r>
      <w:r w:rsidR="002F0AD0" w:rsidRPr="004C693B">
        <w:t xml:space="preserve">ssistance </w:t>
      </w:r>
      <w:r w:rsidRPr="004C693B">
        <w:t>internationale de plus de 100 000 </w:t>
      </w:r>
      <w:r w:rsidR="00CF7AB8" w:rsidRPr="004C693B">
        <w:t xml:space="preserve">dollars des États-Unis </w:t>
      </w:r>
      <w:r w:rsidRPr="004C693B">
        <w:t>(</w:t>
      </w:r>
      <w:hyperlink r:id="rId18" w:history="1">
        <w:r w:rsidRPr="004C693B">
          <w:rPr>
            <w:rStyle w:val="Hyperlink"/>
          </w:rPr>
          <w:t>décision</w:t>
        </w:r>
        <w:r w:rsidR="0008437D" w:rsidRPr="004C693B">
          <w:rPr>
            <w:rStyle w:val="Hyperlink"/>
          </w:rPr>
          <w:t> </w:t>
        </w:r>
        <w:r w:rsidRPr="004C693B">
          <w:rPr>
            <w:rStyle w:val="Hyperlink"/>
          </w:rPr>
          <w:t>13.COM</w:t>
        </w:r>
        <w:r w:rsidR="0008437D" w:rsidRPr="004C693B">
          <w:rPr>
            <w:rStyle w:val="Hyperlink"/>
          </w:rPr>
          <w:t> </w:t>
        </w:r>
        <w:r w:rsidRPr="004C693B">
          <w:rPr>
            <w:rStyle w:val="Hyperlink"/>
          </w:rPr>
          <w:t>15</w:t>
        </w:r>
      </w:hyperlink>
      <w:r w:rsidRPr="004C693B">
        <w:t>).</w:t>
      </w:r>
    </w:p>
    <w:p w14:paraId="4F24EFA9" w14:textId="187FC188" w:rsidR="002D79CE" w:rsidRPr="004C693B" w:rsidRDefault="002D79CE" w:rsidP="00B1188E">
      <w:pPr>
        <w:pStyle w:val="COMPara"/>
        <w:numPr>
          <w:ilvl w:val="0"/>
          <w:numId w:val="12"/>
        </w:numPr>
        <w:ind w:left="567" w:hanging="630"/>
        <w:jc w:val="both"/>
      </w:pPr>
      <w:r w:rsidRPr="004C693B">
        <w:t xml:space="preserve">À la suite de la </w:t>
      </w:r>
      <w:hyperlink r:id="rId19" w:history="1">
        <w:r w:rsidRPr="004C693B">
          <w:rPr>
            <w:rStyle w:val="Hyperlink"/>
          </w:rPr>
          <w:t>décision</w:t>
        </w:r>
        <w:r w:rsidR="0008437D" w:rsidRPr="004C693B">
          <w:rPr>
            <w:rStyle w:val="Hyperlink"/>
          </w:rPr>
          <w:t> </w:t>
        </w:r>
        <w:r w:rsidRPr="004C693B">
          <w:rPr>
            <w:rStyle w:val="Hyperlink"/>
          </w:rPr>
          <w:t>13.COM</w:t>
        </w:r>
        <w:r w:rsidR="0008437D" w:rsidRPr="004C693B">
          <w:rPr>
            <w:rStyle w:val="Hyperlink"/>
          </w:rPr>
          <w:t> </w:t>
        </w:r>
        <w:r w:rsidRPr="004C693B">
          <w:rPr>
            <w:rStyle w:val="Hyperlink"/>
          </w:rPr>
          <w:t>15</w:t>
        </w:r>
      </w:hyperlink>
      <w:r w:rsidRPr="004C693B">
        <w:t xml:space="preserve"> susmentionnée, visant à ce que soit traité au moins un dossier par État </w:t>
      </w:r>
      <w:r w:rsidR="00CF7AB8" w:rsidRPr="004C693B">
        <w:t xml:space="preserve">soumissionnaire </w:t>
      </w:r>
      <w:r w:rsidRPr="004C693B">
        <w:t>au cours de la période de deux ans courant de 2020 à 2021, et en application des priorités énoncées au paragraphe 34 des Directives opérationnelles, l</w:t>
      </w:r>
      <w:r w:rsidR="00FB39FB">
        <w:t>’</w:t>
      </w:r>
      <w:r w:rsidRPr="004C693B">
        <w:t xml:space="preserve">Organe </w:t>
      </w:r>
      <w:r w:rsidRPr="004C693B">
        <w:lastRenderedPageBreak/>
        <w:t>d</w:t>
      </w:r>
      <w:r w:rsidR="00FB39FB">
        <w:t>’</w:t>
      </w:r>
      <w:r w:rsidRPr="004C693B">
        <w:t>évaluation a été informé que le Secrétariat avait traité un total de soixante dossiers, comme suit :</w:t>
      </w:r>
    </w:p>
    <w:p w14:paraId="570B0A1F" w14:textId="77777777" w:rsidR="002D79CE" w:rsidRPr="004C693B" w:rsidRDefault="002D79CE" w:rsidP="00B1188E">
      <w:pPr>
        <w:pStyle w:val="COMPara"/>
        <w:keepNext/>
        <w:ind w:left="567"/>
        <w:jc w:val="both"/>
      </w:pPr>
      <w:r w:rsidRPr="004C693B">
        <w:t>Par niveau de priorité :</w:t>
      </w:r>
    </w:p>
    <w:tbl>
      <w:tblPr>
        <w:tblStyle w:val="TableGrid"/>
        <w:tblW w:w="0" w:type="auto"/>
        <w:tblInd w:w="562" w:type="dxa"/>
        <w:tblLook w:val="04A0" w:firstRow="1" w:lastRow="0" w:firstColumn="1" w:lastColumn="0" w:noHBand="0" w:noVBand="1"/>
      </w:tblPr>
      <w:tblGrid>
        <w:gridCol w:w="2517"/>
        <w:gridCol w:w="5903"/>
        <w:gridCol w:w="972"/>
      </w:tblGrid>
      <w:tr w:rsidR="002D79CE" w:rsidRPr="004C693B" w14:paraId="4DD6B064" w14:textId="77777777" w:rsidTr="00BE0810">
        <w:trPr>
          <w:cantSplit/>
        </w:trPr>
        <w:tc>
          <w:tcPr>
            <w:tcW w:w="2517" w:type="dxa"/>
            <w:shd w:val="clear" w:color="auto" w:fill="D9D9D9" w:themeFill="background1" w:themeFillShade="D9"/>
          </w:tcPr>
          <w:p w14:paraId="5D903E65" w14:textId="77777777" w:rsidR="002D79CE" w:rsidRPr="004C693B" w:rsidRDefault="002D79CE" w:rsidP="00BE0810">
            <w:pPr>
              <w:pStyle w:val="COMPara"/>
              <w:rPr>
                <w:b/>
              </w:rPr>
            </w:pPr>
            <w:r w:rsidRPr="004C693B">
              <w:rPr>
                <w:b/>
              </w:rPr>
              <w:t>Référence</w:t>
            </w:r>
          </w:p>
        </w:tc>
        <w:tc>
          <w:tcPr>
            <w:tcW w:w="0" w:type="auto"/>
            <w:shd w:val="clear" w:color="auto" w:fill="D9D9D9" w:themeFill="background1" w:themeFillShade="D9"/>
          </w:tcPr>
          <w:p w14:paraId="01B6A18E" w14:textId="77777777" w:rsidR="002D79CE" w:rsidRPr="004C693B" w:rsidRDefault="002D79CE" w:rsidP="00BE0810">
            <w:pPr>
              <w:pStyle w:val="COMPara"/>
              <w:rPr>
                <w:b/>
              </w:rPr>
            </w:pPr>
            <w:r w:rsidRPr="004C693B">
              <w:rPr>
                <w:b/>
              </w:rPr>
              <w:t>Type de dossier</w:t>
            </w:r>
          </w:p>
        </w:tc>
        <w:tc>
          <w:tcPr>
            <w:tcW w:w="815" w:type="dxa"/>
            <w:shd w:val="clear" w:color="auto" w:fill="D9D9D9" w:themeFill="background1" w:themeFillShade="D9"/>
          </w:tcPr>
          <w:p w14:paraId="56607789" w14:textId="77777777" w:rsidR="002D79CE" w:rsidRPr="004C693B" w:rsidRDefault="002D79CE" w:rsidP="00BE0810">
            <w:pPr>
              <w:pStyle w:val="COMPara"/>
              <w:rPr>
                <w:b/>
              </w:rPr>
            </w:pPr>
            <w:r w:rsidRPr="004C693B">
              <w:rPr>
                <w:b/>
              </w:rPr>
              <w:t>Numéro</w:t>
            </w:r>
          </w:p>
        </w:tc>
      </w:tr>
      <w:tr w:rsidR="002D79CE" w:rsidRPr="004C693B" w14:paraId="516F35B8" w14:textId="77777777" w:rsidTr="00BE0810">
        <w:trPr>
          <w:cantSplit/>
        </w:trPr>
        <w:tc>
          <w:tcPr>
            <w:tcW w:w="2517" w:type="dxa"/>
          </w:tcPr>
          <w:p w14:paraId="4039D334" w14:textId="3E1CC5EE" w:rsidR="002D79CE" w:rsidRPr="004C693B" w:rsidRDefault="002D79CE" w:rsidP="00BE0810">
            <w:pPr>
              <w:pStyle w:val="COMPara"/>
            </w:pPr>
            <w:r w:rsidRPr="004C693B">
              <w:t>Décision 13.COM</w:t>
            </w:r>
            <w:r w:rsidR="001064E6" w:rsidRPr="004C693B">
              <w:t> </w:t>
            </w:r>
            <w:r w:rsidRPr="004C693B">
              <w:t>15 – priorité (0)</w:t>
            </w:r>
          </w:p>
        </w:tc>
        <w:tc>
          <w:tcPr>
            <w:tcW w:w="0" w:type="auto"/>
            <w:shd w:val="clear" w:color="auto" w:fill="auto"/>
          </w:tcPr>
          <w:p w14:paraId="05685ACB" w14:textId="6B07E781" w:rsidR="002D79CE" w:rsidRPr="004C693B" w:rsidRDefault="002D79CE" w:rsidP="00BE0810">
            <w:pPr>
              <w:pStyle w:val="COMPara"/>
              <w:jc w:val="both"/>
            </w:pPr>
            <w:r w:rsidRPr="004C693B">
              <w:t>Dossiers provenant d</w:t>
            </w:r>
            <w:r w:rsidR="00FB39FB">
              <w:t>’</w:t>
            </w:r>
            <w:r w:rsidRPr="004C693B">
              <w:t>États n</w:t>
            </w:r>
            <w:r w:rsidR="00FB39FB">
              <w:t>’</w:t>
            </w:r>
            <w:r w:rsidRPr="004C693B">
              <w:t xml:space="preserve">ayant aucun dossier traité pour le cycle 2020 </w:t>
            </w:r>
          </w:p>
        </w:tc>
        <w:tc>
          <w:tcPr>
            <w:tcW w:w="815" w:type="dxa"/>
          </w:tcPr>
          <w:p w14:paraId="0F6FDC9D" w14:textId="77777777" w:rsidR="002D79CE" w:rsidRPr="004C693B" w:rsidRDefault="002D79CE" w:rsidP="00BE0810">
            <w:pPr>
              <w:pStyle w:val="COMPara"/>
              <w:jc w:val="right"/>
            </w:pPr>
            <w:r w:rsidRPr="004C693B">
              <w:t>53</w:t>
            </w:r>
          </w:p>
        </w:tc>
      </w:tr>
      <w:tr w:rsidR="002D79CE" w:rsidRPr="004C693B" w14:paraId="6FFC3C8D" w14:textId="77777777" w:rsidTr="00BE0810">
        <w:trPr>
          <w:cantSplit/>
        </w:trPr>
        <w:tc>
          <w:tcPr>
            <w:tcW w:w="2517" w:type="dxa"/>
            <w:vMerge w:val="restart"/>
            <w:shd w:val="clear" w:color="auto" w:fill="auto"/>
          </w:tcPr>
          <w:p w14:paraId="326CC702" w14:textId="77777777" w:rsidR="002D79CE" w:rsidRPr="004C693B" w:rsidRDefault="002D79CE" w:rsidP="00BE0810">
            <w:pPr>
              <w:pStyle w:val="COMPara"/>
            </w:pPr>
            <w:r w:rsidRPr="004C693B">
              <w:t>Paragraphe 34 des Directives opérationnelles – priorité (i)</w:t>
            </w:r>
          </w:p>
        </w:tc>
        <w:tc>
          <w:tcPr>
            <w:tcW w:w="0" w:type="auto"/>
            <w:shd w:val="clear" w:color="auto" w:fill="auto"/>
          </w:tcPr>
          <w:p w14:paraId="121B7889" w14:textId="35B221CF" w:rsidR="002D79CE" w:rsidRPr="004C693B" w:rsidRDefault="002D79CE" w:rsidP="00BE0810">
            <w:pPr>
              <w:pStyle w:val="COMPara"/>
              <w:jc w:val="both"/>
            </w:pPr>
            <w:r w:rsidRPr="004C693B">
              <w:t>Dossiers provenant d</w:t>
            </w:r>
            <w:r w:rsidR="00FB39FB">
              <w:t>’</w:t>
            </w:r>
            <w:r w:rsidRPr="004C693B">
              <w:t>États n</w:t>
            </w:r>
            <w:r w:rsidR="00FB39FB">
              <w:t>’</w:t>
            </w:r>
            <w:r w:rsidRPr="004C693B">
              <w:t>ayant pas d</w:t>
            </w:r>
            <w:r w:rsidR="00FB39FB">
              <w:t>’</w:t>
            </w:r>
            <w:r w:rsidRPr="004C693B">
              <w:t>éléments inscrits, de bonnes pratiques de sauvegarde sélectionnées ni de demandes d</w:t>
            </w:r>
            <w:r w:rsidR="00FB39FB">
              <w:t>’</w:t>
            </w:r>
            <w:r w:rsidRPr="004C693B">
              <w:t>assistance internationale supérieures à 100 000 </w:t>
            </w:r>
            <w:r w:rsidR="00CF7AB8" w:rsidRPr="004C693B">
              <w:t xml:space="preserve">dollars des États-Unis </w:t>
            </w:r>
            <w:r w:rsidRPr="004C693B">
              <w:t>approuvées</w:t>
            </w:r>
          </w:p>
        </w:tc>
        <w:tc>
          <w:tcPr>
            <w:tcW w:w="815" w:type="dxa"/>
            <w:shd w:val="clear" w:color="auto" w:fill="auto"/>
          </w:tcPr>
          <w:p w14:paraId="42EBED52" w14:textId="77777777" w:rsidR="002D79CE" w:rsidRPr="004C693B" w:rsidRDefault="002D79CE" w:rsidP="00BE0810">
            <w:pPr>
              <w:pStyle w:val="COMPara"/>
              <w:jc w:val="right"/>
            </w:pPr>
            <w:r w:rsidRPr="004C693B">
              <w:t>2</w:t>
            </w:r>
          </w:p>
        </w:tc>
      </w:tr>
      <w:tr w:rsidR="002D79CE" w:rsidRPr="004C693B" w14:paraId="6DEC27A9" w14:textId="77777777" w:rsidTr="00BE0810">
        <w:trPr>
          <w:cantSplit/>
        </w:trPr>
        <w:tc>
          <w:tcPr>
            <w:tcW w:w="2517" w:type="dxa"/>
            <w:vMerge/>
          </w:tcPr>
          <w:p w14:paraId="3AABDE4A" w14:textId="77777777" w:rsidR="002D79CE" w:rsidRPr="004C693B" w:rsidRDefault="002D79CE" w:rsidP="00BE0810">
            <w:pPr>
              <w:pStyle w:val="COMPara"/>
            </w:pPr>
          </w:p>
        </w:tc>
        <w:tc>
          <w:tcPr>
            <w:tcW w:w="0" w:type="auto"/>
          </w:tcPr>
          <w:p w14:paraId="6E7B9A77" w14:textId="60696345" w:rsidR="002D79CE" w:rsidRPr="004C693B" w:rsidRDefault="002D79CE" w:rsidP="00BE0810">
            <w:pPr>
              <w:pStyle w:val="COMPara"/>
              <w:jc w:val="both"/>
            </w:pPr>
            <w:r w:rsidRPr="004C693B">
              <w:t xml:space="preserve">Candidatures sur la </w:t>
            </w:r>
            <w:r w:rsidR="004462E4" w:rsidRPr="004C693B">
              <w:t>Liste de sauvegarde urgente</w:t>
            </w:r>
          </w:p>
        </w:tc>
        <w:tc>
          <w:tcPr>
            <w:tcW w:w="815" w:type="dxa"/>
          </w:tcPr>
          <w:p w14:paraId="16E1C26A" w14:textId="77777777" w:rsidR="002D79CE" w:rsidRPr="004C693B" w:rsidRDefault="002D79CE" w:rsidP="00BE0810">
            <w:pPr>
              <w:pStyle w:val="COMPara"/>
              <w:jc w:val="right"/>
            </w:pPr>
            <w:r w:rsidRPr="004C693B">
              <w:t>0</w:t>
            </w:r>
          </w:p>
        </w:tc>
      </w:tr>
      <w:tr w:rsidR="002D79CE" w:rsidRPr="004C693B" w14:paraId="01126BD2" w14:textId="77777777" w:rsidTr="00BE0810">
        <w:trPr>
          <w:cantSplit/>
        </w:trPr>
        <w:tc>
          <w:tcPr>
            <w:tcW w:w="2517" w:type="dxa"/>
          </w:tcPr>
          <w:p w14:paraId="17BA5F5B" w14:textId="77777777" w:rsidR="002D79CE" w:rsidRPr="004C693B" w:rsidRDefault="002D79CE" w:rsidP="00BE0810">
            <w:pPr>
              <w:pStyle w:val="COMPara"/>
            </w:pPr>
            <w:r w:rsidRPr="004C693B">
              <w:t>Paragraphe 34 des Directives opérationnelles – priorité (ii)</w:t>
            </w:r>
          </w:p>
        </w:tc>
        <w:tc>
          <w:tcPr>
            <w:tcW w:w="0" w:type="auto"/>
          </w:tcPr>
          <w:p w14:paraId="63E8DB55" w14:textId="41D0FE1C" w:rsidR="002D79CE" w:rsidRPr="004C693B" w:rsidRDefault="002D79CE" w:rsidP="00BE0810">
            <w:pPr>
              <w:pStyle w:val="COMPara"/>
              <w:jc w:val="both"/>
            </w:pPr>
            <w:r w:rsidRPr="004C693B">
              <w:t xml:space="preserve">Dossiers </w:t>
            </w:r>
            <w:r w:rsidR="004462E4" w:rsidRPr="004C693B">
              <w:t>multinationa</w:t>
            </w:r>
            <w:r w:rsidRPr="004C693B">
              <w:t>ux</w:t>
            </w:r>
          </w:p>
        </w:tc>
        <w:tc>
          <w:tcPr>
            <w:tcW w:w="815" w:type="dxa"/>
          </w:tcPr>
          <w:p w14:paraId="77332B56" w14:textId="77777777" w:rsidR="002D79CE" w:rsidRPr="004C693B" w:rsidRDefault="002D79CE" w:rsidP="00BE0810">
            <w:pPr>
              <w:pStyle w:val="COMPara"/>
              <w:jc w:val="right"/>
            </w:pPr>
            <w:r w:rsidRPr="004C693B">
              <w:t>5</w:t>
            </w:r>
          </w:p>
        </w:tc>
      </w:tr>
      <w:tr w:rsidR="002D79CE" w:rsidRPr="004C693B" w14:paraId="5D72B6BF" w14:textId="77777777" w:rsidTr="00BE0810">
        <w:trPr>
          <w:cantSplit/>
        </w:trPr>
        <w:tc>
          <w:tcPr>
            <w:tcW w:w="2517" w:type="dxa"/>
          </w:tcPr>
          <w:p w14:paraId="3ABF0838" w14:textId="77777777" w:rsidR="002D79CE" w:rsidRPr="004C693B" w:rsidRDefault="002D79CE" w:rsidP="00BE0810">
            <w:pPr>
              <w:pStyle w:val="COMPara"/>
            </w:pPr>
            <w:r w:rsidRPr="004C693B">
              <w:t>Paragraphe 34 des Directives opérationnelles – priorité (iii)</w:t>
            </w:r>
          </w:p>
        </w:tc>
        <w:tc>
          <w:tcPr>
            <w:tcW w:w="0" w:type="auto"/>
          </w:tcPr>
          <w:p w14:paraId="4DAB1746" w14:textId="5284838E" w:rsidR="002D79CE" w:rsidRPr="004C693B" w:rsidRDefault="002D79CE" w:rsidP="00BE0810">
            <w:pPr>
              <w:pStyle w:val="COMPara"/>
              <w:jc w:val="both"/>
            </w:pPr>
            <w:r w:rsidRPr="004C693B">
              <w:t>Dossiers provenant d</w:t>
            </w:r>
            <w:r w:rsidR="00FB39FB">
              <w:t>’</w:t>
            </w:r>
            <w:r w:rsidRPr="004C693B">
              <w:t>États ayant le moins d</w:t>
            </w:r>
            <w:r w:rsidR="00FB39FB">
              <w:t>’</w:t>
            </w:r>
            <w:r w:rsidRPr="004C693B">
              <w:t>éléments inscrits, de bonnes pratiques de sauvegarde sélectionnées ni de demandes d</w:t>
            </w:r>
            <w:r w:rsidR="00FB39FB">
              <w:t>’</w:t>
            </w:r>
            <w:r w:rsidRPr="004C693B">
              <w:t>assistance internationale supérieures à 100 000 </w:t>
            </w:r>
            <w:r w:rsidR="00CF7AB8" w:rsidRPr="004C693B">
              <w:t xml:space="preserve">dollars des États-Unis </w:t>
            </w:r>
            <w:r w:rsidRPr="004C693B">
              <w:t>approuvées</w:t>
            </w:r>
          </w:p>
        </w:tc>
        <w:tc>
          <w:tcPr>
            <w:tcW w:w="815" w:type="dxa"/>
          </w:tcPr>
          <w:p w14:paraId="37A8AFF2" w14:textId="77777777" w:rsidR="002D79CE" w:rsidRPr="004C693B" w:rsidRDefault="002D79CE" w:rsidP="00BE0810">
            <w:pPr>
              <w:pStyle w:val="COMPara"/>
              <w:jc w:val="right"/>
            </w:pPr>
            <w:r w:rsidRPr="004C693B">
              <w:t>0</w:t>
            </w:r>
          </w:p>
        </w:tc>
      </w:tr>
      <w:tr w:rsidR="002D79CE" w:rsidRPr="004C693B" w14:paraId="32F790C9" w14:textId="77777777" w:rsidTr="00BE0810">
        <w:trPr>
          <w:cantSplit/>
        </w:trPr>
        <w:tc>
          <w:tcPr>
            <w:tcW w:w="2517" w:type="dxa"/>
          </w:tcPr>
          <w:p w14:paraId="14D9A371" w14:textId="77777777" w:rsidR="002D79CE" w:rsidRPr="004C693B" w:rsidRDefault="002D79CE" w:rsidP="00BE0810">
            <w:pPr>
              <w:pStyle w:val="COMPara"/>
              <w:rPr>
                <w:b/>
              </w:rPr>
            </w:pPr>
            <w:r w:rsidRPr="004C693B">
              <w:rPr>
                <w:b/>
              </w:rPr>
              <w:t>Total</w:t>
            </w:r>
          </w:p>
        </w:tc>
        <w:tc>
          <w:tcPr>
            <w:tcW w:w="0" w:type="auto"/>
          </w:tcPr>
          <w:p w14:paraId="7C5FE8A9" w14:textId="77777777" w:rsidR="002D79CE" w:rsidRPr="004C693B" w:rsidRDefault="002D79CE" w:rsidP="00BE0810">
            <w:pPr>
              <w:pStyle w:val="COMPara"/>
              <w:jc w:val="both"/>
              <w:rPr>
                <w:b/>
              </w:rPr>
            </w:pPr>
          </w:p>
        </w:tc>
        <w:tc>
          <w:tcPr>
            <w:tcW w:w="815" w:type="dxa"/>
          </w:tcPr>
          <w:p w14:paraId="066D8798" w14:textId="77777777" w:rsidR="002D79CE" w:rsidRPr="004C693B" w:rsidRDefault="002D79CE" w:rsidP="00BE0810">
            <w:pPr>
              <w:pStyle w:val="COMPara"/>
              <w:jc w:val="right"/>
              <w:rPr>
                <w:b/>
              </w:rPr>
            </w:pPr>
            <w:r w:rsidRPr="004C693B">
              <w:rPr>
                <w:b/>
              </w:rPr>
              <w:t>60</w:t>
            </w:r>
          </w:p>
        </w:tc>
      </w:tr>
    </w:tbl>
    <w:p w14:paraId="5E7A3C32" w14:textId="77777777" w:rsidR="002D79CE" w:rsidRPr="004C693B" w:rsidRDefault="002D79CE" w:rsidP="009420B0">
      <w:pPr>
        <w:pStyle w:val="COMPara"/>
        <w:keepNext/>
        <w:ind w:left="2880"/>
        <w:jc w:val="both"/>
      </w:pPr>
    </w:p>
    <w:p w14:paraId="12642774" w14:textId="69150921" w:rsidR="002D79CE" w:rsidRPr="004C693B" w:rsidRDefault="002D79CE" w:rsidP="00B1188E">
      <w:pPr>
        <w:pStyle w:val="COMPara"/>
        <w:numPr>
          <w:ilvl w:val="0"/>
          <w:numId w:val="12"/>
        </w:numPr>
        <w:ind w:left="567" w:hanging="567"/>
        <w:jc w:val="both"/>
      </w:pPr>
      <w:r w:rsidRPr="004C693B">
        <w:t xml:space="preserve">Alors que le plafond annuel prévu par la </w:t>
      </w:r>
      <w:hyperlink r:id="rId20" w:history="1">
        <w:r w:rsidRPr="004C693B">
          <w:rPr>
            <w:rStyle w:val="Hyperlink"/>
          </w:rPr>
          <w:t>décision</w:t>
        </w:r>
        <w:r w:rsidR="0008437D" w:rsidRPr="004C693B">
          <w:rPr>
            <w:rStyle w:val="Hyperlink"/>
          </w:rPr>
          <w:t> </w:t>
        </w:r>
        <w:r w:rsidRPr="004C693B">
          <w:rPr>
            <w:rStyle w:val="Hyperlink"/>
          </w:rPr>
          <w:t>13.COM</w:t>
        </w:r>
        <w:r w:rsidR="0008437D" w:rsidRPr="004C693B">
          <w:rPr>
            <w:rStyle w:val="Hyperlink"/>
          </w:rPr>
          <w:t> </w:t>
        </w:r>
        <w:r w:rsidRPr="004C693B">
          <w:rPr>
            <w:rStyle w:val="Hyperlink"/>
          </w:rPr>
          <w:t>15</w:t>
        </w:r>
      </w:hyperlink>
      <w:r w:rsidRPr="004C693B">
        <w:t xml:space="preserve"> susmentionnée était de cinquante dossiers, l</w:t>
      </w:r>
      <w:r w:rsidR="00FB39FB">
        <w:t>’</w:t>
      </w:r>
      <w:r w:rsidRPr="004C693B">
        <w:t>Organe d</w:t>
      </w:r>
      <w:r w:rsidR="00FB39FB">
        <w:t>’</w:t>
      </w:r>
      <w:r w:rsidRPr="004C693B">
        <w:t>évaluation a été informé que le cycle de 2021 en comprenait soixante. En raison d</w:t>
      </w:r>
      <w:r w:rsidR="00FB39FB">
        <w:t>’</w:t>
      </w:r>
      <w:r w:rsidRPr="004C693B">
        <w:t>un nombre inhabituellement élevé de dossiers de candidature reçus à la date limite du 31 mars 2020, le nombre de dossiers nationaux priorit</w:t>
      </w:r>
      <w:r w:rsidR="00436240" w:rsidRPr="004C693B">
        <w:t>aires</w:t>
      </w:r>
      <w:r w:rsidRPr="004C693B">
        <w:t xml:space="preserve"> (0) a dépassé à lui seul le plafond annuel de cinquante dossiers. Reconnaissant l</w:t>
      </w:r>
      <w:r w:rsidR="00FB39FB">
        <w:t>’</w:t>
      </w:r>
      <w:r w:rsidRPr="004C693B">
        <w:t>engagement croissant de la communauté internationale en faveur de la sauvegarde du patrimoine vivant par le biais des mécanismes d</w:t>
      </w:r>
      <w:r w:rsidR="00FB39FB">
        <w:t>’</w:t>
      </w:r>
      <w:r w:rsidRPr="004C693B">
        <w:t>inscription, le Secrétariat a par conséquent proposé, à titre exceptionnel, de faire preuve d</w:t>
      </w:r>
      <w:r w:rsidR="00FB39FB">
        <w:t>’</w:t>
      </w:r>
      <w:r w:rsidRPr="004C693B">
        <w:t>une certaine souplesse et a consenti des efforts supplémentaires afin de traiter les soixante dossiers de la seizième session du Comité.</w:t>
      </w:r>
    </w:p>
    <w:p w14:paraId="274A4617" w14:textId="5A18AB32" w:rsidR="002D79CE" w:rsidRPr="004C693B" w:rsidRDefault="002D79CE" w:rsidP="00B1188E">
      <w:pPr>
        <w:pStyle w:val="COMPara"/>
        <w:numPr>
          <w:ilvl w:val="0"/>
          <w:numId w:val="12"/>
        </w:numPr>
        <w:ind w:left="567" w:hanging="567"/>
        <w:jc w:val="both"/>
      </w:pPr>
      <w:r w:rsidRPr="004C693B">
        <w:t xml:space="preserve">Le Secrétariat a traité chacun des soixante dossiers et contacté les États qui les ont </w:t>
      </w:r>
      <w:r w:rsidR="00CF7AB8" w:rsidRPr="004C693B">
        <w:t xml:space="preserve">soumis </w:t>
      </w:r>
      <w:r w:rsidRPr="004C693B">
        <w:t>en juin 2020 afin de solliciter toutes les informations complémentaires requises</w:t>
      </w:r>
      <w:r w:rsidR="002F27A3" w:rsidRPr="004C693B">
        <w:t xml:space="preserve">, de sorte </w:t>
      </w:r>
      <w:r w:rsidRPr="004C693B">
        <w:t xml:space="preserve">que ces dossiers soient considérés comme techniquement complets. À la suite de cette vérification </w:t>
      </w:r>
      <w:r w:rsidR="002F0AD0" w:rsidRPr="004C693B">
        <w:t xml:space="preserve">de complétude technique </w:t>
      </w:r>
      <w:r w:rsidRPr="004C693B">
        <w:t>effectuée par le Secrétariat, les soixante dossiers ont été considérés comme techniquement complets.</w:t>
      </w:r>
    </w:p>
    <w:p w14:paraId="676F95A1" w14:textId="13B173B6" w:rsidR="002D79CE" w:rsidRPr="004C693B" w:rsidRDefault="002D79CE" w:rsidP="00B1188E">
      <w:pPr>
        <w:pStyle w:val="COMPara"/>
        <w:numPr>
          <w:ilvl w:val="0"/>
          <w:numId w:val="12"/>
        </w:numPr>
        <w:ind w:left="567" w:hanging="567"/>
        <w:jc w:val="both"/>
      </w:pPr>
      <w:r w:rsidRPr="004C693B">
        <w:t xml:space="preserve">Au total, soixante dossiers ont été complétés </w:t>
      </w:r>
      <w:r w:rsidR="00CF7AB8" w:rsidRPr="004C693B">
        <w:t xml:space="preserve">à temps </w:t>
      </w:r>
      <w:r w:rsidRPr="004C693B">
        <w:t xml:space="preserve">par les </w:t>
      </w:r>
      <w:r w:rsidR="00265E43" w:rsidRPr="004C693B">
        <w:t>État</w:t>
      </w:r>
      <w:r w:rsidRPr="004C693B">
        <w:t xml:space="preserve">s </w:t>
      </w:r>
      <w:r w:rsidR="00CF7AB8" w:rsidRPr="004C693B">
        <w:t>soumissionnaires</w:t>
      </w:r>
      <w:r w:rsidRPr="004C693B">
        <w:t xml:space="preserve"> en vue de leur examen par l</w:t>
      </w:r>
      <w:r w:rsidR="00FB39FB">
        <w:t>’</w:t>
      </w:r>
      <w:r w:rsidRPr="004C693B">
        <w:t>Organe d</w:t>
      </w:r>
      <w:r w:rsidR="00FB39FB">
        <w:t>’</w:t>
      </w:r>
      <w:r w:rsidRPr="004C693B">
        <w:t>évaluation. Ce nombre inclut entre autres deux dossiers nationaux provenant d</w:t>
      </w:r>
      <w:r w:rsidR="00FB39FB">
        <w:t>’</w:t>
      </w:r>
      <w:r w:rsidRPr="004C693B">
        <w:t xml:space="preserve">États sans élément inscrit, ainsi que cinq dossiers </w:t>
      </w:r>
      <w:r w:rsidR="002F0AD0" w:rsidRPr="004C693B">
        <w:t xml:space="preserve">multinationaux </w:t>
      </w:r>
      <w:r w:rsidRPr="004C693B">
        <w:t xml:space="preserve">comportant au moins un État </w:t>
      </w:r>
      <w:r w:rsidR="00CF7AB8" w:rsidRPr="004C693B">
        <w:t xml:space="preserve">soumissionnaire </w:t>
      </w:r>
      <w:r w:rsidRPr="004C693B">
        <w:t xml:space="preserve">sans élément inscrit. Parmi les soixante dossiers, trois ont été </w:t>
      </w:r>
      <w:r w:rsidR="00CF7AB8" w:rsidRPr="004C693B">
        <w:t>renvoyés lors d</w:t>
      </w:r>
      <w:r w:rsidR="00FB39FB">
        <w:t>’</w:t>
      </w:r>
      <w:r w:rsidRPr="004C693B">
        <w:t>un cycle précédent et un dossier concerne l</w:t>
      </w:r>
      <w:r w:rsidR="00FB39FB">
        <w:t>’</w:t>
      </w:r>
      <w:r w:rsidRPr="004C693B">
        <w:t>extension d</w:t>
      </w:r>
      <w:r w:rsidR="00FB39FB">
        <w:t>’</w:t>
      </w:r>
      <w:r w:rsidRPr="004C693B">
        <w:t>un élément inscrit. La répartition des soixante dossiers selon le mécanisme est la suivante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2"/>
        <w:gridCol w:w="635"/>
      </w:tblGrid>
      <w:tr w:rsidR="002D79CE" w:rsidRPr="004C693B" w14:paraId="2A900BA1" w14:textId="77777777" w:rsidTr="00514789">
        <w:trPr>
          <w:cantSplit/>
          <w:jc w:val="center"/>
        </w:trPr>
        <w:tc>
          <w:tcPr>
            <w:tcW w:w="5222" w:type="dxa"/>
          </w:tcPr>
          <w:p w14:paraId="3ECC20F3" w14:textId="7358D12B" w:rsidR="002D79CE" w:rsidRPr="004C693B" w:rsidRDefault="004462E4" w:rsidP="00BE0810">
            <w:pPr>
              <w:pStyle w:val="COMPara"/>
              <w:keepNext/>
              <w:spacing w:before="120"/>
              <w:rPr>
                <w:color w:val="000000" w:themeColor="text1"/>
              </w:rPr>
            </w:pPr>
            <w:r w:rsidRPr="004C693B">
              <w:rPr>
                <w:color w:val="000000" w:themeColor="text1"/>
              </w:rPr>
              <w:lastRenderedPageBreak/>
              <w:t>Liste de sauvegarde urgente</w:t>
            </w:r>
          </w:p>
        </w:tc>
        <w:tc>
          <w:tcPr>
            <w:tcW w:w="635" w:type="dxa"/>
          </w:tcPr>
          <w:p w14:paraId="3818CD7D" w14:textId="77777777" w:rsidR="002D79CE" w:rsidRPr="004C693B" w:rsidRDefault="002D79CE" w:rsidP="00BE0810">
            <w:pPr>
              <w:pStyle w:val="COMPara"/>
              <w:keepNext/>
              <w:spacing w:before="120"/>
              <w:jc w:val="right"/>
              <w:rPr>
                <w:color w:val="000000" w:themeColor="text1"/>
              </w:rPr>
            </w:pPr>
            <w:r w:rsidRPr="004C693B">
              <w:rPr>
                <w:color w:val="000000" w:themeColor="text1"/>
              </w:rPr>
              <w:t>6</w:t>
            </w:r>
          </w:p>
        </w:tc>
      </w:tr>
      <w:tr w:rsidR="002D79CE" w:rsidRPr="004C693B" w14:paraId="01708BE8" w14:textId="77777777" w:rsidTr="00514789">
        <w:trPr>
          <w:cantSplit/>
          <w:jc w:val="center"/>
        </w:trPr>
        <w:tc>
          <w:tcPr>
            <w:tcW w:w="5222" w:type="dxa"/>
          </w:tcPr>
          <w:p w14:paraId="731AE372" w14:textId="77777777" w:rsidR="002D79CE" w:rsidRPr="004C693B" w:rsidRDefault="002D79CE" w:rsidP="00BE0810">
            <w:pPr>
              <w:pStyle w:val="COMPara"/>
              <w:keepNext/>
              <w:spacing w:before="120"/>
              <w:jc w:val="both"/>
              <w:rPr>
                <w:color w:val="000000" w:themeColor="text1"/>
              </w:rPr>
            </w:pPr>
            <w:r w:rsidRPr="004C693B">
              <w:rPr>
                <w:color w:val="000000" w:themeColor="text1"/>
              </w:rPr>
              <w:t>Liste représentative</w:t>
            </w:r>
          </w:p>
        </w:tc>
        <w:tc>
          <w:tcPr>
            <w:tcW w:w="635" w:type="dxa"/>
          </w:tcPr>
          <w:p w14:paraId="699482F3" w14:textId="77777777" w:rsidR="002D79CE" w:rsidRPr="004C693B" w:rsidRDefault="002D79CE" w:rsidP="00BE0810">
            <w:pPr>
              <w:pStyle w:val="COMPara"/>
              <w:keepNext/>
              <w:spacing w:before="120"/>
              <w:jc w:val="right"/>
              <w:rPr>
                <w:color w:val="000000" w:themeColor="text1"/>
              </w:rPr>
            </w:pPr>
            <w:r w:rsidRPr="004C693B">
              <w:rPr>
                <w:color w:val="000000" w:themeColor="text1"/>
              </w:rPr>
              <w:t>48</w:t>
            </w:r>
          </w:p>
        </w:tc>
      </w:tr>
      <w:tr w:rsidR="002D79CE" w:rsidRPr="004C693B" w14:paraId="797AD2F5" w14:textId="77777777" w:rsidTr="00514789">
        <w:trPr>
          <w:cantSplit/>
          <w:jc w:val="center"/>
        </w:trPr>
        <w:tc>
          <w:tcPr>
            <w:tcW w:w="5222" w:type="dxa"/>
          </w:tcPr>
          <w:p w14:paraId="55B3FEC6" w14:textId="01CF1E5E" w:rsidR="002D79CE" w:rsidRPr="004C693B" w:rsidRDefault="002D79CE" w:rsidP="00BE0810">
            <w:pPr>
              <w:pStyle w:val="COMPara"/>
              <w:keepNext/>
              <w:spacing w:before="120"/>
              <w:jc w:val="both"/>
              <w:rPr>
                <w:color w:val="000000" w:themeColor="text1"/>
              </w:rPr>
            </w:pPr>
            <w:r w:rsidRPr="004C693B">
              <w:rPr>
                <w:color w:val="000000" w:themeColor="text1"/>
              </w:rPr>
              <w:t>Registre de bonnes pratiques de sauvegarde</w:t>
            </w:r>
          </w:p>
        </w:tc>
        <w:tc>
          <w:tcPr>
            <w:tcW w:w="635" w:type="dxa"/>
          </w:tcPr>
          <w:p w14:paraId="7541D44F" w14:textId="77777777" w:rsidR="002D79CE" w:rsidRPr="004C693B" w:rsidRDefault="002D79CE" w:rsidP="00BE0810">
            <w:pPr>
              <w:pStyle w:val="COMPara"/>
              <w:keepNext/>
              <w:spacing w:before="120"/>
              <w:jc w:val="right"/>
              <w:rPr>
                <w:color w:val="000000" w:themeColor="text1"/>
              </w:rPr>
            </w:pPr>
            <w:r w:rsidRPr="004C693B">
              <w:rPr>
                <w:color w:val="000000" w:themeColor="text1"/>
              </w:rPr>
              <w:t>5</w:t>
            </w:r>
          </w:p>
        </w:tc>
      </w:tr>
      <w:tr w:rsidR="002D79CE" w:rsidRPr="004C693B" w14:paraId="01AD0E76" w14:textId="77777777" w:rsidTr="00514789">
        <w:trPr>
          <w:cantSplit/>
          <w:jc w:val="center"/>
        </w:trPr>
        <w:tc>
          <w:tcPr>
            <w:tcW w:w="5222" w:type="dxa"/>
          </w:tcPr>
          <w:p w14:paraId="77FBEF5F" w14:textId="77777777" w:rsidR="002D79CE" w:rsidRPr="004C693B" w:rsidRDefault="002D79CE" w:rsidP="00BE0810">
            <w:pPr>
              <w:pStyle w:val="COMPara"/>
              <w:keepNext/>
              <w:spacing w:before="120"/>
              <w:jc w:val="both"/>
              <w:rPr>
                <w:color w:val="000000" w:themeColor="text1"/>
              </w:rPr>
            </w:pPr>
            <w:r w:rsidRPr="004C693B">
              <w:rPr>
                <w:color w:val="000000" w:themeColor="text1"/>
              </w:rPr>
              <w:t>Assistance internationale</w:t>
            </w:r>
          </w:p>
        </w:tc>
        <w:tc>
          <w:tcPr>
            <w:tcW w:w="635" w:type="dxa"/>
          </w:tcPr>
          <w:p w14:paraId="171AFEC8" w14:textId="77777777" w:rsidR="002D79CE" w:rsidRPr="004C693B" w:rsidRDefault="002D79CE" w:rsidP="00BE0810">
            <w:pPr>
              <w:pStyle w:val="COMPara"/>
              <w:keepNext/>
              <w:spacing w:before="120"/>
              <w:jc w:val="right"/>
              <w:rPr>
                <w:color w:val="000000" w:themeColor="text1"/>
              </w:rPr>
            </w:pPr>
            <w:r w:rsidRPr="004C693B">
              <w:rPr>
                <w:color w:val="000000" w:themeColor="text1"/>
              </w:rPr>
              <w:t>1</w:t>
            </w:r>
          </w:p>
        </w:tc>
      </w:tr>
      <w:tr w:rsidR="002D79CE" w:rsidRPr="004C693B" w14:paraId="046D09EB" w14:textId="77777777" w:rsidTr="00514789">
        <w:trPr>
          <w:cantSplit/>
          <w:jc w:val="center"/>
        </w:trPr>
        <w:tc>
          <w:tcPr>
            <w:tcW w:w="5222" w:type="dxa"/>
          </w:tcPr>
          <w:p w14:paraId="67106323" w14:textId="77777777" w:rsidR="002D79CE" w:rsidRPr="004C693B" w:rsidRDefault="002D79CE" w:rsidP="00BE0810">
            <w:pPr>
              <w:pStyle w:val="COMPara"/>
              <w:spacing w:before="120"/>
              <w:jc w:val="both"/>
              <w:rPr>
                <w:b/>
                <w:color w:val="000000" w:themeColor="text1"/>
              </w:rPr>
            </w:pPr>
            <w:r w:rsidRPr="004C693B">
              <w:rPr>
                <w:b/>
                <w:color w:val="000000" w:themeColor="text1"/>
              </w:rPr>
              <w:t>Total</w:t>
            </w:r>
          </w:p>
        </w:tc>
        <w:tc>
          <w:tcPr>
            <w:tcW w:w="635" w:type="dxa"/>
          </w:tcPr>
          <w:p w14:paraId="7AB81E3D" w14:textId="77777777" w:rsidR="002D79CE" w:rsidRPr="004C693B" w:rsidRDefault="002D79CE" w:rsidP="00BE0810">
            <w:pPr>
              <w:pStyle w:val="COMPara"/>
              <w:spacing w:before="120"/>
              <w:jc w:val="right"/>
              <w:rPr>
                <w:b/>
                <w:color w:val="000000" w:themeColor="text1"/>
              </w:rPr>
            </w:pPr>
            <w:r w:rsidRPr="004C693B">
              <w:rPr>
                <w:b/>
                <w:color w:val="000000" w:themeColor="text1"/>
              </w:rPr>
              <w:t>60</w:t>
            </w:r>
          </w:p>
        </w:tc>
      </w:tr>
    </w:tbl>
    <w:p w14:paraId="6622244E" w14:textId="77777777" w:rsidR="002D79CE" w:rsidRPr="004C693B" w:rsidRDefault="002D79CE" w:rsidP="002D79CE">
      <w:pPr>
        <w:pStyle w:val="COMPara"/>
        <w:ind w:left="360" w:hanging="360"/>
        <w:jc w:val="both"/>
      </w:pPr>
    </w:p>
    <w:p w14:paraId="46D7BD6C" w14:textId="6F0E0896" w:rsidR="002D79CE" w:rsidRPr="004C693B" w:rsidRDefault="002D79CE" w:rsidP="00B1188E">
      <w:pPr>
        <w:pStyle w:val="COMPara"/>
        <w:numPr>
          <w:ilvl w:val="0"/>
          <w:numId w:val="12"/>
        </w:numPr>
        <w:ind w:left="567" w:hanging="567"/>
        <w:jc w:val="both"/>
      </w:pPr>
      <w:r w:rsidRPr="004C693B">
        <w:t>L</w:t>
      </w:r>
      <w:r w:rsidR="00FB39FB">
        <w:t>’</w:t>
      </w:r>
      <w:r w:rsidRPr="004C693B">
        <w:t>Organe d</w:t>
      </w:r>
      <w:r w:rsidR="00FB39FB">
        <w:t>’</w:t>
      </w:r>
      <w:r w:rsidRPr="004C693B">
        <w:t>évaluation s</w:t>
      </w:r>
      <w:r w:rsidR="00FB39FB">
        <w:t>’</w:t>
      </w:r>
      <w:r w:rsidRPr="004C693B">
        <w:t>est réuni pour la première fois dans le cadre du cycle 2021 les 4 et 5 mars 2021. En raison de la pandémie de COVID-19, la réunion a eu lieu en ligne à raison de trois heures par jour. Les principaux objectifs de la réunion ont été la familiarisation avec la nature des missions, les méthodes de travail de l</w:t>
      </w:r>
      <w:r w:rsidR="00FB39FB">
        <w:t>’</w:t>
      </w:r>
      <w:r w:rsidRPr="004C693B">
        <w:t>Organe d</w:t>
      </w:r>
      <w:r w:rsidR="00FB39FB">
        <w:t>’</w:t>
      </w:r>
      <w:r w:rsidRPr="004C693B">
        <w:t>évaluation et le calendrier du cycle 2021, ainsi que les discussions sur les questions transversales observées au cours des cycles passés. Après consultation des douze membres, l</w:t>
      </w:r>
      <w:r w:rsidR="00FB39FB">
        <w:t>’</w:t>
      </w:r>
      <w:r w:rsidRPr="004C693B">
        <w:t>Organe d</w:t>
      </w:r>
      <w:r w:rsidR="00FB39FB">
        <w:t>’</w:t>
      </w:r>
      <w:r w:rsidRPr="004C693B">
        <w:t>évaluation a élu Mme Ľubica Voľanská (Slovaquie) au poste de Présidente, M. Pier Luigi Petrillo (Italie) au poste de Vice-Président et M. Nigel Encalada (Belize) au poste de Rapporteur.</w:t>
      </w:r>
    </w:p>
    <w:p w14:paraId="5D8AA017" w14:textId="606F6AC4" w:rsidR="002D79CE" w:rsidRPr="004C693B" w:rsidRDefault="002D79CE" w:rsidP="00B1188E">
      <w:pPr>
        <w:pStyle w:val="COMPara"/>
        <w:numPr>
          <w:ilvl w:val="0"/>
          <w:numId w:val="12"/>
        </w:numPr>
        <w:ind w:left="567" w:hanging="567"/>
        <w:jc w:val="both"/>
      </w:pPr>
      <w:r w:rsidRPr="004C693B">
        <w:t>La deuxième réunion de l</w:t>
      </w:r>
      <w:r w:rsidR="00FB39FB">
        <w:t>’</w:t>
      </w:r>
      <w:r w:rsidRPr="004C693B">
        <w:t>Organe d</w:t>
      </w:r>
      <w:r w:rsidR="00FB39FB">
        <w:t>’</w:t>
      </w:r>
      <w:r w:rsidRPr="004C693B">
        <w:t xml:space="preserve">évaluation en juin a également été organisée en ligne en raison de la situation sanitaire </w:t>
      </w:r>
      <w:r w:rsidR="00CF7AB8" w:rsidRPr="004C693B">
        <w:t>en cours</w:t>
      </w:r>
      <w:r w:rsidRPr="004C693B">
        <w:t>. À cette fin, une réunion préparatoire s</w:t>
      </w:r>
      <w:r w:rsidR="00FB39FB">
        <w:t>’</w:t>
      </w:r>
      <w:r w:rsidRPr="004C693B">
        <w:t>est tenue le 21 mai 2021 afin d</w:t>
      </w:r>
      <w:r w:rsidR="00FB39FB">
        <w:t>’</w:t>
      </w:r>
      <w:r w:rsidRPr="004C693B">
        <w:t>examiner le calendrier et les méthodes de travail de la réunion de juin.</w:t>
      </w:r>
    </w:p>
    <w:p w14:paraId="2A2C739D" w14:textId="5FF1F022" w:rsidR="002D79CE" w:rsidRPr="004C693B" w:rsidRDefault="002D79CE" w:rsidP="00B1188E">
      <w:pPr>
        <w:pStyle w:val="COMPara"/>
        <w:numPr>
          <w:ilvl w:val="0"/>
          <w:numId w:val="12"/>
        </w:numPr>
        <w:ind w:left="567" w:hanging="567"/>
        <w:jc w:val="both"/>
      </w:pPr>
      <w:r w:rsidRPr="004C693B">
        <w:t xml:space="preserve">Comme cela fut le cas pour les cycles précédents, le Secrétariat a créé un site </w:t>
      </w:r>
      <w:r w:rsidR="009A1EB4" w:rsidRPr="004C693B">
        <w:t xml:space="preserve">internet </w:t>
      </w:r>
      <w:r w:rsidRPr="004C693B">
        <w:t>dédié protégé par un mot de passe, par le biais duquel les membres ont pu consulter les documents des réunions, les dossiers à évaluer, ainsi que la documentation complémentaire éventuelle. Une liste de diffusion par courrier électronique a permis de faciliter la communication entre les membres de l</w:t>
      </w:r>
      <w:r w:rsidR="00FB39FB">
        <w:t>’</w:t>
      </w:r>
      <w:r w:rsidRPr="004C693B">
        <w:t>Organe d</w:t>
      </w:r>
      <w:r w:rsidR="00FB39FB">
        <w:t>’</w:t>
      </w:r>
      <w:r w:rsidRPr="004C693B">
        <w:t>évaluation. Chaque membre de l</w:t>
      </w:r>
      <w:r w:rsidR="00FB39FB">
        <w:t>’</w:t>
      </w:r>
      <w:r w:rsidRPr="004C693B">
        <w:t>Organe a évalué chaque dossier en ligne, puis élaboré des opinions et des recommandations individuelles expliquant dans quelle mesure et de quelle manière il a</w:t>
      </w:r>
      <w:r w:rsidR="00FA230B" w:rsidRPr="004C693B">
        <w:t>vait</w:t>
      </w:r>
      <w:r w:rsidRPr="004C693B">
        <w:t xml:space="preserve"> répondu aux critères applicables. Par ailleurs, afin de faciliter les consultations entre les membres avant et pendant la réunion, et afin d</w:t>
      </w:r>
      <w:r w:rsidR="00FB39FB">
        <w:t>’</w:t>
      </w:r>
      <w:r w:rsidRPr="004C693B">
        <w:t>encourager l</w:t>
      </w:r>
      <w:r w:rsidR="00FB39FB">
        <w:t>’</w:t>
      </w:r>
      <w:r w:rsidRPr="004C693B">
        <w:t>établissement d</w:t>
      </w:r>
      <w:r w:rsidR="00FB39FB">
        <w:t>’</w:t>
      </w:r>
      <w:r w:rsidRPr="004C693B">
        <w:t>un consensus, le Secrétariat s</w:t>
      </w:r>
      <w:r w:rsidR="00FB39FB">
        <w:t>’</w:t>
      </w:r>
      <w:r w:rsidRPr="004C693B">
        <w:t xml:space="preserve">est fondé sur les </w:t>
      </w:r>
      <w:r w:rsidR="00A10B17" w:rsidRPr="004C693B">
        <w:t xml:space="preserve">fonctionnalités </w:t>
      </w:r>
      <w:r w:rsidRPr="004C693B">
        <w:t>existantes initialement développées pour le cycle 2020 dans l</w:t>
      </w:r>
      <w:r w:rsidR="00FB39FB">
        <w:t>’</w:t>
      </w:r>
      <w:r w:rsidRPr="004C693B">
        <w:t xml:space="preserve">interface en ligne. Ces </w:t>
      </w:r>
      <w:r w:rsidR="00A10B17" w:rsidRPr="004C693B">
        <w:t>fonctionnalités</w:t>
      </w:r>
      <w:r w:rsidRPr="004C693B">
        <w:t xml:space="preserve"> additionnelles sont devenues pleinement opérationnelles au cours du cycle 2021, et ont permis à l</w:t>
      </w:r>
      <w:r w:rsidR="00FB39FB">
        <w:t>’</w:t>
      </w:r>
      <w:r w:rsidRPr="004C693B">
        <w:t>Organe d</w:t>
      </w:r>
      <w:r w:rsidR="00FB39FB">
        <w:t>’</w:t>
      </w:r>
      <w:r w:rsidRPr="004C693B">
        <w:t>évaluation de procéder à des échanges en dehors de la réunion, de consulter mutuellement le</w:t>
      </w:r>
      <w:r w:rsidR="00A10B17" w:rsidRPr="004C693B">
        <w:t>ur</w:t>
      </w:r>
      <w:r w:rsidRPr="004C693B">
        <w:t>s textes d</w:t>
      </w:r>
      <w:r w:rsidR="00FB39FB">
        <w:t>’</w:t>
      </w:r>
      <w:r w:rsidRPr="004C693B">
        <w:t>évaluation et d</w:t>
      </w:r>
      <w:r w:rsidR="00FB39FB">
        <w:t>’</w:t>
      </w:r>
      <w:r w:rsidRPr="004C693B">
        <w:t>engager des discussions écrites jusqu</w:t>
      </w:r>
      <w:r w:rsidR="00FB39FB">
        <w:t>’</w:t>
      </w:r>
      <w:r w:rsidRPr="004C693B">
        <w:t>à seize jours avant la réunion en ligne.</w:t>
      </w:r>
    </w:p>
    <w:p w14:paraId="065C1F09" w14:textId="060C9B47" w:rsidR="002D79CE" w:rsidRPr="004C693B" w:rsidRDefault="002D79CE" w:rsidP="00B1188E">
      <w:pPr>
        <w:pStyle w:val="COMPara"/>
        <w:numPr>
          <w:ilvl w:val="0"/>
          <w:numId w:val="12"/>
        </w:numPr>
        <w:ind w:left="567" w:hanging="567"/>
        <w:jc w:val="both"/>
      </w:pPr>
      <w:r w:rsidRPr="004C693B">
        <w:t>L</w:t>
      </w:r>
      <w:r w:rsidR="00FB39FB">
        <w:t>’</w:t>
      </w:r>
      <w:r w:rsidRPr="004C693B">
        <w:t>Organe d</w:t>
      </w:r>
      <w:r w:rsidR="00FB39FB">
        <w:t>’</w:t>
      </w:r>
      <w:r w:rsidRPr="004C693B">
        <w:t>évaluation s</w:t>
      </w:r>
      <w:r w:rsidR="00FB39FB">
        <w:t>’</w:t>
      </w:r>
      <w:r w:rsidRPr="004C693B">
        <w:t xml:space="preserve">est réuni en ligne du 7 au 12 juin 2021. Compte tenu du nombre de dossiers </w:t>
      </w:r>
      <w:r w:rsidR="00C77ED5" w:rsidRPr="004C693B">
        <w:t xml:space="preserve">supplémentaires </w:t>
      </w:r>
      <w:r w:rsidRPr="004C693B">
        <w:t xml:space="preserve">à examiner </w:t>
      </w:r>
      <w:r w:rsidR="00236FE7" w:rsidRPr="004C693B">
        <w:t xml:space="preserve">lors du </w:t>
      </w:r>
      <w:r w:rsidRPr="004C693B">
        <w:t>présent cycle, la réunion s</w:t>
      </w:r>
      <w:r w:rsidR="00FB39FB">
        <w:t>’</w:t>
      </w:r>
      <w:r w:rsidRPr="004C693B">
        <w:t>est déroulée sur une période de six jours, au lieu de la réunion en ligne de cinq jours qui avait eu lieu l</w:t>
      </w:r>
      <w:r w:rsidR="00FB39FB">
        <w:t>’</w:t>
      </w:r>
      <w:r w:rsidRPr="004C693B">
        <w:t>année précédente. L</w:t>
      </w:r>
      <w:r w:rsidR="00FB39FB">
        <w:t>’</w:t>
      </w:r>
      <w:r w:rsidRPr="004C693B">
        <w:t>Organe s</w:t>
      </w:r>
      <w:r w:rsidR="00FB39FB">
        <w:t>’</w:t>
      </w:r>
      <w:r w:rsidRPr="004C693B">
        <w:t>est réuni à raison de trois heures quotidiennes, de 13 heures à 16 heures (heure de Paris), soit un total de dix-huit heures. La méthodologie de travail employée pour la réunion a largement suivi la même approche que lors des années précédentes. Bien que les membres se soient bien adaptés au contexte en ligne, ils ont également noté les défis de cette modalité de travail, en particulier compte tenu du décalage horaire considérable entre ses membres. Les membres ont estimé que la modalité de travail en ligne n</w:t>
      </w:r>
      <w:r w:rsidR="00FB39FB">
        <w:t>’</w:t>
      </w:r>
      <w:r w:rsidRPr="004C693B">
        <w:t>était pas propice au maintien du</w:t>
      </w:r>
      <w:r w:rsidR="00A10B17" w:rsidRPr="004C693B">
        <w:t xml:space="preserve"> même</w:t>
      </w:r>
      <w:r w:rsidRPr="004C693B">
        <w:t xml:space="preserve"> niveau de qualité et d</w:t>
      </w:r>
      <w:r w:rsidR="00FB39FB">
        <w:t>’</w:t>
      </w:r>
      <w:r w:rsidRPr="004C693B">
        <w:t>approfondissement des interactions comparativement aux réunions en personne. Néanmoins, l</w:t>
      </w:r>
      <w:r w:rsidR="00FB39FB">
        <w:t>’</w:t>
      </w:r>
      <w:r w:rsidRPr="004C693B">
        <w:t>Organe est parvenu à un consensus sur l</w:t>
      </w:r>
      <w:r w:rsidR="00FB39FB">
        <w:t>’</w:t>
      </w:r>
      <w:r w:rsidRPr="004C693B">
        <w:t>émission de sa recommandation pour les soixante dossiers et leurs critères, ainsi que pour les questions transversales. Ce succès a été en grande partie rendu possible par l</w:t>
      </w:r>
      <w:r w:rsidR="00FB39FB">
        <w:t>’</w:t>
      </w:r>
      <w:r w:rsidRPr="004C693B">
        <w:t>intense travail préliminaire effectué par les membres via l</w:t>
      </w:r>
      <w:r w:rsidR="00FB39FB">
        <w:t>’</w:t>
      </w:r>
      <w:r w:rsidRPr="004C693B">
        <w:t>interface en ligne, dont ils ont souligné qu</w:t>
      </w:r>
      <w:r w:rsidR="00FB39FB">
        <w:t>’</w:t>
      </w:r>
      <w:r w:rsidRPr="004C693B">
        <w:t>il s</w:t>
      </w:r>
      <w:r w:rsidR="00FB39FB">
        <w:t>’</w:t>
      </w:r>
      <w:r w:rsidRPr="004C693B">
        <w:t>agissait d</w:t>
      </w:r>
      <w:r w:rsidR="00FB39FB">
        <w:t>’</w:t>
      </w:r>
      <w:r w:rsidRPr="004C693B">
        <w:t xml:space="preserve">un outil particulièrement utile et bien conçu pour faciliter leur travail. Sur la base des discussions tenues </w:t>
      </w:r>
      <w:r w:rsidRPr="004C693B">
        <w:lastRenderedPageBreak/>
        <w:t>au cours de la réunion et en ligne, le Rapporteur a établi un projet de décision pour chaque dossier, ainsi que des observations et recommandations générales de l</w:t>
      </w:r>
      <w:r w:rsidR="00FB39FB">
        <w:t>’</w:t>
      </w:r>
      <w:r w:rsidRPr="004C693B">
        <w:t>Organe.</w:t>
      </w:r>
    </w:p>
    <w:p w14:paraId="171F5D4F" w14:textId="03B59313" w:rsidR="002D79CE" w:rsidRPr="004C693B" w:rsidRDefault="002D79CE" w:rsidP="00B1188E">
      <w:pPr>
        <w:pStyle w:val="COMPara"/>
        <w:numPr>
          <w:ilvl w:val="0"/>
          <w:numId w:val="12"/>
        </w:numPr>
        <w:ind w:left="567" w:hanging="567"/>
        <w:jc w:val="both"/>
      </w:pPr>
      <w:r w:rsidRPr="004C693B">
        <w:t xml:space="preserve">Le cycle 2021 est le deuxième cycle au cours duquel le processus de dialogue a été mis en œuvre dans son intégralité. Durant ce cycle, le processus de dialogue a impliqué quinze dossiers. </w:t>
      </w:r>
      <w:r w:rsidR="009A35B6" w:rsidRPr="004C693B">
        <w:t xml:space="preserve">Ceux-ci concernaient </w:t>
      </w:r>
      <w:r w:rsidRPr="004C693B">
        <w:t xml:space="preserve">notamment onze candidatures à la Liste représentative, deux candidatures sur la </w:t>
      </w:r>
      <w:r w:rsidR="004462E4" w:rsidRPr="004C693B">
        <w:t>Liste de sauvegarde urgente</w:t>
      </w:r>
      <w:r w:rsidRPr="004C693B">
        <w:t>, dont une combinant une demande d</w:t>
      </w:r>
      <w:r w:rsidR="00FB39FB">
        <w:t>’</w:t>
      </w:r>
      <w:r w:rsidRPr="004C693B">
        <w:t>assistance internationale, une proposition d</w:t>
      </w:r>
      <w:r w:rsidR="00FB39FB">
        <w:t>’</w:t>
      </w:r>
      <w:r w:rsidRPr="004C693B">
        <w:t>inscription au Registre de bonnes pratiques de sauvegarde et, pour la première fois, une demande d</w:t>
      </w:r>
      <w:r w:rsidR="00FB39FB">
        <w:t>’</w:t>
      </w:r>
      <w:r w:rsidRPr="004C693B">
        <w:t>assistance internationale. Dans quatre cas, l</w:t>
      </w:r>
      <w:r w:rsidR="00FB39FB">
        <w:t>’</w:t>
      </w:r>
      <w:r w:rsidRPr="004C693B">
        <w:t xml:space="preserve">Organe a </w:t>
      </w:r>
      <w:r w:rsidR="00A65BD9" w:rsidRPr="004C693B">
        <w:t xml:space="preserve">formulé </w:t>
      </w:r>
      <w:r w:rsidRPr="004C693B">
        <w:t xml:space="preserve">des questions </w:t>
      </w:r>
      <w:r w:rsidR="00A65BD9" w:rsidRPr="004C693B">
        <w:t xml:space="preserve">concernant </w:t>
      </w:r>
      <w:r w:rsidRPr="004C693B">
        <w:t>plus d</w:t>
      </w:r>
      <w:r w:rsidR="00FB39FB">
        <w:t>’</w:t>
      </w:r>
      <w:r w:rsidRPr="004C693B">
        <w:t>un critère</w:t>
      </w:r>
      <w:r w:rsidR="00A65BD9" w:rsidRPr="004C693B">
        <w:t xml:space="preserve">, </w:t>
      </w:r>
      <w:r w:rsidRPr="004C693B">
        <w:t>et jusqu</w:t>
      </w:r>
      <w:r w:rsidR="00FB39FB">
        <w:t>’</w:t>
      </w:r>
      <w:r w:rsidRPr="004C693B">
        <w:t>à trois critères</w:t>
      </w:r>
      <w:r w:rsidR="000C0420" w:rsidRPr="004C693B">
        <w:t>, pour un total de vingt-deux questions</w:t>
      </w:r>
      <w:r w:rsidRPr="004C693B">
        <w:t>. Les questions de l</w:t>
      </w:r>
      <w:r w:rsidR="00FB39FB">
        <w:t>’</w:t>
      </w:r>
      <w:r w:rsidRPr="004C693B">
        <w:t>Organe d</w:t>
      </w:r>
      <w:r w:rsidR="00FB39FB">
        <w:t>’</w:t>
      </w:r>
      <w:r w:rsidRPr="004C693B">
        <w:t xml:space="preserve">évaluation ont été adressées aux </w:t>
      </w:r>
      <w:r w:rsidR="00FD6D25" w:rsidRPr="004C693B">
        <w:t>É</w:t>
      </w:r>
      <w:r w:rsidRPr="004C693B">
        <w:t xml:space="preserve">tats </w:t>
      </w:r>
      <w:r w:rsidR="00A10B17" w:rsidRPr="004C693B">
        <w:t xml:space="preserve">soumissionnaires </w:t>
      </w:r>
      <w:r w:rsidRPr="004C693B">
        <w:t>concernés le 25 juin 2021, assorties d</w:t>
      </w:r>
      <w:r w:rsidR="00FB39FB">
        <w:t>’</w:t>
      </w:r>
      <w:r w:rsidRPr="004C693B">
        <w:t>un délai de quatre semaines pour fournir les informations demandées dans les deux langues de travail de la Convention. Les questions de l</w:t>
      </w:r>
      <w:r w:rsidR="00FB39FB">
        <w:t>’</w:t>
      </w:r>
      <w:r w:rsidRPr="004C693B">
        <w:t>Organe d</w:t>
      </w:r>
      <w:r w:rsidR="00FB39FB">
        <w:t>’</w:t>
      </w:r>
      <w:r w:rsidRPr="004C693B">
        <w:t xml:space="preserve">évaluation et les réponses des </w:t>
      </w:r>
      <w:r w:rsidR="00AB13A7" w:rsidRPr="004C693B">
        <w:t>États</w:t>
      </w:r>
      <w:r w:rsidRPr="004C693B">
        <w:t xml:space="preserve"> </w:t>
      </w:r>
      <w:r w:rsidR="00A10B17" w:rsidRPr="004C693B">
        <w:t xml:space="preserve">soumissionnaires </w:t>
      </w:r>
      <w:r w:rsidRPr="004C693B">
        <w:t xml:space="preserve">sont jointes à leurs dossiers de candidature respectifs sur la </w:t>
      </w:r>
      <w:hyperlink r:id="rId21" w:history="1">
        <w:r w:rsidRPr="004C693B">
          <w:rPr>
            <w:rStyle w:val="Hyperlink"/>
          </w:rPr>
          <w:t xml:space="preserve">page </w:t>
        </w:r>
        <w:r w:rsidR="00754350" w:rsidRPr="004C693B">
          <w:rPr>
            <w:rStyle w:val="Hyperlink"/>
          </w:rPr>
          <w:t>Internet</w:t>
        </w:r>
        <w:r w:rsidRPr="004C693B">
          <w:rPr>
            <w:rStyle w:val="Hyperlink"/>
          </w:rPr>
          <w:t xml:space="preserve"> </w:t>
        </w:r>
        <w:r w:rsidR="00A10B17" w:rsidRPr="004C693B">
          <w:rPr>
            <w:rStyle w:val="Hyperlink"/>
          </w:rPr>
          <w:t xml:space="preserve">du </w:t>
        </w:r>
        <w:r w:rsidRPr="004C693B">
          <w:rPr>
            <w:rStyle w:val="Hyperlink"/>
          </w:rPr>
          <w:t>16.COM.</w:t>
        </w:r>
      </w:hyperlink>
    </w:p>
    <w:p w14:paraId="294B6CA7" w14:textId="2992E6DB" w:rsidR="002D79CE" w:rsidRPr="004C693B" w:rsidRDefault="002D79CE" w:rsidP="00B1188E">
      <w:pPr>
        <w:pStyle w:val="COMPara"/>
        <w:numPr>
          <w:ilvl w:val="0"/>
          <w:numId w:val="12"/>
        </w:numPr>
        <w:ind w:left="567" w:hanging="567"/>
        <w:jc w:val="both"/>
      </w:pPr>
      <w:r w:rsidRPr="004C693B">
        <w:t>L</w:t>
      </w:r>
      <w:r w:rsidR="00FB39FB">
        <w:t>’</w:t>
      </w:r>
      <w:r w:rsidRPr="004C693B">
        <w:t>Organe d</w:t>
      </w:r>
      <w:r w:rsidR="00FB39FB">
        <w:t>’</w:t>
      </w:r>
      <w:r w:rsidRPr="004C693B">
        <w:t>évaluation s</w:t>
      </w:r>
      <w:r w:rsidR="00FB39FB">
        <w:t>’</w:t>
      </w:r>
      <w:r w:rsidRPr="004C693B">
        <w:t>est réuni à nouveau du 14 au 17 septembre 2021 afin de valider les projets de décisions pour chaque dossier et adopter ses rapports. L</w:t>
      </w:r>
      <w:r w:rsidR="00FB39FB">
        <w:t>’</w:t>
      </w:r>
      <w:r w:rsidRPr="004C693B">
        <w:t>Organe a finalisé ses recommandations sur les quinze dossiers concernés par la procédure de dialogue d</w:t>
      </w:r>
      <w:r w:rsidR="00FB39FB">
        <w:t>’</w:t>
      </w:r>
      <w:r w:rsidRPr="004C693B">
        <w:t>après les réponses fournies par les États parties concernés. Conformément au paragraphe 55 des Directives opérationnelles dûment amendées, les résultats de la procédure de dialogue ont été directement inclus dans les projets de décisions soumis au Comité.</w:t>
      </w:r>
      <w:r w:rsidR="000C0420" w:rsidRPr="004C693B">
        <w:t xml:space="preserve"> Comme pour la réunion de juin, les membres de l</w:t>
      </w:r>
      <w:r w:rsidR="00FB39FB">
        <w:t>’</w:t>
      </w:r>
      <w:r w:rsidR="000C0420" w:rsidRPr="004C693B">
        <w:t>Organe d</w:t>
      </w:r>
      <w:r w:rsidR="00FB39FB">
        <w:t>’</w:t>
      </w:r>
      <w:r w:rsidR="000C0420" w:rsidRPr="004C693B">
        <w:t xml:space="preserve">évaluation ont rencontré </w:t>
      </w:r>
      <w:r w:rsidR="00754350" w:rsidRPr="004C693B">
        <w:t>les mêmes</w:t>
      </w:r>
      <w:r w:rsidR="000C0420" w:rsidRPr="004C693B">
        <w:t xml:space="preserve"> </w:t>
      </w:r>
      <w:r w:rsidR="005F12EF" w:rsidRPr="004C693B">
        <w:t>difficultés</w:t>
      </w:r>
      <w:r w:rsidR="000C0420" w:rsidRPr="004C693B">
        <w:t xml:space="preserve"> </w:t>
      </w:r>
      <w:r w:rsidR="00754350" w:rsidRPr="004C693B">
        <w:t>du fait de la tenue de la</w:t>
      </w:r>
      <w:r w:rsidR="005F12EF" w:rsidRPr="004C693B">
        <w:t xml:space="preserve"> réunion en ligne</w:t>
      </w:r>
      <w:r w:rsidR="000C0420" w:rsidRPr="004C693B">
        <w:t>.</w:t>
      </w:r>
      <w:r w:rsidRPr="004C693B">
        <w:t xml:space="preserve"> Les soixante projets de décision qui en résultent, présentés dans les cinq rapports respectifs, représentent donc le consensus de l</w:t>
      </w:r>
      <w:r w:rsidR="00FB39FB">
        <w:t>’</w:t>
      </w:r>
      <w:r w:rsidRPr="004C693B">
        <w:t>Organe d</w:t>
      </w:r>
      <w:r w:rsidR="00FB39FB">
        <w:t>’</w:t>
      </w:r>
      <w:r w:rsidRPr="004C693B">
        <w:t>évaluation.</w:t>
      </w:r>
    </w:p>
    <w:p w14:paraId="4D940B0C" w14:textId="18607EA0" w:rsidR="002D79CE" w:rsidRPr="005E79DF" w:rsidRDefault="002D79CE" w:rsidP="00B1188E">
      <w:pPr>
        <w:pStyle w:val="COMPara"/>
        <w:numPr>
          <w:ilvl w:val="0"/>
          <w:numId w:val="12"/>
        </w:numPr>
        <w:ind w:left="567" w:hanging="567"/>
        <w:jc w:val="both"/>
      </w:pPr>
      <w:r w:rsidRPr="005E79DF">
        <w:t>Sur les soixante dossiers examinés par l</w:t>
      </w:r>
      <w:r w:rsidR="00FB39FB" w:rsidRPr="005E79DF">
        <w:t>’</w:t>
      </w:r>
      <w:r w:rsidRPr="005E79DF">
        <w:t>Organe d</w:t>
      </w:r>
      <w:r w:rsidR="00FB39FB" w:rsidRPr="005E79DF">
        <w:t>’</w:t>
      </w:r>
      <w:r w:rsidRPr="005E79DF">
        <w:t xml:space="preserve">évaluation au cours de ce cycle, un total de </w:t>
      </w:r>
      <w:r w:rsidR="006F436E" w:rsidRPr="005E79DF">
        <w:t>quarante-cinq</w:t>
      </w:r>
      <w:r w:rsidRPr="005E79DF">
        <w:t xml:space="preserve"> dossiers (</w:t>
      </w:r>
      <w:r w:rsidR="006F436E" w:rsidRPr="005E79DF">
        <w:t>75</w:t>
      </w:r>
      <w:r w:rsidRPr="005E79DF">
        <w:t> </w:t>
      </w:r>
      <w:r w:rsidR="006F436E" w:rsidRPr="005E79DF">
        <w:t>pour </w:t>
      </w:r>
      <w:r w:rsidR="00A10B17" w:rsidRPr="005E79DF">
        <w:t xml:space="preserve">cent) </w:t>
      </w:r>
      <w:r w:rsidRPr="005E79DF">
        <w:t xml:space="preserve">sont recommandés pour inscription, </w:t>
      </w:r>
      <w:r w:rsidR="00A10B17" w:rsidRPr="005E79DF">
        <w:t>s</w:t>
      </w:r>
      <w:r w:rsidRPr="005E79DF">
        <w:t xml:space="preserve">élection ou approbation, </w:t>
      </w:r>
      <w:r w:rsidR="006F436E" w:rsidRPr="005E79DF">
        <w:t>quatorze </w:t>
      </w:r>
      <w:r w:rsidRPr="005E79DF">
        <w:t>dossiers (</w:t>
      </w:r>
      <w:r w:rsidR="006F436E" w:rsidRPr="005E79DF">
        <w:t>23</w:t>
      </w:r>
      <w:r w:rsidRPr="005E79DF">
        <w:t> </w:t>
      </w:r>
      <w:r w:rsidR="006F436E" w:rsidRPr="005E79DF">
        <w:t>pour </w:t>
      </w:r>
      <w:r w:rsidR="00A10B17" w:rsidRPr="005E79DF">
        <w:t xml:space="preserve">cent) </w:t>
      </w:r>
      <w:r w:rsidRPr="005E79DF">
        <w:t xml:space="preserve">sont recommandés pour renvoi, et </w:t>
      </w:r>
      <w:r w:rsidR="00B144E9" w:rsidRPr="005E79DF">
        <w:t>un</w:t>
      </w:r>
      <w:r w:rsidRPr="005E79DF">
        <w:t> dossier (</w:t>
      </w:r>
      <w:r w:rsidR="006F436E" w:rsidRPr="005E79DF">
        <w:t>2</w:t>
      </w:r>
      <w:r w:rsidRPr="005E79DF">
        <w:t> </w:t>
      </w:r>
      <w:r w:rsidR="00A10B17" w:rsidRPr="005E79DF">
        <w:t xml:space="preserve">pour cent) </w:t>
      </w:r>
      <w:r w:rsidRPr="005E79DF">
        <w:t>n</w:t>
      </w:r>
      <w:r w:rsidR="00FB39FB" w:rsidRPr="005E79DF">
        <w:t>’</w:t>
      </w:r>
      <w:r w:rsidRPr="005E79DF">
        <w:t xml:space="preserve">est pas recommandé pour inscription. La procédure de dialogue a été </w:t>
      </w:r>
      <w:r w:rsidR="00A8530C" w:rsidRPr="005E79DF">
        <w:t xml:space="preserve">initiée </w:t>
      </w:r>
      <w:r w:rsidRPr="005E79DF">
        <w:t>par l</w:t>
      </w:r>
      <w:r w:rsidR="00FB39FB" w:rsidRPr="005E79DF">
        <w:t>’</w:t>
      </w:r>
      <w:r w:rsidRPr="005E79DF">
        <w:t>Organe d</w:t>
      </w:r>
      <w:r w:rsidR="00FB39FB" w:rsidRPr="005E79DF">
        <w:t>’</w:t>
      </w:r>
      <w:r w:rsidRPr="005E79DF">
        <w:t xml:space="preserve">évaluation pour </w:t>
      </w:r>
      <w:r w:rsidR="00B144E9" w:rsidRPr="005E79DF">
        <w:t>quinze</w:t>
      </w:r>
      <w:r w:rsidRPr="005E79DF">
        <w:t> dossiers</w:t>
      </w:r>
      <w:r w:rsidR="006F436E" w:rsidRPr="005E79DF">
        <w:t>, dont</w:t>
      </w:r>
      <w:r w:rsidR="00754350" w:rsidRPr="005E79DF">
        <w:t xml:space="preserve"> </w:t>
      </w:r>
      <w:r w:rsidR="00B144E9" w:rsidRPr="005E79DF">
        <w:t xml:space="preserve">quatorze </w:t>
      </w:r>
      <w:r w:rsidRPr="005E79DF">
        <w:t xml:space="preserve">sont recommandés pour inscription et </w:t>
      </w:r>
      <w:r w:rsidR="00B144E9" w:rsidRPr="005E79DF">
        <w:t>un</w:t>
      </w:r>
      <w:r w:rsidR="00514789" w:rsidRPr="005E79DF">
        <w:t xml:space="preserve"> </w:t>
      </w:r>
      <w:r w:rsidRPr="005E79DF">
        <w:t>pour renvoi :</w:t>
      </w:r>
    </w:p>
    <w:p w14:paraId="3477A870" w14:textId="47370E55" w:rsidR="00830F8A" w:rsidRPr="004C693B" w:rsidRDefault="00830F8A" w:rsidP="002D79CE">
      <w:pPr>
        <w:pStyle w:val="COMPara"/>
        <w:ind w:left="720"/>
        <w:jc w:val="center"/>
        <w:rPr>
          <w:highlight w:val="cyan"/>
        </w:rPr>
      </w:pPr>
      <w:r w:rsidRPr="00B1188E">
        <w:rPr>
          <w:noProof/>
        </w:rPr>
        <w:drawing>
          <wp:inline distT="0" distB="0" distL="0" distR="0" wp14:anchorId="262DB569" wp14:editId="32D06BE4">
            <wp:extent cx="5796951" cy="2924355"/>
            <wp:effectExtent l="0" t="0" r="13335" b="9525"/>
            <wp:docPr id="3" name="Graphique 3">
              <a:extLst xmlns:a="http://schemas.openxmlformats.org/drawingml/2006/main">
                <a:ext uri="{FF2B5EF4-FFF2-40B4-BE49-F238E27FC236}">
                  <a16:creationId xmlns:a16="http://schemas.microsoft.com/office/drawing/2014/main" id="{4051D093-9BBE-4DB0-9F75-2B9F66C9D0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A816F29" w14:textId="5B610AA4" w:rsidR="00F1704B" w:rsidRPr="004C693B" w:rsidRDefault="00F1704B" w:rsidP="00B1188E">
      <w:pPr>
        <w:pStyle w:val="COMPara"/>
        <w:numPr>
          <w:ilvl w:val="0"/>
          <w:numId w:val="12"/>
        </w:numPr>
        <w:ind w:left="567" w:hanging="567"/>
        <w:jc w:val="both"/>
        <w:rPr>
          <w:rFonts w:eastAsia="SimSun"/>
          <w:snapToGrid/>
          <w:color w:val="000000" w:themeColor="text1"/>
        </w:rPr>
      </w:pPr>
      <w:r w:rsidRPr="004C693B">
        <w:rPr>
          <w:rFonts w:eastAsia="SimSun"/>
          <w:snapToGrid/>
          <w:color w:val="000000" w:themeColor="text1"/>
        </w:rPr>
        <w:t xml:space="preserve">Parmi les dossiers concernés par le processus de dialogue, il y avait un dossier lié au mécanisme combiné de </w:t>
      </w:r>
      <w:r w:rsidR="00A8530C" w:rsidRPr="004C693B">
        <w:rPr>
          <w:rFonts w:eastAsia="SimSun"/>
          <w:snapToGrid/>
          <w:color w:val="000000" w:themeColor="text1"/>
        </w:rPr>
        <w:t>candidature à l</w:t>
      </w:r>
      <w:r w:rsidRPr="004C693B">
        <w:rPr>
          <w:rFonts w:eastAsia="SimSun"/>
          <w:snapToGrid/>
          <w:color w:val="000000" w:themeColor="text1"/>
        </w:rPr>
        <w:t>a Liste de sauvegarde urgente et d</w:t>
      </w:r>
      <w:r w:rsidR="00A8530C" w:rsidRPr="004C693B">
        <w:rPr>
          <w:rFonts w:eastAsia="SimSun"/>
          <w:snapToGrid/>
          <w:color w:val="000000" w:themeColor="text1"/>
        </w:rPr>
        <w:t xml:space="preserve">e demande </w:t>
      </w:r>
      <w:r w:rsidRPr="004C693B">
        <w:rPr>
          <w:rFonts w:eastAsia="SimSun"/>
          <w:snapToGrid/>
          <w:color w:val="000000" w:themeColor="text1"/>
        </w:rPr>
        <w:t>d</w:t>
      </w:r>
      <w:r w:rsidR="00FB39FB">
        <w:rPr>
          <w:rFonts w:eastAsia="SimSun"/>
          <w:snapToGrid/>
          <w:color w:val="000000" w:themeColor="text1"/>
        </w:rPr>
        <w:t>’</w:t>
      </w:r>
      <w:r w:rsidRPr="004C693B">
        <w:rPr>
          <w:rFonts w:eastAsia="SimSun"/>
          <w:snapToGrid/>
          <w:color w:val="000000" w:themeColor="text1"/>
        </w:rPr>
        <w:t>assistance internationale. Suite au processus de dialogue, l</w:t>
      </w:r>
      <w:r w:rsidR="00FB39FB">
        <w:rPr>
          <w:rFonts w:eastAsia="SimSun"/>
          <w:snapToGrid/>
          <w:color w:val="000000" w:themeColor="text1"/>
        </w:rPr>
        <w:t>’</w:t>
      </w:r>
      <w:r w:rsidRPr="004C693B">
        <w:rPr>
          <w:rFonts w:eastAsia="SimSun"/>
          <w:snapToGrid/>
          <w:color w:val="000000" w:themeColor="text1"/>
        </w:rPr>
        <w:t>Organe d</w:t>
      </w:r>
      <w:r w:rsidR="00FB39FB">
        <w:rPr>
          <w:rFonts w:eastAsia="SimSun"/>
          <w:snapToGrid/>
          <w:color w:val="000000" w:themeColor="text1"/>
        </w:rPr>
        <w:t>’</w:t>
      </w:r>
      <w:r w:rsidRPr="004C693B">
        <w:rPr>
          <w:rFonts w:eastAsia="SimSun"/>
          <w:snapToGrid/>
          <w:color w:val="000000" w:themeColor="text1"/>
        </w:rPr>
        <w:t xml:space="preserve">évaluation a recommandé de renvoyer </w:t>
      </w:r>
      <w:r w:rsidRPr="004C693B">
        <w:rPr>
          <w:rFonts w:eastAsia="SimSun"/>
          <w:snapToGrid/>
          <w:color w:val="000000" w:themeColor="text1"/>
        </w:rPr>
        <w:lastRenderedPageBreak/>
        <w:t>la candidature à la Liste de sauvegarde urgente, tout en approuvant la demande d</w:t>
      </w:r>
      <w:r w:rsidR="00FB39FB">
        <w:rPr>
          <w:rFonts w:eastAsia="SimSun"/>
          <w:snapToGrid/>
          <w:color w:val="000000" w:themeColor="text1"/>
        </w:rPr>
        <w:t>’</w:t>
      </w:r>
      <w:r w:rsidRPr="004C693B">
        <w:rPr>
          <w:rFonts w:eastAsia="SimSun"/>
          <w:snapToGrid/>
          <w:color w:val="000000" w:themeColor="text1"/>
        </w:rPr>
        <w:t>assistance internationale.</w:t>
      </w:r>
    </w:p>
    <w:p w14:paraId="27085AE5" w14:textId="34E22E97" w:rsidR="002D79CE" w:rsidRPr="004C693B" w:rsidRDefault="002D79CE" w:rsidP="00B1188E">
      <w:pPr>
        <w:pStyle w:val="COMPara"/>
        <w:numPr>
          <w:ilvl w:val="0"/>
          <w:numId w:val="12"/>
        </w:numPr>
        <w:ind w:left="567" w:hanging="567"/>
        <w:jc w:val="both"/>
        <w:rPr>
          <w:rFonts w:eastAsia="SimSun"/>
          <w:snapToGrid/>
          <w:color w:val="000000" w:themeColor="text1"/>
        </w:rPr>
      </w:pPr>
      <w:r w:rsidRPr="004C693B">
        <w:rPr>
          <w:snapToGrid/>
          <w:color w:val="000000" w:themeColor="text1"/>
        </w:rPr>
        <w:t>Comparé</w:t>
      </w:r>
      <w:r w:rsidRPr="004C693B">
        <w:rPr>
          <w:color w:val="000000" w:themeColor="text1"/>
        </w:rPr>
        <w:t xml:space="preserve"> au cycle précédent (2020), le nombre de dossiers recommandés pour le renvoi a diminué, passant de </w:t>
      </w:r>
      <w:r w:rsidRPr="004C693B">
        <w:rPr>
          <w:snapToGrid/>
          <w:color w:val="000000" w:themeColor="text1"/>
        </w:rPr>
        <w:t>38</w:t>
      </w:r>
      <w:r w:rsidRPr="004C693B">
        <w:rPr>
          <w:color w:val="000000" w:themeColor="text1"/>
        </w:rPr>
        <w:t xml:space="preserve"> % à </w:t>
      </w:r>
      <w:r w:rsidR="00F1704B" w:rsidRPr="004C693B">
        <w:rPr>
          <w:snapToGrid/>
          <w:color w:val="000000" w:themeColor="text1"/>
        </w:rPr>
        <w:t>23</w:t>
      </w:r>
      <w:r w:rsidRPr="004C693B">
        <w:rPr>
          <w:color w:val="000000" w:themeColor="text1"/>
        </w:rPr>
        <w:t> %. Le nombre de dossiers recommandés pour l</w:t>
      </w:r>
      <w:r w:rsidR="00FB39FB">
        <w:rPr>
          <w:color w:val="000000" w:themeColor="text1"/>
        </w:rPr>
        <w:t>’</w:t>
      </w:r>
      <w:r w:rsidRPr="004C693B">
        <w:rPr>
          <w:color w:val="000000" w:themeColor="text1"/>
        </w:rPr>
        <w:t xml:space="preserve">inscription a augmenté, passant de </w:t>
      </w:r>
      <w:r w:rsidR="00A44F46" w:rsidRPr="004C693B">
        <w:rPr>
          <w:snapToGrid/>
          <w:color w:val="000000" w:themeColor="text1"/>
        </w:rPr>
        <w:t>58</w:t>
      </w:r>
      <w:r w:rsidRPr="004C693B">
        <w:rPr>
          <w:color w:val="000000" w:themeColor="text1"/>
        </w:rPr>
        <w:t xml:space="preserve"> % à </w:t>
      </w:r>
      <w:r w:rsidR="00F1704B" w:rsidRPr="004C693B">
        <w:rPr>
          <w:snapToGrid/>
          <w:color w:val="000000" w:themeColor="text1"/>
        </w:rPr>
        <w:t>75</w:t>
      </w:r>
      <w:r w:rsidRPr="004C693B">
        <w:rPr>
          <w:color w:val="000000" w:themeColor="text1"/>
        </w:rPr>
        <w:t> %.</w:t>
      </w:r>
    </w:p>
    <w:p w14:paraId="0693DDDC" w14:textId="642217BE" w:rsidR="002D79CE" w:rsidRPr="004C693B" w:rsidRDefault="00F1704B" w:rsidP="00B1188E">
      <w:pPr>
        <w:pStyle w:val="COMPara"/>
        <w:numPr>
          <w:ilvl w:val="0"/>
          <w:numId w:val="12"/>
        </w:numPr>
        <w:spacing w:after="240"/>
        <w:ind w:left="567" w:hanging="567"/>
        <w:jc w:val="both"/>
      </w:pPr>
      <w:r w:rsidRPr="004C693B">
        <w:t>Les dossiers ont été renvoyés ou non recommandés pour inscription, sélection ou approbation parce qu</w:t>
      </w:r>
      <w:r w:rsidR="00FB39FB">
        <w:t>’</w:t>
      </w:r>
      <w:r w:rsidRPr="004C693B">
        <w:t>ils ne satisfaisaient pas aux critères</w:t>
      </w:r>
      <w:r w:rsidR="00903F34" w:rsidRPr="004C693B">
        <w:t>, comme suit</w:t>
      </w:r>
      <w:r w:rsidRPr="004C693B">
        <w:t xml:space="preserve"> :</w:t>
      </w:r>
    </w:p>
    <w:tbl>
      <w:tblPr>
        <w:tblStyle w:val="TableGrid"/>
        <w:tblW w:w="8199" w:type="dxa"/>
        <w:jc w:val="center"/>
        <w:tblLook w:val="04A0" w:firstRow="1" w:lastRow="0" w:firstColumn="1" w:lastColumn="0" w:noHBand="0" w:noVBand="1"/>
      </w:tblPr>
      <w:tblGrid>
        <w:gridCol w:w="2669"/>
        <w:gridCol w:w="2230"/>
        <w:gridCol w:w="1650"/>
        <w:gridCol w:w="1650"/>
      </w:tblGrid>
      <w:tr w:rsidR="006300E2" w:rsidRPr="004C693B" w14:paraId="2AE33B5D" w14:textId="0AF697A7" w:rsidTr="000D7871">
        <w:trPr>
          <w:jc w:val="center"/>
        </w:trPr>
        <w:tc>
          <w:tcPr>
            <w:tcW w:w="2669" w:type="dxa"/>
          </w:tcPr>
          <w:p w14:paraId="71B2EC27" w14:textId="77777777" w:rsidR="006300E2" w:rsidRPr="004C693B" w:rsidRDefault="006300E2" w:rsidP="00BE0810">
            <w:pPr>
              <w:pStyle w:val="COMPara"/>
              <w:jc w:val="both"/>
            </w:pPr>
          </w:p>
        </w:tc>
        <w:tc>
          <w:tcPr>
            <w:tcW w:w="2230" w:type="dxa"/>
            <w:vAlign w:val="center"/>
          </w:tcPr>
          <w:p w14:paraId="781A8CF3" w14:textId="152CDAA9" w:rsidR="006300E2" w:rsidRPr="004C693B" w:rsidRDefault="006300E2" w:rsidP="00BE0810">
            <w:pPr>
              <w:pStyle w:val="COMPara"/>
              <w:spacing w:before="120"/>
              <w:jc w:val="center"/>
              <w:rPr>
                <w:b/>
              </w:rPr>
            </w:pPr>
            <w:r w:rsidRPr="004C693B">
              <w:rPr>
                <w:b/>
              </w:rPr>
              <w:t>Liste de sauvegarde urgente</w:t>
            </w:r>
          </w:p>
        </w:tc>
        <w:tc>
          <w:tcPr>
            <w:tcW w:w="1650" w:type="dxa"/>
            <w:vAlign w:val="center"/>
          </w:tcPr>
          <w:p w14:paraId="2D9E3EFD" w14:textId="77777777" w:rsidR="006300E2" w:rsidRPr="004C693B" w:rsidRDefault="006300E2" w:rsidP="00BE0810">
            <w:pPr>
              <w:pStyle w:val="COMPara"/>
              <w:spacing w:before="120"/>
              <w:jc w:val="center"/>
              <w:rPr>
                <w:b/>
              </w:rPr>
            </w:pPr>
            <w:r w:rsidRPr="004C693B">
              <w:rPr>
                <w:b/>
              </w:rPr>
              <w:t>Liste représentative</w:t>
            </w:r>
          </w:p>
        </w:tc>
        <w:tc>
          <w:tcPr>
            <w:tcW w:w="1650" w:type="dxa"/>
          </w:tcPr>
          <w:p w14:paraId="31248E2D" w14:textId="21DD8825" w:rsidR="006300E2" w:rsidRPr="004C693B" w:rsidRDefault="00F1704B" w:rsidP="00BE0810">
            <w:pPr>
              <w:pStyle w:val="COMPara"/>
              <w:spacing w:before="120"/>
              <w:jc w:val="center"/>
              <w:rPr>
                <w:b/>
              </w:rPr>
            </w:pPr>
            <w:r w:rsidRPr="004C693B">
              <w:rPr>
                <w:b/>
              </w:rPr>
              <w:t xml:space="preserve">Registre de </w:t>
            </w:r>
            <w:r w:rsidR="00A8530C" w:rsidRPr="004C693B">
              <w:rPr>
                <w:b/>
              </w:rPr>
              <w:t>b</w:t>
            </w:r>
            <w:r w:rsidRPr="004C693B">
              <w:rPr>
                <w:b/>
              </w:rPr>
              <w:t xml:space="preserve">onnes </w:t>
            </w:r>
            <w:r w:rsidR="00A8530C" w:rsidRPr="004C693B">
              <w:rPr>
                <w:b/>
              </w:rPr>
              <w:t>p</w:t>
            </w:r>
            <w:r w:rsidRPr="004C693B">
              <w:rPr>
                <w:b/>
              </w:rPr>
              <w:t xml:space="preserve">ratiques de </w:t>
            </w:r>
            <w:r w:rsidR="00A8530C" w:rsidRPr="004C693B">
              <w:rPr>
                <w:b/>
              </w:rPr>
              <w:t>s</w:t>
            </w:r>
            <w:r w:rsidRPr="004C693B">
              <w:rPr>
                <w:b/>
              </w:rPr>
              <w:t>auvegarde</w:t>
            </w:r>
          </w:p>
        </w:tc>
      </w:tr>
      <w:tr w:rsidR="006300E2" w:rsidRPr="004C693B" w14:paraId="35EE3D9A" w14:textId="5DB08017" w:rsidTr="000D7871">
        <w:trPr>
          <w:jc w:val="center"/>
        </w:trPr>
        <w:tc>
          <w:tcPr>
            <w:tcW w:w="2669" w:type="dxa"/>
          </w:tcPr>
          <w:p w14:paraId="6A693540" w14:textId="77777777" w:rsidR="006300E2" w:rsidRPr="004C693B" w:rsidRDefault="006300E2" w:rsidP="00BE0810">
            <w:pPr>
              <w:pStyle w:val="COMPara"/>
              <w:rPr>
                <w:b/>
              </w:rPr>
            </w:pPr>
            <w:r w:rsidRPr="004C693B">
              <w:rPr>
                <w:b/>
              </w:rPr>
              <w:t>Nombre de dossiers renvoyés ou non recommandés selon un critère unique</w:t>
            </w:r>
          </w:p>
        </w:tc>
        <w:tc>
          <w:tcPr>
            <w:tcW w:w="2230" w:type="dxa"/>
            <w:vAlign w:val="center"/>
          </w:tcPr>
          <w:p w14:paraId="612CC99D" w14:textId="77777777" w:rsidR="006300E2" w:rsidRPr="004C693B" w:rsidRDefault="006300E2" w:rsidP="00BE0810">
            <w:pPr>
              <w:pStyle w:val="COMPara"/>
              <w:jc w:val="center"/>
            </w:pPr>
            <w:r w:rsidRPr="004C693B">
              <w:t>0</w:t>
            </w:r>
          </w:p>
        </w:tc>
        <w:tc>
          <w:tcPr>
            <w:tcW w:w="1650" w:type="dxa"/>
            <w:vAlign w:val="center"/>
          </w:tcPr>
          <w:p w14:paraId="0E3F856C" w14:textId="152275AE" w:rsidR="006300E2" w:rsidRPr="004C693B" w:rsidRDefault="006300E2" w:rsidP="00BE0810">
            <w:pPr>
              <w:pStyle w:val="COMPara"/>
              <w:jc w:val="center"/>
            </w:pPr>
            <w:r w:rsidRPr="004C693B">
              <w:t>1</w:t>
            </w:r>
          </w:p>
        </w:tc>
        <w:tc>
          <w:tcPr>
            <w:tcW w:w="1650" w:type="dxa"/>
            <w:vAlign w:val="center"/>
          </w:tcPr>
          <w:p w14:paraId="572EEA77" w14:textId="7A9F1D3F" w:rsidR="006300E2" w:rsidRPr="004C693B" w:rsidRDefault="006300E2" w:rsidP="00F1704B">
            <w:pPr>
              <w:pStyle w:val="COMPara"/>
              <w:jc w:val="center"/>
            </w:pPr>
            <w:r w:rsidRPr="004C693B">
              <w:t>0</w:t>
            </w:r>
          </w:p>
        </w:tc>
      </w:tr>
      <w:tr w:rsidR="006300E2" w:rsidRPr="004C693B" w14:paraId="4B49CCFE" w14:textId="30C0E5F6" w:rsidTr="000D7871">
        <w:trPr>
          <w:jc w:val="center"/>
        </w:trPr>
        <w:tc>
          <w:tcPr>
            <w:tcW w:w="2669" w:type="dxa"/>
          </w:tcPr>
          <w:p w14:paraId="0FBE0DB9" w14:textId="77777777" w:rsidR="006300E2" w:rsidRPr="004C693B" w:rsidRDefault="006300E2" w:rsidP="00BE0810">
            <w:pPr>
              <w:pStyle w:val="COMPara"/>
              <w:rPr>
                <w:b/>
              </w:rPr>
            </w:pPr>
            <w:r w:rsidRPr="004C693B">
              <w:rPr>
                <w:b/>
              </w:rPr>
              <w:t>Nombre de dossiers renvoyés ou non recommandés selon des critères multiples</w:t>
            </w:r>
          </w:p>
        </w:tc>
        <w:tc>
          <w:tcPr>
            <w:tcW w:w="2230" w:type="dxa"/>
            <w:vAlign w:val="center"/>
          </w:tcPr>
          <w:p w14:paraId="09211E58" w14:textId="66093E05" w:rsidR="006300E2" w:rsidRPr="004C693B" w:rsidRDefault="006300E2" w:rsidP="00BE0810">
            <w:pPr>
              <w:pStyle w:val="COMPara"/>
              <w:jc w:val="center"/>
              <w:rPr>
                <w:bCs/>
              </w:rPr>
            </w:pPr>
            <w:r w:rsidRPr="004C693B">
              <w:t>3</w:t>
            </w:r>
          </w:p>
        </w:tc>
        <w:tc>
          <w:tcPr>
            <w:tcW w:w="1650" w:type="dxa"/>
            <w:vAlign w:val="center"/>
          </w:tcPr>
          <w:p w14:paraId="5695C8EB" w14:textId="0B9D2D4C" w:rsidR="006300E2" w:rsidRPr="004C693B" w:rsidRDefault="006300E2" w:rsidP="00BE0810">
            <w:pPr>
              <w:pStyle w:val="COMPara"/>
              <w:jc w:val="center"/>
            </w:pPr>
            <w:r w:rsidRPr="004C693B">
              <w:t>11</w:t>
            </w:r>
          </w:p>
        </w:tc>
        <w:tc>
          <w:tcPr>
            <w:tcW w:w="1650" w:type="dxa"/>
            <w:vAlign w:val="center"/>
          </w:tcPr>
          <w:p w14:paraId="7342DA7E" w14:textId="4531ED6D" w:rsidR="006300E2" w:rsidRPr="004C693B" w:rsidRDefault="006300E2" w:rsidP="00F1704B">
            <w:pPr>
              <w:pStyle w:val="COMPara"/>
              <w:jc w:val="center"/>
            </w:pPr>
            <w:r w:rsidRPr="004C693B">
              <w:t>1</w:t>
            </w:r>
          </w:p>
        </w:tc>
      </w:tr>
    </w:tbl>
    <w:p w14:paraId="6949FC25" w14:textId="0BACA9B2" w:rsidR="002D79CE" w:rsidRPr="004C693B" w:rsidRDefault="002D79CE" w:rsidP="00B1188E">
      <w:pPr>
        <w:pStyle w:val="COMPara"/>
        <w:numPr>
          <w:ilvl w:val="0"/>
          <w:numId w:val="12"/>
        </w:numPr>
        <w:spacing w:before="360" w:after="240"/>
        <w:ind w:left="567" w:hanging="567"/>
        <w:jc w:val="both"/>
      </w:pPr>
      <w:r w:rsidRPr="004C693B">
        <w:t>Parmi les dossiers qui ont été renvoyés ou qui n</w:t>
      </w:r>
      <w:r w:rsidR="00FB39FB">
        <w:t>’</w:t>
      </w:r>
      <w:r w:rsidRPr="004C693B">
        <w:t xml:space="preserve">ont pas été recommandés pour inscription sur la </w:t>
      </w:r>
      <w:r w:rsidR="004462E4" w:rsidRPr="004C693B">
        <w:t>Liste de sauvegarde urgente</w:t>
      </w:r>
      <w:r w:rsidRPr="004C693B">
        <w:t xml:space="preserve"> ou sur la Liste représentative, les recommandations de l</w:t>
      </w:r>
      <w:r w:rsidR="00FB39FB">
        <w:t>’</w:t>
      </w:r>
      <w:r w:rsidRPr="004C693B">
        <w:t>Organe d</w:t>
      </w:r>
      <w:r w:rsidR="00FB39FB">
        <w:t>’</w:t>
      </w:r>
      <w:r w:rsidRPr="004C693B">
        <w:t>évaluation étaient fondées sur des questions concernant les critères suivants :</w:t>
      </w:r>
    </w:p>
    <w:tbl>
      <w:tblPr>
        <w:tblStyle w:val="TableGrid"/>
        <w:tblW w:w="0" w:type="auto"/>
        <w:jc w:val="center"/>
        <w:tblLook w:val="04A0" w:firstRow="1" w:lastRow="0" w:firstColumn="1" w:lastColumn="0" w:noHBand="0" w:noVBand="1"/>
      </w:tblPr>
      <w:tblGrid>
        <w:gridCol w:w="1975"/>
        <w:gridCol w:w="4685"/>
      </w:tblGrid>
      <w:tr w:rsidR="002D79CE" w:rsidRPr="004C693B" w14:paraId="68A75732" w14:textId="77777777" w:rsidTr="00294B10">
        <w:trPr>
          <w:jc w:val="center"/>
        </w:trPr>
        <w:tc>
          <w:tcPr>
            <w:tcW w:w="1975" w:type="dxa"/>
            <w:vAlign w:val="center"/>
          </w:tcPr>
          <w:p w14:paraId="565B0968" w14:textId="77777777" w:rsidR="002D79CE" w:rsidRPr="004C693B" w:rsidRDefault="002D79CE" w:rsidP="00BE0810">
            <w:pPr>
              <w:pStyle w:val="COMPara"/>
              <w:spacing w:before="120"/>
              <w:rPr>
                <w:b/>
              </w:rPr>
            </w:pPr>
            <w:r w:rsidRPr="004C693B">
              <w:rPr>
                <w:b/>
              </w:rPr>
              <w:t>Critères</w:t>
            </w:r>
          </w:p>
        </w:tc>
        <w:tc>
          <w:tcPr>
            <w:tcW w:w="4685" w:type="dxa"/>
            <w:vAlign w:val="center"/>
          </w:tcPr>
          <w:p w14:paraId="7D84BF2F" w14:textId="77777777" w:rsidR="002D79CE" w:rsidRPr="004C693B" w:rsidRDefault="002D79CE" w:rsidP="00BE0810">
            <w:pPr>
              <w:pStyle w:val="COMPara"/>
              <w:spacing w:before="120"/>
              <w:jc w:val="center"/>
              <w:rPr>
                <w:b/>
              </w:rPr>
            </w:pPr>
            <w:r w:rsidRPr="004C693B">
              <w:rPr>
                <w:b/>
              </w:rPr>
              <w:t>Nombre de dossiers dans lesquels le critère a été renvoyé ou considéré comme non satisfait</w:t>
            </w:r>
          </w:p>
        </w:tc>
      </w:tr>
      <w:tr w:rsidR="002D79CE" w:rsidRPr="004C693B" w14:paraId="5E94C693" w14:textId="77777777" w:rsidTr="00294B10">
        <w:trPr>
          <w:jc w:val="center"/>
        </w:trPr>
        <w:tc>
          <w:tcPr>
            <w:tcW w:w="1975" w:type="dxa"/>
          </w:tcPr>
          <w:p w14:paraId="76C9135E" w14:textId="77777777" w:rsidR="002D79CE" w:rsidRPr="004C693B" w:rsidRDefault="002D79CE" w:rsidP="00BE0810">
            <w:pPr>
              <w:pStyle w:val="COMPara"/>
              <w:jc w:val="both"/>
            </w:pPr>
            <w:r w:rsidRPr="004C693B">
              <w:t>U.1/R.1</w:t>
            </w:r>
          </w:p>
        </w:tc>
        <w:tc>
          <w:tcPr>
            <w:tcW w:w="4685" w:type="dxa"/>
          </w:tcPr>
          <w:p w14:paraId="1AF9072B" w14:textId="77777777" w:rsidR="002D79CE" w:rsidRPr="004C693B" w:rsidRDefault="002D79CE" w:rsidP="00BE0810">
            <w:pPr>
              <w:pStyle w:val="COMPara"/>
              <w:jc w:val="center"/>
            </w:pPr>
            <w:r w:rsidRPr="004C693B">
              <w:t>4</w:t>
            </w:r>
          </w:p>
        </w:tc>
      </w:tr>
      <w:tr w:rsidR="002D79CE" w:rsidRPr="004C693B" w14:paraId="06B130EC" w14:textId="77777777" w:rsidTr="00294B10">
        <w:trPr>
          <w:jc w:val="center"/>
        </w:trPr>
        <w:tc>
          <w:tcPr>
            <w:tcW w:w="1975" w:type="dxa"/>
          </w:tcPr>
          <w:p w14:paraId="0C92D9F6" w14:textId="77777777" w:rsidR="002D79CE" w:rsidRPr="004C693B" w:rsidRDefault="002D79CE" w:rsidP="00BE0810">
            <w:pPr>
              <w:pStyle w:val="COMPara"/>
              <w:jc w:val="both"/>
            </w:pPr>
            <w:r w:rsidRPr="004C693B">
              <w:t>U.2</w:t>
            </w:r>
          </w:p>
        </w:tc>
        <w:tc>
          <w:tcPr>
            <w:tcW w:w="4685" w:type="dxa"/>
          </w:tcPr>
          <w:p w14:paraId="78C05CB3" w14:textId="77777777" w:rsidR="002D79CE" w:rsidRPr="004C693B" w:rsidRDefault="002D79CE" w:rsidP="00BE0810">
            <w:pPr>
              <w:pStyle w:val="COMPara"/>
              <w:jc w:val="center"/>
            </w:pPr>
            <w:r w:rsidRPr="004C693B">
              <w:t>2</w:t>
            </w:r>
          </w:p>
        </w:tc>
      </w:tr>
      <w:tr w:rsidR="002D79CE" w:rsidRPr="004C693B" w14:paraId="5CBAB906" w14:textId="77777777" w:rsidTr="00294B10">
        <w:trPr>
          <w:jc w:val="center"/>
        </w:trPr>
        <w:tc>
          <w:tcPr>
            <w:tcW w:w="1975" w:type="dxa"/>
          </w:tcPr>
          <w:p w14:paraId="56AE84CE" w14:textId="77777777" w:rsidR="002D79CE" w:rsidRPr="004C693B" w:rsidRDefault="002D79CE" w:rsidP="00BE0810">
            <w:pPr>
              <w:pStyle w:val="COMPara"/>
              <w:jc w:val="both"/>
            </w:pPr>
            <w:r w:rsidRPr="004C693B">
              <w:t>R.2</w:t>
            </w:r>
          </w:p>
        </w:tc>
        <w:tc>
          <w:tcPr>
            <w:tcW w:w="4685" w:type="dxa"/>
          </w:tcPr>
          <w:p w14:paraId="0029C016" w14:textId="77777777" w:rsidR="002D79CE" w:rsidRPr="004C693B" w:rsidRDefault="002D79CE" w:rsidP="00BE0810">
            <w:pPr>
              <w:pStyle w:val="COMPara"/>
              <w:jc w:val="center"/>
            </w:pPr>
            <w:r w:rsidRPr="004C693B">
              <w:t>11</w:t>
            </w:r>
          </w:p>
        </w:tc>
      </w:tr>
      <w:tr w:rsidR="002D79CE" w:rsidRPr="004C693B" w14:paraId="61D5AEAD" w14:textId="77777777" w:rsidTr="00294B10">
        <w:trPr>
          <w:jc w:val="center"/>
        </w:trPr>
        <w:tc>
          <w:tcPr>
            <w:tcW w:w="1975" w:type="dxa"/>
          </w:tcPr>
          <w:p w14:paraId="0258FB65" w14:textId="77777777" w:rsidR="002D79CE" w:rsidRPr="004C693B" w:rsidRDefault="002D79CE" w:rsidP="00BE0810">
            <w:pPr>
              <w:pStyle w:val="COMPara"/>
              <w:jc w:val="both"/>
            </w:pPr>
            <w:r w:rsidRPr="004C693B">
              <w:t>U.3</w:t>
            </w:r>
          </w:p>
        </w:tc>
        <w:tc>
          <w:tcPr>
            <w:tcW w:w="4685" w:type="dxa"/>
          </w:tcPr>
          <w:p w14:paraId="2AB0F5E2" w14:textId="20B31ECA" w:rsidR="002D79CE" w:rsidRPr="004C693B" w:rsidRDefault="006300E2" w:rsidP="00BE0810">
            <w:pPr>
              <w:pStyle w:val="COMPara"/>
              <w:jc w:val="center"/>
            </w:pPr>
            <w:r w:rsidRPr="004C693B">
              <w:t>1</w:t>
            </w:r>
            <w:r w:rsidR="002D79CE" w:rsidRPr="004C693B">
              <w:t xml:space="preserve"> </w:t>
            </w:r>
          </w:p>
        </w:tc>
      </w:tr>
      <w:tr w:rsidR="002D79CE" w:rsidRPr="004C693B" w14:paraId="6D1330F6" w14:textId="77777777" w:rsidTr="00294B10">
        <w:trPr>
          <w:jc w:val="center"/>
        </w:trPr>
        <w:tc>
          <w:tcPr>
            <w:tcW w:w="1975" w:type="dxa"/>
          </w:tcPr>
          <w:p w14:paraId="5D9B0FF1" w14:textId="77777777" w:rsidR="002D79CE" w:rsidRPr="004C693B" w:rsidRDefault="002D79CE" w:rsidP="00BE0810">
            <w:pPr>
              <w:pStyle w:val="COMPara"/>
              <w:jc w:val="both"/>
            </w:pPr>
            <w:r w:rsidRPr="004C693B">
              <w:t>R.3</w:t>
            </w:r>
          </w:p>
        </w:tc>
        <w:tc>
          <w:tcPr>
            <w:tcW w:w="4685" w:type="dxa"/>
          </w:tcPr>
          <w:p w14:paraId="20BF7C60" w14:textId="4AEC3BC3" w:rsidR="002D79CE" w:rsidRPr="004C693B" w:rsidRDefault="002D79CE" w:rsidP="00BE0810">
            <w:pPr>
              <w:pStyle w:val="COMPara"/>
              <w:jc w:val="center"/>
            </w:pPr>
            <w:r w:rsidRPr="004C693B">
              <w:t>1</w:t>
            </w:r>
            <w:r w:rsidR="006300E2" w:rsidRPr="004C693B">
              <w:t>0</w:t>
            </w:r>
            <w:r w:rsidRPr="004C693B">
              <w:t xml:space="preserve"> </w:t>
            </w:r>
          </w:p>
        </w:tc>
      </w:tr>
      <w:tr w:rsidR="002D79CE" w:rsidRPr="004C693B" w14:paraId="75B52EC4" w14:textId="77777777" w:rsidTr="00294B10">
        <w:trPr>
          <w:jc w:val="center"/>
        </w:trPr>
        <w:tc>
          <w:tcPr>
            <w:tcW w:w="1975" w:type="dxa"/>
          </w:tcPr>
          <w:p w14:paraId="144A2F27" w14:textId="77777777" w:rsidR="002D79CE" w:rsidRPr="004C693B" w:rsidRDefault="002D79CE" w:rsidP="00BE0810">
            <w:pPr>
              <w:pStyle w:val="COMPara"/>
              <w:jc w:val="both"/>
            </w:pPr>
            <w:r w:rsidRPr="004C693B">
              <w:t>U.4/R.4</w:t>
            </w:r>
          </w:p>
        </w:tc>
        <w:tc>
          <w:tcPr>
            <w:tcW w:w="4685" w:type="dxa"/>
          </w:tcPr>
          <w:p w14:paraId="7CFFA04A" w14:textId="63BD8E31" w:rsidR="002D79CE" w:rsidRPr="004C693B" w:rsidRDefault="002D79CE" w:rsidP="00BE0810">
            <w:pPr>
              <w:pStyle w:val="COMPara"/>
              <w:jc w:val="center"/>
            </w:pPr>
            <w:r w:rsidRPr="004C693B">
              <w:t xml:space="preserve">8 </w:t>
            </w:r>
          </w:p>
        </w:tc>
      </w:tr>
      <w:tr w:rsidR="002D79CE" w:rsidRPr="004C693B" w14:paraId="36CE9865" w14:textId="77777777" w:rsidTr="00294B10">
        <w:trPr>
          <w:jc w:val="center"/>
        </w:trPr>
        <w:tc>
          <w:tcPr>
            <w:tcW w:w="1975" w:type="dxa"/>
          </w:tcPr>
          <w:p w14:paraId="42D00705" w14:textId="77777777" w:rsidR="002D79CE" w:rsidRPr="004C693B" w:rsidRDefault="002D79CE" w:rsidP="00BE0810">
            <w:pPr>
              <w:pStyle w:val="COMPara"/>
              <w:jc w:val="both"/>
            </w:pPr>
            <w:r w:rsidRPr="004C693B">
              <w:t>U.5/R.5</w:t>
            </w:r>
          </w:p>
        </w:tc>
        <w:tc>
          <w:tcPr>
            <w:tcW w:w="4685" w:type="dxa"/>
          </w:tcPr>
          <w:p w14:paraId="41AA215C" w14:textId="251DE83C" w:rsidR="002D79CE" w:rsidRPr="004C693B" w:rsidRDefault="002D79CE" w:rsidP="00BE0810">
            <w:pPr>
              <w:pStyle w:val="COMPara"/>
              <w:jc w:val="center"/>
            </w:pPr>
            <w:r w:rsidRPr="004C693B">
              <w:t xml:space="preserve">15 </w:t>
            </w:r>
          </w:p>
        </w:tc>
      </w:tr>
    </w:tbl>
    <w:p w14:paraId="780AE169" w14:textId="15419527" w:rsidR="009344CB" w:rsidRPr="00B1188E" w:rsidRDefault="009344CB" w:rsidP="00E81059">
      <w:pPr>
        <w:pStyle w:val="COMPara"/>
        <w:numPr>
          <w:ilvl w:val="0"/>
          <w:numId w:val="2"/>
        </w:numPr>
        <w:spacing w:before="360"/>
        <w:ind w:left="567" w:hanging="567"/>
        <w:jc w:val="both"/>
        <w:rPr>
          <w:b/>
          <w:bCs/>
        </w:rPr>
      </w:pPr>
      <w:r w:rsidRPr="00B1188E">
        <w:rPr>
          <w:b/>
          <w:bCs/>
        </w:rPr>
        <w:t>Observations et recommandations générales</w:t>
      </w:r>
    </w:p>
    <w:p w14:paraId="547677FF" w14:textId="44F9F627" w:rsidR="009344CB" w:rsidRPr="004C693B" w:rsidRDefault="009344CB" w:rsidP="00E81059">
      <w:pPr>
        <w:pStyle w:val="COMPara"/>
        <w:numPr>
          <w:ilvl w:val="0"/>
          <w:numId w:val="12"/>
        </w:numPr>
        <w:ind w:left="567" w:hanging="567"/>
        <w:jc w:val="both"/>
      </w:pPr>
      <w:r w:rsidRPr="004C693B">
        <w:t>Cette partie du rapport explique les méthodes de travail de l</w:t>
      </w:r>
      <w:r w:rsidR="00FB39FB">
        <w:t>’</w:t>
      </w:r>
      <w:r w:rsidRPr="004C693B">
        <w:t>Organe d</w:t>
      </w:r>
      <w:r w:rsidR="00FB39FB">
        <w:t>’</w:t>
      </w:r>
      <w:r w:rsidRPr="004C693B">
        <w:t>évaluation et décrit les principales questions, observations et conclusions qui se sont posées au cours de ses travaux. Bien que certaines de ces questions soient récurrentes, les membres de l</w:t>
      </w:r>
      <w:r w:rsidR="00FB39FB">
        <w:t>’</w:t>
      </w:r>
      <w:r w:rsidRPr="004C693B">
        <w:t>Organe d</w:t>
      </w:r>
      <w:r w:rsidR="00FB39FB">
        <w:t>’</w:t>
      </w:r>
      <w:r w:rsidRPr="004C693B">
        <w:t>évaluation en ont discuté avec la plus grande attention et la plus grande diligence possibles.</w:t>
      </w:r>
    </w:p>
    <w:p w14:paraId="7A99A0CE" w14:textId="77777777" w:rsidR="005C3CD2" w:rsidRPr="004C693B" w:rsidRDefault="005C3CD2" w:rsidP="00B1188E">
      <w:pPr>
        <w:pStyle w:val="COMPara"/>
        <w:keepNext/>
        <w:spacing w:before="240"/>
        <w:jc w:val="both"/>
        <w:rPr>
          <w:b/>
          <w:i/>
        </w:rPr>
      </w:pPr>
      <w:r w:rsidRPr="004C693B">
        <w:rPr>
          <w:b/>
          <w:i/>
        </w:rPr>
        <w:t>Méthodes de travail</w:t>
      </w:r>
    </w:p>
    <w:p w14:paraId="72BB094D" w14:textId="3B25F5CD" w:rsidR="005C3CD2" w:rsidRPr="004C693B" w:rsidRDefault="0038721C" w:rsidP="00E81059">
      <w:pPr>
        <w:pStyle w:val="COMPara"/>
        <w:numPr>
          <w:ilvl w:val="0"/>
          <w:numId w:val="12"/>
        </w:numPr>
        <w:ind w:left="567" w:hanging="567"/>
        <w:jc w:val="both"/>
        <w:rPr>
          <w:rFonts w:eastAsia="SimSun"/>
          <w:bCs/>
          <w:snapToGrid/>
        </w:rPr>
      </w:pPr>
      <w:r w:rsidRPr="004C693B">
        <w:rPr>
          <w:b/>
        </w:rPr>
        <w:t>Neutralité des membres</w:t>
      </w:r>
      <w:r w:rsidRPr="004C693B">
        <w:t>. Comme le veut la coutume, les membres de l</w:t>
      </w:r>
      <w:r w:rsidR="00FB39FB">
        <w:t>’</w:t>
      </w:r>
      <w:r w:rsidRPr="004C693B">
        <w:t>Organe d</w:t>
      </w:r>
      <w:r w:rsidR="00FB39FB">
        <w:t>’</w:t>
      </w:r>
      <w:r w:rsidRPr="004C693B">
        <w:t>évaluation n</w:t>
      </w:r>
      <w:r w:rsidR="00FB39FB">
        <w:t>’</w:t>
      </w:r>
      <w:r w:rsidRPr="004C693B">
        <w:t>ont pas participé à l</w:t>
      </w:r>
      <w:r w:rsidR="00FB39FB">
        <w:t>’</w:t>
      </w:r>
      <w:r w:rsidRPr="004C693B">
        <w:t>évaluation des dossiers soumis par leur pays de nationalité, ni par un pays dans lequel est basé l</w:t>
      </w:r>
      <w:r w:rsidR="00FB39FB">
        <w:t>’</w:t>
      </w:r>
      <w:r w:rsidRPr="004C693B">
        <w:t>organisation non gouvernementale qu</w:t>
      </w:r>
      <w:r w:rsidR="00FB39FB">
        <w:t>’</w:t>
      </w:r>
      <w:r w:rsidRPr="004C693B">
        <w:t>ils représentent. Cette approche a permis de garantir la neutralité et l</w:t>
      </w:r>
      <w:r w:rsidR="00FB39FB">
        <w:t>’</w:t>
      </w:r>
      <w:r w:rsidRPr="004C693B">
        <w:t xml:space="preserve">équité dans les discussions sur les dossiers et dans la rédaction </w:t>
      </w:r>
      <w:r w:rsidRPr="004C693B">
        <w:lastRenderedPageBreak/>
        <w:t>des recommandations. Cette règle a été appliquée à sept dossiers évalués au cours du cycle 2021.</w:t>
      </w:r>
    </w:p>
    <w:p w14:paraId="51650AA5" w14:textId="19B0C16B" w:rsidR="00B22795" w:rsidRPr="004C693B" w:rsidRDefault="002739E1" w:rsidP="00E81059">
      <w:pPr>
        <w:pStyle w:val="COMPara"/>
        <w:numPr>
          <w:ilvl w:val="0"/>
          <w:numId w:val="12"/>
        </w:numPr>
        <w:ind w:left="567" w:hanging="567"/>
        <w:jc w:val="both"/>
      </w:pPr>
      <w:r w:rsidRPr="004C693B">
        <w:rPr>
          <w:b/>
        </w:rPr>
        <w:t>Prise de décision collective</w:t>
      </w:r>
      <w:r w:rsidRPr="004C693B">
        <w:rPr>
          <w:bCs/>
        </w:rPr>
        <w:t>.</w:t>
      </w:r>
      <w:r w:rsidRPr="004C693B">
        <w:rPr>
          <w:b/>
        </w:rPr>
        <w:t xml:space="preserve"> </w:t>
      </w:r>
      <w:r w:rsidRPr="004C693B">
        <w:t>Les douze membres de l</w:t>
      </w:r>
      <w:r w:rsidR="00FB39FB">
        <w:t>’</w:t>
      </w:r>
      <w:r w:rsidRPr="004C693B">
        <w:t>Organe d</w:t>
      </w:r>
      <w:r w:rsidR="00FB39FB">
        <w:t>’</w:t>
      </w:r>
      <w:r w:rsidRPr="004C693B">
        <w:t>évaluation, représentant chacun des domaines géographiques et des domaines d</w:t>
      </w:r>
      <w:r w:rsidR="00FB39FB">
        <w:t>’</w:t>
      </w:r>
      <w:r w:rsidRPr="004C693B">
        <w:t>expertise différents, ont évalué chaque dossier individuellement, à l</w:t>
      </w:r>
      <w:r w:rsidR="00FB39FB">
        <w:t>’</w:t>
      </w:r>
      <w:r w:rsidRPr="004C693B">
        <w:t>exception des cas concernant leur pays de nationalité ou l</w:t>
      </w:r>
      <w:r w:rsidR="00FB39FB">
        <w:t>’</w:t>
      </w:r>
      <w:r w:rsidRPr="004C693B">
        <w:t>organisation non gouvernementale qu</w:t>
      </w:r>
      <w:r w:rsidR="00FB39FB">
        <w:t>’</w:t>
      </w:r>
      <w:r w:rsidRPr="004C693B">
        <w:t xml:space="preserve">ils représentent. À la lumière de la pandémie de COVID-19 en cours, les membres ont à nouveau partagé leurs évaluations via </w:t>
      </w:r>
      <w:r w:rsidR="009B142E" w:rsidRPr="004C693B">
        <w:t>l</w:t>
      </w:r>
      <w:r w:rsidR="00FB39FB">
        <w:t>’</w:t>
      </w:r>
      <w:r w:rsidR="009B142E" w:rsidRPr="004C693B">
        <w:t xml:space="preserve">interface </w:t>
      </w:r>
      <w:r w:rsidR="004C693B">
        <w:t xml:space="preserve">en ligne </w:t>
      </w:r>
      <w:r w:rsidR="009B142E" w:rsidRPr="004C693B">
        <w:t>de suivi</w:t>
      </w:r>
      <w:r w:rsidR="004C693B">
        <w:t xml:space="preserve"> des évaluations</w:t>
      </w:r>
      <w:r w:rsidRPr="004C693B">
        <w:t>. Après avoir partagé les évaluations individuelles, l</w:t>
      </w:r>
      <w:r w:rsidR="00FB39FB">
        <w:t>’</w:t>
      </w:r>
      <w:r w:rsidRPr="004C693B">
        <w:t>Organe d</w:t>
      </w:r>
      <w:r w:rsidR="00FB39FB">
        <w:t>’</w:t>
      </w:r>
      <w:r w:rsidRPr="004C693B">
        <w:t>évaluation a tenu de vastes discussions menant à un consensus sur chaque critère pour chaque dossier. En conséquence, l</w:t>
      </w:r>
      <w:r w:rsidR="00FB39FB">
        <w:t>’</w:t>
      </w:r>
      <w:r w:rsidRPr="004C693B">
        <w:t>Organe d</w:t>
      </w:r>
      <w:r w:rsidR="00FB39FB">
        <w:t>’</w:t>
      </w:r>
      <w:r w:rsidRPr="004C693B">
        <w:t>évaluation s</w:t>
      </w:r>
      <w:r w:rsidR="00FB39FB">
        <w:t>’</w:t>
      </w:r>
      <w:r w:rsidRPr="004C693B">
        <w:t>exprime d</w:t>
      </w:r>
      <w:r w:rsidR="00FB39FB">
        <w:t>’</w:t>
      </w:r>
      <w:r w:rsidRPr="004C693B">
        <w:t>une seule voix. L</w:t>
      </w:r>
      <w:r w:rsidR="00FB39FB">
        <w:t>’</w:t>
      </w:r>
      <w:r w:rsidRPr="004C693B">
        <w:t>Organe d</w:t>
      </w:r>
      <w:r w:rsidR="00FB39FB">
        <w:t>’</w:t>
      </w:r>
      <w:r w:rsidRPr="004C693B">
        <w:t>évaluation a trouvé l</w:t>
      </w:r>
      <w:r w:rsidR="00FB39FB">
        <w:t>’</w:t>
      </w:r>
      <w:r w:rsidRPr="004C693B">
        <w:t>outil en ligne utile et recommande la poursuite de son utilisation lors des cycles futurs. Toutefois, bien que l</w:t>
      </w:r>
      <w:r w:rsidR="00FB39FB">
        <w:t>’</w:t>
      </w:r>
      <w:r w:rsidRPr="004C693B">
        <w:t>outil en ligne ait contribué à une prise de décision collective efficace au cours du cycle 2021, l</w:t>
      </w:r>
      <w:r w:rsidR="00FB39FB">
        <w:t>’</w:t>
      </w:r>
      <w:r w:rsidRPr="004C693B">
        <w:t>Organe d</w:t>
      </w:r>
      <w:r w:rsidR="00FB39FB">
        <w:t>’</w:t>
      </w:r>
      <w:r w:rsidRPr="004C693B">
        <w:t>évaluation exprime des réserves quant à la qualité et l</w:t>
      </w:r>
      <w:r w:rsidR="00FB39FB">
        <w:t>’</w:t>
      </w:r>
      <w:r w:rsidRPr="004C693B">
        <w:t>approfondissement des discussions, compte tenu des contraintes temporelles associées aux réunions en ligne.</w:t>
      </w:r>
    </w:p>
    <w:p w14:paraId="3F475E78" w14:textId="61BD0800" w:rsidR="00FF4076" w:rsidRPr="004C693B" w:rsidRDefault="00FF4076" w:rsidP="00E81059">
      <w:pPr>
        <w:pStyle w:val="COMPara"/>
        <w:numPr>
          <w:ilvl w:val="0"/>
          <w:numId w:val="12"/>
        </w:numPr>
        <w:ind w:left="567" w:hanging="567"/>
        <w:jc w:val="both"/>
      </w:pPr>
      <w:r w:rsidRPr="004C693B">
        <w:rPr>
          <w:b/>
          <w:bCs/>
        </w:rPr>
        <w:t>Cohérence de l</w:t>
      </w:r>
      <w:r w:rsidR="00FB39FB">
        <w:rPr>
          <w:b/>
          <w:bCs/>
        </w:rPr>
        <w:t>’</w:t>
      </w:r>
      <w:r w:rsidRPr="004C693B">
        <w:rPr>
          <w:b/>
          <w:bCs/>
        </w:rPr>
        <w:t>évaluation au sein et sur l</w:t>
      </w:r>
      <w:r w:rsidR="00FB39FB">
        <w:rPr>
          <w:b/>
          <w:bCs/>
        </w:rPr>
        <w:t>’</w:t>
      </w:r>
      <w:r w:rsidRPr="004C693B">
        <w:rPr>
          <w:b/>
          <w:bCs/>
        </w:rPr>
        <w:t>ensemble des dossiers au cours du cycle 2021</w:t>
      </w:r>
      <w:r w:rsidRPr="004C693B">
        <w:t>. Les membres de l</w:t>
      </w:r>
      <w:r w:rsidR="00FB39FB">
        <w:t>’</w:t>
      </w:r>
      <w:r w:rsidRPr="004C693B">
        <w:t>Organe d</w:t>
      </w:r>
      <w:r w:rsidR="00FB39FB">
        <w:t>’</w:t>
      </w:r>
      <w:r w:rsidRPr="004C693B">
        <w:t>évaluation se sont efforcés de se concerter afin ne pas envoyer de messages contradictoires ou incohérents aux États parties ayant soumis leur demande, ainsi que pour maintenir un degré maximal de cohérence lors de son évaluation des dossiers au cours du cycle 2021. À cette fin, l</w:t>
      </w:r>
      <w:r w:rsidR="00FB39FB">
        <w:t>’</w:t>
      </w:r>
      <w:r w:rsidRPr="004C693B">
        <w:t>Organe d</w:t>
      </w:r>
      <w:r w:rsidR="00FB39FB">
        <w:t>’</w:t>
      </w:r>
      <w:r w:rsidRPr="004C693B">
        <w:t>évaluation a examiné et évalué les dossiers en tant que cas uniques et respecté leur situation individuelle selon les renseignements contenus dans les dossiers de candidature.</w:t>
      </w:r>
    </w:p>
    <w:p w14:paraId="4FB07A66" w14:textId="06B4899C" w:rsidR="00FF4076" w:rsidRPr="004C693B" w:rsidRDefault="003A4982" w:rsidP="00E81059">
      <w:pPr>
        <w:pStyle w:val="COMPara"/>
        <w:numPr>
          <w:ilvl w:val="0"/>
          <w:numId w:val="12"/>
        </w:numPr>
        <w:ind w:left="567" w:hanging="567"/>
        <w:jc w:val="both"/>
      </w:pPr>
      <w:r w:rsidRPr="004C693B">
        <w:rPr>
          <w:b/>
          <w:bCs/>
        </w:rPr>
        <w:t>Cohérence avec les décisions antérieures du Comité et de l</w:t>
      </w:r>
      <w:r w:rsidR="00FB39FB">
        <w:rPr>
          <w:b/>
          <w:bCs/>
        </w:rPr>
        <w:t>’</w:t>
      </w:r>
      <w:r w:rsidRPr="004C693B">
        <w:rPr>
          <w:b/>
          <w:bCs/>
        </w:rPr>
        <w:t>Organe d</w:t>
      </w:r>
      <w:r w:rsidR="00FB39FB">
        <w:rPr>
          <w:b/>
          <w:bCs/>
        </w:rPr>
        <w:t>’</w:t>
      </w:r>
      <w:r w:rsidRPr="004C693B">
        <w:rPr>
          <w:b/>
          <w:bCs/>
        </w:rPr>
        <w:t>évaluation</w:t>
      </w:r>
      <w:r w:rsidRPr="004C693B">
        <w:t>. L</w:t>
      </w:r>
      <w:r w:rsidR="00FB39FB">
        <w:t>’</w:t>
      </w:r>
      <w:r w:rsidRPr="004C693B">
        <w:t>Organe d</w:t>
      </w:r>
      <w:r w:rsidR="00FB39FB">
        <w:t>’</w:t>
      </w:r>
      <w:r w:rsidRPr="004C693B">
        <w:t>évaluation a été guidé par l</w:t>
      </w:r>
      <w:r w:rsidR="00FB39FB">
        <w:t>’</w:t>
      </w:r>
      <w:r w:rsidRPr="004C693B">
        <w:t>objectif de maintenir la cohérence avec les décisions prises lors des précédentes réunions de l</w:t>
      </w:r>
      <w:r w:rsidR="00FB39FB">
        <w:t>’</w:t>
      </w:r>
      <w:r w:rsidRPr="004C693B">
        <w:t>Organe d</w:t>
      </w:r>
      <w:r w:rsidR="00FB39FB">
        <w:t>’</w:t>
      </w:r>
      <w:r w:rsidRPr="004C693B">
        <w:t>évaluation et du Comité. Les membres se sont efforcés de maintenir l</w:t>
      </w:r>
      <w:r w:rsidR="00FB39FB">
        <w:t>’</w:t>
      </w:r>
      <w:r w:rsidRPr="004C693B">
        <w:t>équilibre dans l</w:t>
      </w:r>
      <w:r w:rsidR="00FB39FB">
        <w:t>’</w:t>
      </w:r>
      <w:r w:rsidRPr="004C693B">
        <w:t>évaluation de chaque critère et de chaque dossier dans leur ensemble, en reconnaissant que les travaux de l</w:t>
      </w:r>
      <w:r w:rsidR="00FB39FB">
        <w:t>’</w:t>
      </w:r>
      <w:r w:rsidRPr="004C693B">
        <w:t>Organe d</w:t>
      </w:r>
      <w:r w:rsidR="00FB39FB">
        <w:t>’</w:t>
      </w:r>
      <w:r w:rsidRPr="004C693B">
        <w:t xml:space="preserve">évaluation et du Comité sont en constante évolution, et cette expérience a été acquise dans la mise en œuvre de la Convention avec les États parties et avec les autres parties prenantes concernées. </w:t>
      </w:r>
      <w:r w:rsidR="00B5454E" w:rsidRPr="00B5454E">
        <w:t>Les membres ont donc convenu que les recommandations de l</w:t>
      </w:r>
      <w:r w:rsidR="00B5454E">
        <w:t>’O</w:t>
      </w:r>
      <w:r w:rsidR="00B5454E" w:rsidRPr="00B5454E">
        <w:t xml:space="preserve">rgane d'évaluation ne devraient pas être </w:t>
      </w:r>
      <w:r w:rsidR="00B5454E">
        <w:t>restreintes par les</w:t>
      </w:r>
      <w:r w:rsidR="00B5454E" w:rsidRPr="00B5454E">
        <w:t xml:space="preserve"> recommandations antérieures dans le cas où </w:t>
      </w:r>
      <w:r w:rsidR="00B5454E">
        <w:t>l’</w:t>
      </w:r>
      <w:r w:rsidR="00B5454E" w:rsidRPr="00B5454E">
        <w:t xml:space="preserve">expérience </w:t>
      </w:r>
      <w:r w:rsidR="00B5454E">
        <w:t xml:space="preserve">accumulée </w:t>
      </w:r>
      <w:r w:rsidR="00B5454E" w:rsidRPr="00B5454E">
        <w:t xml:space="preserve">et </w:t>
      </w:r>
      <w:r w:rsidR="00B5454E">
        <w:t>l</w:t>
      </w:r>
      <w:r w:rsidR="00B5454E" w:rsidRPr="00B5454E">
        <w:t>a jurisprudence l</w:t>
      </w:r>
      <w:r w:rsidR="00B5454E">
        <w:t>’</w:t>
      </w:r>
      <w:r w:rsidR="00B5454E" w:rsidRPr="00B5454E">
        <w:t>amènent à une évaluation différente de celle des organes d</w:t>
      </w:r>
      <w:r w:rsidR="00B5454E">
        <w:t>’</w:t>
      </w:r>
      <w:r w:rsidR="00B5454E" w:rsidRPr="00B5454E">
        <w:t>évaluation antérieurs.</w:t>
      </w:r>
    </w:p>
    <w:p w14:paraId="39739E7C" w14:textId="4284E72A" w:rsidR="001E099E" w:rsidRPr="004C693B" w:rsidRDefault="005A6193" w:rsidP="00E81059">
      <w:pPr>
        <w:pStyle w:val="COMPara"/>
        <w:numPr>
          <w:ilvl w:val="0"/>
          <w:numId w:val="12"/>
        </w:numPr>
        <w:ind w:left="567" w:hanging="567"/>
        <w:jc w:val="both"/>
      </w:pPr>
      <w:r w:rsidRPr="004C693B">
        <w:rPr>
          <w:b/>
          <w:bCs/>
        </w:rPr>
        <w:t>Évaluation du contenu des dossiers</w:t>
      </w:r>
      <w:r w:rsidRPr="004C693B">
        <w:t xml:space="preserve">. Tout au long de </w:t>
      </w:r>
      <w:r w:rsidR="00105013">
        <w:t>son examen</w:t>
      </w:r>
      <w:r w:rsidRPr="004C693B">
        <w:t>, l</w:t>
      </w:r>
      <w:r w:rsidR="00FB39FB">
        <w:t>’</w:t>
      </w:r>
      <w:r w:rsidRPr="004C693B">
        <w:t>Organe d</w:t>
      </w:r>
      <w:r w:rsidR="00FB39FB">
        <w:t>’</w:t>
      </w:r>
      <w:r w:rsidRPr="004C693B">
        <w:t>évaluation s</w:t>
      </w:r>
      <w:r w:rsidR="00FB39FB">
        <w:t>’</w:t>
      </w:r>
      <w:r w:rsidRPr="004C693B">
        <w:t>est appuyé sur les informations fournies par les États parties dans leurs dossiers de candidature. Dans une perspective de maintien de la cohérence avec les décisions et approches passées, ses recommandations ont été fondées strictement sur les renseignements fournis, en omettant les sympathies personnelles et les preuves externes. Toutefois, la question des preuves externes a fait l</w:t>
      </w:r>
      <w:r w:rsidR="00FB39FB">
        <w:t>’</w:t>
      </w:r>
      <w:r w:rsidRPr="004C693B">
        <w:t>objet d</w:t>
      </w:r>
      <w:r w:rsidR="00FB39FB">
        <w:t>’</w:t>
      </w:r>
      <w:r w:rsidRPr="004C693B">
        <w:t>un débat considérable, au cours duquel les membres de l</w:t>
      </w:r>
      <w:r w:rsidR="00FB39FB">
        <w:t>’</w:t>
      </w:r>
      <w:r w:rsidRPr="004C693B">
        <w:t>Organe d</w:t>
      </w:r>
      <w:r w:rsidR="00FB39FB">
        <w:t>’</w:t>
      </w:r>
      <w:r w:rsidRPr="004C693B">
        <w:t>évaluation ont discuté de la possibilité que les informations fournies dans le dossier de candidature ne représentent qu</w:t>
      </w:r>
      <w:r w:rsidR="00FB39FB">
        <w:t>’</w:t>
      </w:r>
      <w:r w:rsidRPr="004C693B">
        <w:t>une description partielle de l</w:t>
      </w:r>
      <w:r w:rsidR="00FB39FB">
        <w:t>’</w:t>
      </w:r>
      <w:r w:rsidRPr="004C693B">
        <w:t>élément et risquent donc d</w:t>
      </w:r>
      <w:r w:rsidR="00FB39FB">
        <w:t>’</w:t>
      </w:r>
      <w:r w:rsidRPr="004C693B">
        <w:t>en omettre certains aspects potentiellement problématiques. Cette question soulève celle, plus large, de l</w:t>
      </w:r>
      <w:r w:rsidR="00FB39FB">
        <w:t>’</w:t>
      </w:r>
      <w:r w:rsidRPr="004C693B">
        <w:t>utilité potentielle du recours à des informations externes durant la procédure d</w:t>
      </w:r>
      <w:r w:rsidR="00FB39FB">
        <w:t>’</w:t>
      </w:r>
      <w:r w:rsidRPr="004C693B">
        <w:t>évaluation.</w:t>
      </w:r>
    </w:p>
    <w:p w14:paraId="05356182" w14:textId="355EA6F0" w:rsidR="00EE42E9" w:rsidRPr="004C693B" w:rsidRDefault="00C66F9D" w:rsidP="00E81059">
      <w:pPr>
        <w:pStyle w:val="COMPara"/>
        <w:numPr>
          <w:ilvl w:val="0"/>
          <w:numId w:val="12"/>
        </w:numPr>
        <w:ind w:left="567" w:hanging="567"/>
        <w:jc w:val="both"/>
      </w:pPr>
      <w:r w:rsidRPr="004C693B">
        <w:rPr>
          <w:b/>
          <w:bCs/>
        </w:rPr>
        <w:t>Mécanisme combiné</w:t>
      </w:r>
      <w:r w:rsidRPr="004C693B">
        <w:t>. La procédure suivante a été appliquée dans le but d</w:t>
      </w:r>
      <w:r w:rsidR="00FB39FB">
        <w:t>’</w:t>
      </w:r>
      <w:r w:rsidRPr="004C693B">
        <w:t xml:space="preserve">évaluer les candidatures </w:t>
      </w:r>
      <w:r w:rsidR="00105013">
        <w:t xml:space="preserve">pour </w:t>
      </w:r>
      <w:r w:rsidRPr="004C693B">
        <w:t xml:space="preserve">inscription sur la Liste du patrimoine culturel immatériel </w:t>
      </w:r>
      <w:r w:rsidR="009B142E" w:rsidRPr="004C693B">
        <w:t>nécessitant une sauvegarde urgente</w:t>
      </w:r>
      <w:r w:rsidR="00105013">
        <w:t xml:space="preserve"> combinées à des</w:t>
      </w:r>
      <w:r w:rsidRPr="004C693B">
        <w:t xml:space="preserve"> demandes d</w:t>
      </w:r>
      <w:r w:rsidR="00FB39FB">
        <w:t>’</w:t>
      </w:r>
      <w:r w:rsidRPr="004C693B">
        <w:t xml:space="preserve">assistance internationale </w:t>
      </w:r>
      <w:r w:rsidR="00105013">
        <w:t xml:space="preserve">pour appuyer </w:t>
      </w:r>
      <w:r w:rsidRPr="004C693B">
        <w:t xml:space="preserve">la mise en œuvre du plan de sauvegarde proposé : pour la Liste du patrimoine culturel immatériel </w:t>
      </w:r>
      <w:r w:rsidR="009B142E" w:rsidRPr="004C693B">
        <w:t>nécessitant une sauvegarde urgente</w:t>
      </w:r>
      <w:r w:rsidRPr="004C693B">
        <w:t>, lorsqu</w:t>
      </w:r>
      <w:r w:rsidR="00FB39FB">
        <w:t>’</w:t>
      </w:r>
      <w:r w:rsidRPr="004C693B">
        <w:t>un seul critère n</w:t>
      </w:r>
      <w:r w:rsidR="00FB39FB">
        <w:t>’</w:t>
      </w:r>
      <w:r w:rsidRPr="004C693B">
        <w:t xml:space="preserve">était pas satisfait, la décision a été prise de renvoyer le dossier entier. </w:t>
      </w:r>
      <w:r w:rsidR="009D6363" w:rsidRPr="004C693B">
        <w:t>En</w:t>
      </w:r>
      <w:r w:rsidRPr="004C693B">
        <w:t xml:space="preserve"> revanche, pour les demandes d</w:t>
      </w:r>
      <w:r w:rsidR="00FB39FB">
        <w:t>’</w:t>
      </w:r>
      <w:r w:rsidRPr="004C693B">
        <w:t>assistance internationale, une appréciation globale a été requise. Afin de maintenir la cohérence avec la procédure suivie au cours des années précédentes, le dossier de candidature et la demande d</w:t>
      </w:r>
      <w:r w:rsidR="00FB39FB">
        <w:t>’</w:t>
      </w:r>
      <w:r w:rsidRPr="004C693B">
        <w:t>assistance internationale ont été évalués séparément.</w:t>
      </w:r>
    </w:p>
    <w:p w14:paraId="08C89089" w14:textId="2CF8F778" w:rsidR="005C3CD2" w:rsidRPr="004C693B" w:rsidRDefault="00EE42E9" w:rsidP="00E81059">
      <w:pPr>
        <w:pStyle w:val="COMPara"/>
        <w:numPr>
          <w:ilvl w:val="0"/>
          <w:numId w:val="12"/>
        </w:numPr>
        <w:ind w:left="567" w:hanging="567"/>
        <w:jc w:val="both"/>
      </w:pPr>
      <w:r w:rsidRPr="004C693B">
        <w:rPr>
          <w:b/>
          <w:bCs/>
        </w:rPr>
        <w:lastRenderedPageBreak/>
        <w:t xml:space="preserve">Candidatures </w:t>
      </w:r>
      <w:r w:rsidR="004462E4" w:rsidRPr="004C693B">
        <w:rPr>
          <w:b/>
          <w:bCs/>
        </w:rPr>
        <w:t>multinationa</w:t>
      </w:r>
      <w:r w:rsidRPr="004C693B">
        <w:rPr>
          <w:b/>
          <w:bCs/>
        </w:rPr>
        <w:t>les</w:t>
      </w:r>
      <w:r w:rsidRPr="004C693B">
        <w:t>. Au cours de l</w:t>
      </w:r>
      <w:r w:rsidR="00FB39FB">
        <w:t>’</w:t>
      </w:r>
      <w:r w:rsidRPr="004C693B">
        <w:t xml:space="preserve">évaluation du dossier </w:t>
      </w:r>
      <w:r w:rsidR="004462E4" w:rsidRPr="004C693B">
        <w:t>multinationa</w:t>
      </w:r>
      <w:r w:rsidRPr="004C693B">
        <w:t xml:space="preserve">l relatif à </w:t>
      </w:r>
      <w:r w:rsidR="009B142E" w:rsidRPr="004C693B">
        <w:t xml:space="preserve">la fauconnerie </w:t>
      </w:r>
      <w:r w:rsidRPr="004C693B">
        <w:t>durant ce cycle, cinq des douze membres de l</w:t>
      </w:r>
      <w:r w:rsidR="00FB39FB">
        <w:t>’</w:t>
      </w:r>
      <w:r w:rsidRPr="004C693B">
        <w:t>Organe d</w:t>
      </w:r>
      <w:r w:rsidR="00FB39FB">
        <w:t>’</w:t>
      </w:r>
      <w:r w:rsidRPr="004C693B">
        <w:t>évaluation ont été invités à quitter le débat du fait que le dossier avait été déposé par leur pays d</w:t>
      </w:r>
      <w:r w:rsidR="00FB39FB">
        <w:t>’</w:t>
      </w:r>
      <w:r w:rsidRPr="004C693B">
        <w:t>origine ou par un pays dans lequel leur organisation non gouvernementale était basée. Compte tenu du nombre croissant d</w:t>
      </w:r>
      <w:r w:rsidR="00FB39FB">
        <w:t>’</w:t>
      </w:r>
      <w:r w:rsidRPr="004C693B">
        <w:t xml:space="preserve">États parties qui se joignent aux candidatures </w:t>
      </w:r>
      <w:r w:rsidR="004462E4" w:rsidRPr="004C693B">
        <w:t>multinationa</w:t>
      </w:r>
      <w:r w:rsidRPr="004C693B">
        <w:t>les, et dans la perspective de l</w:t>
      </w:r>
      <w:r w:rsidR="00FB39FB">
        <w:t>’</w:t>
      </w:r>
      <w:r w:rsidRPr="004C693B">
        <w:t>établissement d</w:t>
      </w:r>
      <w:r w:rsidR="00FB39FB">
        <w:t>’</w:t>
      </w:r>
      <w:r w:rsidRPr="004C693B">
        <w:t>un consensus, il est nécessaire de discuter de la procédure d</w:t>
      </w:r>
      <w:r w:rsidR="00FB39FB">
        <w:t>’</w:t>
      </w:r>
      <w:r w:rsidRPr="004C693B">
        <w:t>évaluation des dossiers lorsque six membres ou plus de l</w:t>
      </w:r>
      <w:r w:rsidR="00FB39FB">
        <w:t>’</w:t>
      </w:r>
      <w:r w:rsidRPr="004C693B">
        <w:t>Organe d</w:t>
      </w:r>
      <w:r w:rsidR="00FB39FB">
        <w:t>’</w:t>
      </w:r>
      <w:r w:rsidRPr="004C693B">
        <w:t>évaluation ne peuvent y participer.</w:t>
      </w:r>
    </w:p>
    <w:p w14:paraId="1D589AC7" w14:textId="50BC63D5" w:rsidR="00AC381F" w:rsidRPr="004C693B" w:rsidRDefault="004219EA" w:rsidP="00E81059">
      <w:pPr>
        <w:pStyle w:val="COMPara"/>
        <w:numPr>
          <w:ilvl w:val="0"/>
          <w:numId w:val="12"/>
        </w:numPr>
        <w:ind w:left="567" w:hanging="567"/>
        <w:jc w:val="both"/>
      </w:pPr>
      <w:r w:rsidRPr="004C693B">
        <w:rPr>
          <w:b/>
          <w:bCs/>
        </w:rPr>
        <w:t>Utilisation de l</w:t>
      </w:r>
      <w:r w:rsidR="00FB39FB">
        <w:rPr>
          <w:b/>
          <w:bCs/>
        </w:rPr>
        <w:t>’</w:t>
      </w:r>
      <w:r w:rsidRPr="004C693B">
        <w:rPr>
          <w:b/>
          <w:bCs/>
        </w:rPr>
        <w:t>option de renvoi</w:t>
      </w:r>
      <w:r w:rsidRPr="004C693B">
        <w:t>. Les membres de l</w:t>
      </w:r>
      <w:r w:rsidR="00FB39FB">
        <w:t>’</w:t>
      </w:r>
      <w:r w:rsidRPr="004C693B">
        <w:t>Organe d</w:t>
      </w:r>
      <w:r w:rsidR="00FB39FB">
        <w:t>’</w:t>
      </w:r>
      <w:r w:rsidRPr="004C693B">
        <w:t>évaluation ont convenu qu</w:t>
      </w:r>
      <w:r w:rsidR="00FB39FB">
        <w:t>’</w:t>
      </w:r>
      <w:r w:rsidRPr="004C693B">
        <w:t>une recommandation de renvoi d</w:t>
      </w:r>
      <w:r w:rsidR="00FB39FB">
        <w:t>’</w:t>
      </w:r>
      <w:r w:rsidRPr="004C693B">
        <w:t>une candidature ne serait émise qu</w:t>
      </w:r>
      <w:r w:rsidR="00FB39FB">
        <w:t>’</w:t>
      </w:r>
      <w:r w:rsidRPr="004C693B">
        <w:t>au terme d</w:t>
      </w:r>
      <w:r w:rsidR="00FB39FB">
        <w:t>’</w:t>
      </w:r>
      <w:r w:rsidRPr="004C693B">
        <w:t>un examen approfondi. Ils souhaitent insister auprès des États parties, et en particulier des communautés, groupes et individus concernés, sur le fait que la recommandation de procéder au renvoi d</w:t>
      </w:r>
      <w:r w:rsidR="00FB39FB">
        <w:t>’</w:t>
      </w:r>
      <w:r w:rsidRPr="004C693B">
        <w:t>un élément ne constitue en aucune façon un jugement sur le bien-fondé de l</w:t>
      </w:r>
      <w:r w:rsidR="00FB39FB">
        <w:t>’</w:t>
      </w:r>
      <w:r w:rsidRPr="004C693B">
        <w:t>élément lui-même. La recommandation tient compte exclusivement de la pertinence des informations présentées dans le dossier de candidature. L</w:t>
      </w:r>
      <w:r w:rsidR="00FB39FB">
        <w:t>’</w:t>
      </w:r>
      <w:r w:rsidRPr="004C693B">
        <w:t>option de renvoi a été appliquée lorsque le dossier de candidature ne contenait pas</w:t>
      </w:r>
      <w:r w:rsidR="00B84179" w:rsidRPr="004C693B">
        <w:t xml:space="preserve"> </w:t>
      </w:r>
      <w:r w:rsidRPr="004C693B">
        <w:t>suffisamment de preuves pour deux critères ou plus. L</w:t>
      </w:r>
      <w:r w:rsidR="00FB39FB">
        <w:t>’</w:t>
      </w:r>
      <w:r w:rsidRPr="004C693B">
        <w:t>Organe d</w:t>
      </w:r>
      <w:r w:rsidR="00FB39FB">
        <w:t>’</w:t>
      </w:r>
      <w:r w:rsidRPr="004C693B">
        <w:t>évaluation tient également à souligner que le renvoi d</w:t>
      </w:r>
      <w:r w:rsidR="00FB39FB">
        <w:t>’</w:t>
      </w:r>
      <w:r w:rsidRPr="004C693B">
        <w:t>une candidature constitue une opportunité, pour le ou les État(s) partie(s) qui soumettent des candidatures, de fournir des informations supplémentaires et de contribuer à une meilleure présentation de l</w:t>
      </w:r>
      <w:r w:rsidR="00FB39FB">
        <w:t>’</w:t>
      </w:r>
      <w:r w:rsidRPr="004C693B">
        <w:t>élément. L</w:t>
      </w:r>
      <w:r w:rsidR="00FB39FB">
        <w:t>’</w:t>
      </w:r>
      <w:r w:rsidRPr="004C693B">
        <w:t>Organe d</w:t>
      </w:r>
      <w:r w:rsidR="00FB39FB">
        <w:t>’</w:t>
      </w:r>
      <w:r w:rsidRPr="004C693B">
        <w:t>évaluation est conscient que les communautés et les États parties qui soumettent leur demande peuvent être déçus d</w:t>
      </w:r>
      <w:r w:rsidR="00FB39FB">
        <w:t>’</w:t>
      </w:r>
      <w:r w:rsidRPr="004C693B">
        <w:t>un possible report de leur inscription. Toutefois, l</w:t>
      </w:r>
      <w:r w:rsidR="00FB39FB">
        <w:t>’</w:t>
      </w:r>
      <w:r w:rsidRPr="004C693B">
        <w:t>Organe d</w:t>
      </w:r>
      <w:r w:rsidR="00FB39FB">
        <w:t>’</w:t>
      </w:r>
      <w:r w:rsidRPr="004C693B">
        <w:t>évaluation ne perçoit pas ce renvoi comme une issue négative.</w:t>
      </w:r>
    </w:p>
    <w:p w14:paraId="785A2E49" w14:textId="2294408F" w:rsidR="009057F2" w:rsidRPr="004C693B" w:rsidRDefault="00D05F67" w:rsidP="00E81059">
      <w:pPr>
        <w:pStyle w:val="COMPara"/>
        <w:numPr>
          <w:ilvl w:val="0"/>
          <w:numId w:val="12"/>
        </w:numPr>
        <w:ind w:left="567" w:hanging="567"/>
        <w:jc w:val="both"/>
      </w:pPr>
      <w:r w:rsidRPr="004C693B">
        <w:rPr>
          <w:b/>
          <w:bCs/>
        </w:rPr>
        <w:t>Amélioration de la qualité des dossiers de candidature</w:t>
      </w:r>
      <w:r w:rsidRPr="004C693B">
        <w:t>. L</w:t>
      </w:r>
      <w:r w:rsidR="00FB39FB">
        <w:t>’</w:t>
      </w:r>
      <w:r w:rsidRPr="004C693B">
        <w:t>Organe d</w:t>
      </w:r>
      <w:r w:rsidR="00FB39FB">
        <w:t>’</w:t>
      </w:r>
      <w:r w:rsidRPr="004C693B">
        <w:t>évaluation a observé une amélioration globale de la qualité des candidatures soumises à l</w:t>
      </w:r>
      <w:r w:rsidR="00FB39FB">
        <w:t>’</w:t>
      </w:r>
      <w:r w:rsidRPr="004C693B">
        <w:t>examen au cours du cycle 2021. Cette amélioration a été notable tant dans le cas des dossiers soumis pour la première fois que pour les candidatures soumises à nouveau après un renvoi antérieur.</w:t>
      </w:r>
    </w:p>
    <w:p w14:paraId="4C1E2015" w14:textId="2C677635" w:rsidR="00EF2775" w:rsidRPr="004C693B" w:rsidRDefault="004219EA" w:rsidP="00E81059">
      <w:pPr>
        <w:pStyle w:val="COMPara"/>
        <w:numPr>
          <w:ilvl w:val="0"/>
          <w:numId w:val="12"/>
        </w:numPr>
        <w:ind w:left="567" w:hanging="567"/>
        <w:jc w:val="both"/>
      </w:pPr>
      <w:r w:rsidRPr="004C693B">
        <w:rPr>
          <w:b/>
          <w:bCs/>
        </w:rPr>
        <w:t>Utilisation de l</w:t>
      </w:r>
      <w:r w:rsidR="00FB39FB">
        <w:rPr>
          <w:b/>
          <w:bCs/>
        </w:rPr>
        <w:t>’</w:t>
      </w:r>
      <w:r w:rsidRPr="004C693B">
        <w:rPr>
          <w:b/>
          <w:bCs/>
        </w:rPr>
        <w:t>option « Non »</w:t>
      </w:r>
      <w:r w:rsidRPr="004C693B">
        <w:t>. Dans de rares cas, l</w:t>
      </w:r>
      <w:r w:rsidR="00FB39FB">
        <w:t>’</w:t>
      </w:r>
      <w:r w:rsidRPr="004C693B">
        <w:t>Organe d</w:t>
      </w:r>
      <w:r w:rsidR="00FB39FB">
        <w:t>’</w:t>
      </w:r>
      <w:r w:rsidRPr="004C693B">
        <w:t>évaluation est parvenu à la conclusion que les informations contenues dans le dossier de candidature étaient suffisantes pour démontrer que l</w:t>
      </w:r>
      <w:r w:rsidR="00FB39FB">
        <w:t>’</w:t>
      </w:r>
      <w:r w:rsidRPr="004C693B">
        <w:t>inscription ou la sélection n</w:t>
      </w:r>
      <w:r w:rsidR="00FB39FB">
        <w:t>’</w:t>
      </w:r>
      <w:r w:rsidRPr="004C693B">
        <w:t>était pas garantie. Cette décision n</w:t>
      </w:r>
      <w:r w:rsidR="00FB39FB">
        <w:t>’</w:t>
      </w:r>
      <w:r w:rsidRPr="004C693B">
        <w:t xml:space="preserve">a pas vocation à exprimer de jugement </w:t>
      </w:r>
      <w:r w:rsidR="00105013">
        <w:t>de</w:t>
      </w:r>
      <w:r w:rsidRPr="004C693B">
        <w:t xml:space="preserve"> valeur sur l</w:t>
      </w:r>
      <w:r w:rsidR="00FB39FB">
        <w:t>’</w:t>
      </w:r>
      <w:r w:rsidRPr="004C693B">
        <w:t>élément</w:t>
      </w:r>
      <w:r w:rsidR="00B84179" w:rsidRPr="004C693B">
        <w:t xml:space="preserve"> proposé</w:t>
      </w:r>
      <w:r w:rsidRPr="004C693B">
        <w:t>. Elle indique plutôt que les critères d</w:t>
      </w:r>
      <w:r w:rsidR="00FB39FB">
        <w:t>’</w:t>
      </w:r>
      <w:r w:rsidRPr="004C693B">
        <w:t>inscription n</w:t>
      </w:r>
      <w:r w:rsidR="00FB39FB">
        <w:t>’</w:t>
      </w:r>
      <w:r w:rsidRPr="004C693B">
        <w:t>ont pas été satisfaits</w:t>
      </w:r>
      <w:r w:rsidR="00105013">
        <w:t xml:space="preserve"> tel que le demandent la Convention et ses</w:t>
      </w:r>
      <w:r w:rsidRPr="004C693B">
        <w:t xml:space="preserve"> Directives opérationnelles. L</w:t>
      </w:r>
      <w:r w:rsidR="00FB39FB">
        <w:t>’</w:t>
      </w:r>
      <w:r w:rsidRPr="004C693B">
        <w:t>Organe d</w:t>
      </w:r>
      <w:r w:rsidR="00FB39FB">
        <w:t>’</w:t>
      </w:r>
      <w:r w:rsidRPr="004C693B">
        <w:t>évaluation n</w:t>
      </w:r>
      <w:r w:rsidR="00FB39FB">
        <w:t>’</w:t>
      </w:r>
      <w:r w:rsidRPr="004C693B">
        <w:t>a pas estimé que l</w:t>
      </w:r>
      <w:r w:rsidR="00FB39FB">
        <w:t>’</w:t>
      </w:r>
      <w:r w:rsidRPr="004C693B">
        <w:t>apport d</w:t>
      </w:r>
      <w:r w:rsidR="00FB39FB">
        <w:t>’</w:t>
      </w:r>
      <w:r w:rsidRPr="004C693B">
        <w:t>informations supplémentaires serait susceptible de modifier sa recommandation.</w:t>
      </w:r>
    </w:p>
    <w:p w14:paraId="77E371C0" w14:textId="49E2A305" w:rsidR="00B84179" w:rsidRPr="004C693B" w:rsidRDefault="00C66F9D" w:rsidP="00E81059">
      <w:pPr>
        <w:pStyle w:val="COMPara"/>
        <w:numPr>
          <w:ilvl w:val="0"/>
          <w:numId w:val="12"/>
        </w:numPr>
        <w:ind w:left="567" w:hanging="567"/>
        <w:jc w:val="both"/>
      </w:pPr>
      <w:r w:rsidRPr="004C693B">
        <w:rPr>
          <w:b/>
          <w:bCs/>
        </w:rPr>
        <w:t>Expérience de la procédure de dialogue</w:t>
      </w:r>
      <w:r w:rsidRPr="004C693B">
        <w:t>. Durant ce cycle, l</w:t>
      </w:r>
      <w:r w:rsidR="00FB39FB">
        <w:t>’</w:t>
      </w:r>
      <w:r w:rsidRPr="004C693B">
        <w:t>Organe d</w:t>
      </w:r>
      <w:r w:rsidR="00FB39FB">
        <w:t>’</w:t>
      </w:r>
      <w:r w:rsidRPr="004C693B">
        <w:t>évaluation a appliqué la procédure de dialogue dans un plus grand nombre de cas que lors des cycles précédents. Le dialogue a également été utilisé pour la première fois dans un cas relatif à une demande d</w:t>
      </w:r>
      <w:r w:rsidR="00FB39FB">
        <w:t>’</w:t>
      </w:r>
      <w:r w:rsidRPr="004C693B">
        <w:t>assistance internationale. Contrairement à l</w:t>
      </w:r>
      <w:r w:rsidR="00FB39FB">
        <w:t>’</w:t>
      </w:r>
      <w:r w:rsidRPr="004C693B">
        <w:t>option de renvoi, le dialogue s</w:t>
      </w:r>
      <w:r w:rsidR="00FB39FB">
        <w:t>’</w:t>
      </w:r>
      <w:r w:rsidRPr="004C693B">
        <w:t>est limité aux questions exigeant une réponse spécifique.</w:t>
      </w:r>
      <w:r w:rsidR="00F1704B" w:rsidRPr="004C693B">
        <w:t xml:space="preserve"> Le dialogue n</w:t>
      </w:r>
      <w:r w:rsidR="00FB39FB">
        <w:t>’</w:t>
      </w:r>
      <w:r w:rsidR="00F1704B" w:rsidRPr="004C693B">
        <w:t>a été utilisé que lorsqu</w:t>
      </w:r>
      <w:r w:rsidR="00FB39FB">
        <w:t>’</w:t>
      </w:r>
      <w:r w:rsidR="00F1704B" w:rsidRPr="004C693B">
        <w:t xml:space="preserve">il y avait un manque </w:t>
      </w:r>
      <w:r w:rsidR="0022154A">
        <w:t xml:space="preserve">mineur </w:t>
      </w:r>
      <w:r w:rsidR="00F1704B" w:rsidRPr="004C693B">
        <w:t>d</w:t>
      </w:r>
      <w:r w:rsidR="00FB39FB">
        <w:t>’</w:t>
      </w:r>
      <w:r w:rsidR="00F1704B" w:rsidRPr="004C693B">
        <w:t xml:space="preserve">information ou une déclaration </w:t>
      </w:r>
      <w:r w:rsidR="0022154A">
        <w:t>ambiguë</w:t>
      </w:r>
      <w:r w:rsidR="00F1704B" w:rsidRPr="004C693B">
        <w:t>, que l</w:t>
      </w:r>
      <w:r w:rsidR="00FB39FB">
        <w:t>’</w:t>
      </w:r>
      <w:r w:rsidR="00F1704B" w:rsidRPr="004C693B">
        <w:t>Organe d</w:t>
      </w:r>
      <w:r w:rsidR="00FB39FB">
        <w:t>’</w:t>
      </w:r>
      <w:r w:rsidR="00F1704B" w:rsidRPr="004C693B">
        <w:t>évaluation a considéré comme pouvant être clarifiée par un simple échange de questions-réponses avec le(s) État(s) partie(s) soumissionnaire(s).</w:t>
      </w:r>
    </w:p>
    <w:p w14:paraId="4B6C4AD0" w14:textId="6474C174" w:rsidR="00B634FA" w:rsidRPr="004C693B" w:rsidRDefault="00907BD1" w:rsidP="00E81059">
      <w:pPr>
        <w:pStyle w:val="COMPara"/>
        <w:numPr>
          <w:ilvl w:val="0"/>
          <w:numId w:val="12"/>
        </w:numPr>
        <w:ind w:left="567" w:hanging="567"/>
        <w:jc w:val="both"/>
      </w:pPr>
      <w:r w:rsidRPr="004C693B">
        <w:rPr>
          <w:b/>
          <w:bCs/>
        </w:rPr>
        <w:t>Description des questions</w:t>
      </w:r>
      <w:r w:rsidR="006E26E5" w:rsidRPr="004C693B">
        <w:t>.</w:t>
      </w:r>
      <w:r w:rsidRPr="004C693B">
        <w:t xml:space="preserve"> Les questions de la procédure de dialogue ont porté sur les critères R.3, U.3, R.4, U.4, R.5, U.5 et A.1. Les questions concernant les critères R.3 et U.3 demandaient des réponses sur le rôle des communautés, groupes et individus concernés dans l</w:t>
      </w:r>
      <w:r w:rsidR="00FB39FB">
        <w:t>’</w:t>
      </w:r>
      <w:r w:rsidRPr="004C693B">
        <w:t xml:space="preserve">élaboration et la mise en œuvre des mesures et des plans de sauvegarde proposés. Les questions concernant les critères </w:t>
      </w:r>
      <w:r w:rsidR="00B84179" w:rsidRPr="004C693B">
        <w:t xml:space="preserve">R.4, </w:t>
      </w:r>
      <w:r w:rsidRPr="004C693B">
        <w:t>U.4 et A.1 demandaient des réponses sur le rôle des communautés, groupes et individus concernés dans la préparation des dossiers de candidature, ainsi que sur la façon dont le consentement libre, préalable et éclairé avait été obtenu. Les questions concernant les critères R.5 et U.5 étaient plus diversifiées et demandaient davantage d</w:t>
      </w:r>
      <w:r w:rsidR="00FB39FB">
        <w:t>’</w:t>
      </w:r>
      <w:r w:rsidRPr="004C693B">
        <w:t>informations sur les caractéristiques de certains inventaires, le processus de mise à jour des inventaires et le rôle des communautés, groupes et individus concernés dans le processus de mise à jour.</w:t>
      </w:r>
    </w:p>
    <w:p w14:paraId="57D41C2E" w14:textId="48B17C25" w:rsidR="00F75CA7" w:rsidRPr="000A04AF" w:rsidRDefault="00C66F9D" w:rsidP="00E81059">
      <w:pPr>
        <w:pStyle w:val="COMPara"/>
        <w:numPr>
          <w:ilvl w:val="0"/>
          <w:numId w:val="12"/>
        </w:numPr>
        <w:ind w:left="567" w:hanging="567"/>
        <w:jc w:val="both"/>
        <w:rPr>
          <w:rFonts w:eastAsiaTheme="minorEastAsia"/>
        </w:rPr>
      </w:pPr>
      <w:r w:rsidRPr="004C693B">
        <w:rPr>
          <w:b/>
        </w:rPr>
        <w:lastRenderedPageBreak/>
        <w:t>Correspondance concernant les candidatures en cours</w:t>
      </w:r>
      <w:r w:rsidRPr="004C693B">
        <w:rPr>
          <w:bCs/>
        </w:rPr>
        <w:t>.</w:t>
      </w:r>
      <w:r w:rsidRPr="004C693B">
        <w:t xml:space="preserve"> De même que lors des cycles précédents, l</w:t>
      </w:r>
      <w:r w:rsidR="00FB39FB">
        <w:t>’</w:t>
      </w:r>
      <w:r w:rsidRPr="004C693B">
        <w:t>Organe d</w:t>
      </w:r>
      <w:r w:rsidR="00FB39FB">
        <w:t>’</w:t>
      </w:r>
      <w:r w:rsidRPr="004C693B">
        <w:t xml:space="preserve">évaluation a pris note des </w:t>
      </w:r>
      <w:r w:rsidR="00B84179" w:rsidRPr="004C693B">
        <w:t xml:space="preserve">correspondances </w:t>
      </w:r>
      <w:r w:rsidRPr="004C693B">
        <w:t>reçues concernant l</w:t>
      </w:r>
      <w:r w:rsidR="00FF263B" w:rsidRPr="004C693B">
        <w:t>es</w:t>
      </w:r>
      <w:r w:rsidRPr="004C693B">
        <w:t xml:space="preserve"> candidature</w:t>
      </w:r>
      <w:r w:rsidR="00FF263B" w:rsidRPr="004C693B">
        <w:t>s</w:t>
      </w:r>
      <w:r w:rsidRPr="004C693B">
        <w:t xml:space="preserve"> à </w:t>
      </w:r>
      <w:r w:rsidRPr="000A04AF">
        <w:t>la Liste représentative du patrimoine culturel immatériel de l</w:t>
      </w:r>
      <w:r w:rsidR="00FB39FB" w:rsidRPr="000A04AF">
        <w:t>’</w:t>
      </w:r>
      <w:r w:rsidRPr="000A04AF">
        <w:t xml:space="preserve">humanité. Conformément aux </w:t>
      </w:r>
      <w:r w:rsidR="00A44F46" w:rsidRPr="000A04AF">
        <w:t>recommandations</w:t>
      </w:r>
      <w:r w:rsidRPr="000A04AF">
        <w:t xml:space="preserve"> de 2012 pour le traitement de la correspondance du public ou des autres parties concernées en ce qui concerne les candidatures (</w:t>
      </w:r>
      <w:hyperlink r:id="rId23" w:history="1">
        <w:r w:rsidR="00A44F46" w:rsidRPr="000A04AF">
          <w:rPr>
            <w:rStyle w:val="Hyperlink"/>
          </w:rPr>
          <w:t>décision 7.COM</w:t>
        </w:r>
        <w:r w:rsidR="0008437D" w:rsidRPr="000A04AF">
          <w:rPr>
            <w:rStyle w:val="Hyperlink"/>
          </w:rPr>
          <w:t> </w:t>
        </w:r>
        <w:r w:rsidR="00A44F46" w:rsidRPr="000A04AF">
          <w:rPr>
            <w:rStyle w:val="Hyperlink"/>
          </w:rPr>
          <w:t>15</w:t>
        </w:r>
      </w:hyperlink>
      <w:r w:rsidRPr="000A04AF">
        <w:t xml:space="preserve">), le Secrétariat a transmis la/les lettre(s) à/aux État(s) </w:t>
      </w:r>
      <w:r w:rsidR="005E1E57" w:rsidRPr="000A04AF">
        <w:t>soumissionnaire(s)</w:t>
      </w:r>
      <w:r w:rsidRPr="000A04AF">
        <w:t xml:space="preserve"> et, le cas échéant, a renvoyé leur réponse à l</w:t>
      </w:r>
      <w:r w:rsidR="00FB39FB" w:rsidRPr="000A04AF">
        <w:t>’</w:t>
      </w:r>
      <w:r w:rsidRPr="000A04AF">
        <w:t>expéditeur initial</w:t>
      </w:r>
      <w:r w:rsidR="00B84179" w:rsidRPr="000A04AF">
        <w:t xml:space="preserve"> (voir aussi</w:t>
      </w:r>
      <w:r w:rsidR="00D20C6B" w:rsidRPr="000A04AF">
        <w:t xml:space="preserve"> le</w:t>
      </w:r>
      <w:r w:rsidR="00B84179" w:rsidRPr="000A04AF">
        <w:t xml:space="preserve"> </w:t>
      </w:r>
      <w:hyperlink r:id="rId24" w:history="1">
        <w:r w:rsidR="00D20C6B" w:rsidRPr="000A04AF">
          <w:rPr>
            <w:rStyle w:val="Hyperlink"/>
          </w:rPr>
          <w:t>d</w:t>
        </w:r>
        <w:r w:rsidR="005E1E57" w:rsidRPr="000A04AF">
          <w:rPr>
            <w:rStyle w:val="Hyperlink"/>
          </w:rPr>
          <w:t>ocument LHE/21/16.COM/11</w:t>
        </w:r>
      </w:hyperlink>
      <w:r w:rsidR="00B84179" w:rsidRPr="000A04AF">
        <w:t>)</w:t>
      </w:r>
      <w:r w:rsidR="00A44F46" w:rsidRPr="000A04AF">
        <w:t>.</w:t>
      </w:r>
      <w:r w:rsidRPr="000A04AF">
        <w:t xml:space="preserve"> </w:t>
      </w:r>
      <w:bookmarkStart w:id="0" w:name="_Hlk81496376"/>
      <w:r w:rsidRPr="000A04AF">
        <w:t xml:space="preserve">Conformément à la </w:t>
      </w:r>
      <w:hyperlink r:id="rId25" w:history="1">
        <w:r w:rsidRPr="000A04AF">
          <w:rPr>
            <w:rStyle w:val="Hyperlink"/>
          </w:rPr>
          <w:t>décision</w:t>
        </w:r>
        <w:r w:rsidR="0008437D" w:rsidRPr="000A04AF">
          <w:rPr>
            <w:rStyle w:val="Hyperlink"/>
          </w:rPr>
          <w:t> </w:t>
        </w:r>
        <w:r w:rsidRPr="000A04AF">
          <w:rPr>
            <w:rStyle w:val="Hyperlink"/>
          </w:rPr>
          <w:t>14.COM</w:t>
        </w:r>
        <w:r w:rsidR="0008437D" w:rsidRPr="000A04AF">
          <w:rPr>
            <w:rStyle w:val="Hyperlink"/>
          </w:rPr>
          <w:t> </w:t>
        </w:r>
        <w:r w:rsidRPr="000A04AF">
          <w:rPr>
            <w:rStyle w:val="Hyperlink"/>
          </w:rPr>
          <w:t>14</w:t>
        </w:r>
      </w:hyperlink>
      <w:r w:rsidRPr="000A04AF">
        <w:t>, la correspondance est récapitulée ci-après. Les lettres sont mises à la disposition du Comité sur le site Internet de la seizième session du Comité :</w:t>
      </w:r>
    </w:p>
    <w:p w14:paraId="4712DA6D" w14:textId="663A8903" w:rsidR="00CB6560" w:rsidRPr="000A04AF" w:rsidRDefault="00F75CA7" w:rsidP="00E81059">
      <w:pPr>
        <w:pStyle w:val="COMPara"/>
        <w:numPr>
          <w:ilvl w:val="1"/>
          <w:numId w:val="10"/>
        </w:numPr>
        <w:snapToGrid w:val="0"/>
        <w:ind w:left="1260" w:hanging="540"/>
        <w:jc w:val="both"/>
      </w:pPr>
      <w:r w:rsidRPr="000A04AF">
        <w:rPr>
          <w:i/>
        </w:rPr>
        <w:t xml:space="preserve">« Hüsn-i Hat, </w:t>
      </w:r>
      <w:r w:rsidR="00152143" w:rsidRPr="000A04AF">
        <w:rPr>
          <w:i/>
        </w:rPr>
        <w:t>l’</w:t>
      </w:r>
      <w:r w:rsidRPr="000A04AF">
        <w:rPr>
          <w:i/>
        </w:rPr>
        <w:t>art traditionnel de la calligraphie islamique »</w:t>
      </w:r>
      <w:r w:rsidRPr="000A04AF">
        <w:t xml:space="preserve"> (</w:t>
      </w:r>
      <w:r w:rsidR="00A44F46" w:rsidRPr="000A04AF">
        <w:t xml:space="preserve">soumis </w:t>
      </w:r>
      <w:r w:rsidRPr="000A04AF">
        <w:t>par la Turquie). En juillet 2020, le Ministère iranien du patrimoine culturel, du tourisme et de l</w:t>
      </w:r>
      <w:r w:rsidR="00FB39FB" w:rsidRPr="000A04AF">
        <w:t>’</w:t>
      </w:r>
      <w:r w:rsidRPr="000A04AF">
        <w:t>artisanat a adressé une lettre à l</w:t>
      </w:r>
      <w:r w:rsidR="00FB39FB" w:rsidRPr="000A04AF">
        <w:t>’</w:t>
      </w:r>
      <w:r w:rsidRPr="000A04AF">
        <w:t>UNESCO</w:t>
      </w:r>
      <w:r w:rsidR="00CB6560" w:rsidRPr="000A04AF">
        <w:t>,</w:t>
      </w:r>
      <w:r w:rsidRPr="000A04AF">
        <w:t xml:space="preserve"> </w:t>
      </w:r>
      <w:r w:rsidR="00CB6560" w:rsidRPr="000A04AF">
        <w:t xml:space="preserve">reconnaissant la collaboration positive, par le passé, de l’Iran avec la Turquie concernant la sauvegarde du patrimoine culturel immatériel (y compris dans la soumission de dossiers de candidature conjoints), tout en exprimant des préoccupations concernant la portée géographique et </w:t>
      </w:r>
      <w:r w:rsidR="003A088C" w:rsidRPr="000A04AF">
        <w:t>la sur-inclusivité</w:t>
      </w:r>
      <w:r w:rsidR="00CB6560" w:rsidRPr="000A04AF">
        <w:t xml:space="preserve"> de l’élément tel qu’identifié dans le dossier de candidature.</w:t>
      </w:r>
    </w:p>
    <w:p w14:paraId="21CE08C7" w14:textId="342CC000" w:rsidR="00BA1F28" w:rsidRPr="004C693B" w:rsidRDefault="005613DA" w:rsidP="00E81059">
      <w:pPr>
        <w:pStyle w:val="COMPara"/>
        <w:numPr>
          <w:ilvl w:val="1"/>
          <w:numId w:val="10"/>
        </w:numPr>
        <w:snapToGrid w:val="0"/>
        <w:ind w:left="1260" w:hanging="540"/>
        <w:jc w:val="both"/>
      </w:pPr>
      <w:r w:rsidRPr="000A04AF">
        <w:rPr>
          <w:i/>
          <w:iCs/>
          <w:lang w:eastAsia="zh-CN"/>
        </w:rPr>
        <w:t xml:space="preserve">« La recherche et le cavage de truffes en Italie, connaissances et pratiques traditionnelles » </w:t>
      </w:r>
      <w:r w:rsidRPr="000A04AF">
        <w:rPr>
          <w:lang w:eastAsia="zh-CN"/>
        </w:rPr>
        <w:t>(soumis par l</w:t>
      </w:r>
      <w:r w:rsidR="00FB39FB" w:rsidRPr="000A04AF">
        <w:rPr>
          <w:lang w:eastAsia="zh-CN"/>
        </w:rPr>
        <w:t>’</w:t>
      </w:r>
      <w:r w:rsidRPr="000A04AF">
        <w:rPr>
          <w:lang w:eastAsia="zh-CN"/>
        </w:rPr>
        <w:t>Italie). En mars 2021, les membres de l</w:t>
      </w:r>
      <w:r w:rsidR="00FB39FB" w:rsidRPr="000A04AF">
        <w:rPr>
          <w:lang w:eastAsia="zh-CN"/>
        </w:rPr>
        <w:t>’</w:t>
      </w:r>
      <w:r w:rsidRPr="000A04AF">
        <w:rPr>
          <w:lang w:eastAsia="zh-CN"/>
        </w:rPr>
        <w:t>Organe d</w:t>
      </w:r>
      <w:r w:rsidR="00FB39FB" w:rsidRPr="000A04AF">
        <w:rPr>
          <w:lang w:eastAsia="zh-CN"/>
        </w:rPr>
        <w:t>’</w:t>
      </w:r>
      <w:r w:rsidRPr="000A04AF">
        <w:rPr>
          <w:lang w:eastAsia="zh-CN"/>
        </w:rPr>
        <w:t>évaluation ont reçu un courriel de l</w:t>
      </w:r>
      <w:r w:rsidR="00FB39FB" w:rsidRPr="000A04AF">
        <w:rPr>
          <w:lang w:eastAsia="zh-CN"/>
        </w:rPr>
        <w:t>’</w:t>
      </w:r>
      <w:r w:rsidRPr="000A04AF">
        <w:rPr>
          <w:lang w:eastAsia="zh-CN"/>
        </w:rPr>
        <w:t xml:space="preserve">organisation non gouvernementale </w:t>
      </w:r>
      <w:r w:rsidR="0005034E" w:rsidRPr="000A04AF">
        <w:rPr>
          <w:lang w:eastAsia="zh-CN"/>
        </w:rPr>
        <w:t>«</w:t>
      </w:r>
      <w:r w:rsidR="0005034E" w:rsidRPr="000A04AF">
        <w:rPr>
          <w:i/>
          <w:iCs/>
          <w:lang w:eastAsia="zh-CN"/>
        </w:rPr>
        <w:t> </w:t>
      </w:r>
      <w:r w:rsidRPr="000A04AF">
        <w:rPr>
          <w:lang w:eastAsia="zh-CN"/>
        </w:rPr>
        <w:t>Associazione per la difesa dei diritti degli animali</w:t>
      </w:r>
      <w:r w:rsidR="0005034E" w:rsidRPr="000A04AF">
        <w:rPr>
          <w:lang w:eastAsia="zh-CN"/>
        </w:rPr>
        <w:t> »</w:t>
      </w:r>
      <w:r w:rsidRPr="000A04AF">
        <w:rPr>
          <w:lang w:eastAsia="zh-CN"/>
        </w:rPr>
        <w:t xml:space="preserve"> exprimant des préoccupations concernant les droits des animaux et les dimensions économiques soulignées excessivement de l</w:t>
      </w:r>
      <w:r w:rsidR="00FB39FB" w:rsidRPr="000A04AF">
        <w:rPr>
          <w:lang w:eastAsia="zh-CN"/>
        </w:rPr>
        <w:t>’</w:t>
      </w:r>
      <w:r w:rsidRPr="000A04AF">
        <w:rPr>
          <w:lang w:eastAsia="zh-CN"/>
        </w:rPr>
        <w:t>élément. Comme la correspondance était</w:t>
      </w:r>
      <w:r w:rsidRPr="004C693B">
        <w:rPr>
          <w:lang w:eastAsia="zh-CN"/>
        </w:rPr>
        <w:t xml:space="preserve"> adressée directement aux membres de l</w:t>
      </w:r>
      <w:r w:rsidR="00FB39FB">
        <w:rPr>
          <w:lang w:eastAsia="zh-CN"/>
        </w:rPr>
        <w:t>’</w:t>
      </w:r>
      <w:r w:rsidRPr="004C693B">
        <w:rPr>
          <w:lang w:eastAsia="zh-CN"/>
        </w:rPr>
        <w:t>Organe d</w:t>
      </w:r>
      <w:r w:rsidR="00FB39FB">
        <w:rPr>
          <w:lang w:eastAsia="zh-CN"/>
        </w:rPr>
        <w:t>’</w:t>
      </w:r>
      <w:r w:rsidRPr="004C693B">
        <w:rPr>
          <w:lang w:eastAsia="zh-CN"/>
        </w:rPr>
        <w:t>évaluation, le Secrétariat n</w:t>
      </w:r>
      <w:r w:rsidR="00FB39FB">
        <w:rPr>
          <w:lang w:eastAsia="zh-CN"/>
        </w:rPr>
        <w:t>’</w:t>
      </w:r>
      <w:r w:rsidRPr="004C693B">
        <w:rPr>
          <w:lang w:eastAsia="zh-CN"/>
        </w:rPr>
        <w:t xml:space="preserve">a pas appliqué la </w:t>
      </w:r>
      <w:hyperlink r:id="rId26" w:history="1">
        <w:r w:rsidR="005E1E57">
          <w:rPr>
            <w:rStyle w:val="Hyperlink"/>
            <w:lang w:eastAsia="zh-CN"/>
          </w:rPr>
          <w:t>d</w:t>
        </w:r>
        <w:r w:rsidR="005E1E57" w:rsidRPr="004C693B">
          <w:rPr>
            <w:rStyle w:val="Hyperlink"/>
            <w:lang w:eastAsia="zh-CN"/>
          </w:rPr>
          <w:t>écision 7.COM 15</w:t>
        </w:r>
      </w:hyperlink>
      <w:r w:rsidRPr="004C693B">
        <w:rPr>
          <w:lang w:eastAsia="zh-CN"/>
        </w:rPr>
        <w:t>. L</w:t>
      </w:r>
      <w:r w:rsidR="00FB39FB">
        <w:rPr>
          <w:lang w:eastAsia="zh-CN"/>
        </w:rPr>
        <w:t>’</w:t>
      </w:r>
      <w:r w:rsidRPr="004C693B">
        <w:rPr>
          <w:lang w:eastAsia="zh-CN"/>
        </w:rPr>
        <w:t>Organe d</w:t>
      </w:r>
      <w:r w:rsidR="00FB39FB">
        <w:rPr>
          <w:lang w:eastAsia="zh-CN"/>
        </w:rPr>
        <w:t>’</w:t>
      </w:r>
      <w:r w:rsidRPr="004C693B">
        <w:rPr>
          <w:lang w:eastAsia="zh-CN"/>
        </w:rPr>
        <w:t>évaluation a répondu à la correspondance et a recommandé que l</w:t>
      </w:r>
      <w:r w:rsidR="00FB39FB">
        <w:rPr>
          <w:lang w:eastAsia="zh-CN"/>
        </w:rPr>
        <w:t>’</w:t>
      </w:r>
      <w:r w:rsidRPr="004C693B">
        <w:rPr>
          <w:lang w:eastAsia="zh-CN"/>
        </w:rPr>
        <w:t>organisation non gouvernementale présente ses préoccupations au Secrétariat. Cependant, aucune autre correspondance n</w:t>
      </w:r>
      <w:r w:rsidR="00FB39FB">
        <w:rPr>
          <w:lang w:eastAsia="zh-CN"/>
        </w:rPr>
        <w:t>’</w:t>
      </w:r>
      <w:r w:rsidRPr="004C693B">
        <w:rPr>
          <w:lang w:eastAsia="zh-CN"/>
        </w:rPr>
        <w:t xml:space="preserve">a été reçue de </w:t>
      </w:r>
      <w:r w:rsidRPr="00152143">
        <w:rPr>
          <w:lang w:eastAsia="zh-CN"/>
        </w:rPr>
        <w:t>l</w:t>
      </w:r>
      <w:r w:rsidR="00FB39FB" w:rsidRPr="00152143">
        <w:rPr>
          <w:lang w:eastAsia="zh-CN"/>
        </w:rPr>
        <w:t>’</w:t>
      </w:r>
      <w:r w:rsidRPr="00152143">
        <w:rPr>
          <w:lang w:eastAsia="zh-CN"/>
        </w:rPr>
        <w:t>organisation non gouvernementale. Cet échange a incité les membres de l</w:t>
      </w:r>
      <w:r w:rsidR="00FB39FB" w:rsidRPr="00152143">
        <w:rPr>
          <w:lang w:eastAsia="zh-CN"/>
        </w:rPr>
        <w:t>’O</w:t>
      </w:r>
      <w:r w:rsidRPr="00152143">
        <w:rPr>
          <w:lang w:eastAsia="zh-CN"/>
        </w:rPr>
        <w:t>rgane d</w:t>
      </w:r>
      <w:r w:rsidR="00FB39FB" w:rsidRPr="00152143">
        <w:rPr>
          <w:lang w:eastAsia="zh-CN"/>
        </w:rPr>
        <w:t>’</w:t>
      </w:r>
      <w:r w:rsidRPr="00152143">
        <w:rPr>
          <w:lang w:eastAsia="zh-CN"/>
        </w:rPr>
        <w:t>évaluation à discuter de la possibilité d</w:t>
      </w:r>
      <w:r w:rsidR="00FB39FB" w:rsidRPr="00152143">
        <w:rPr>
          <w:lang w:eastAsia="zh-CN"/>
        </w:rPr>
        <w:t>’</w:t>
      </w:r>
      <w:r w:rsidRPr="00152143">
        <w:rPr>
          <w:lang w:eastAsia="zh-CN"/>
        </w:rPr>
        <w:t xml:space="preserve">utiliser des </w:t>
      </w:r>
      <w:r w:rsidR="00FB39FB" w:rsidRPr="00152143">
        <w:rPr>
          <w:lang w:eastAsia="zh-CN"/>
        </w:rPr>
        <w:t xml:space="preserve">éléments </w:t>
      </w:r>
      <w:r w:rsidRPr="00152143">
        <w:rPr>
          <w:lang w:eastAsia="zh-CN"/>
        </w:rPr>
        <w:t>externes lors de l</w:t>
      </w:r>
      <w:r w:rsidR="00FB39FB" w:rsidRPr="00152143">
        <w:rPr>
          <w:lang w:eastAsia="zh-CN"/>
        </w:rPr>
        <w:t>’</w:t>
      </w:r>
      <w:r w:rsidRPr="00152143">
        <w:rPr>
          <w:lang w:eastAsia="zh-CN"/>
        </w:rPr>
        <w:t>évaluation des dossiers de candidature et des propositions. S</w:t>
      </w:r>
      <w:r w:rsidR="00FB39FB" w:rsidRPr="00152143">
        <w:rPr>
          <w:lang w:eastAsia="zh-CN"/>
        </w:rPr>
        <w:t>’</w:t>
      </w:r>
      <w:r w:rsidRPr="00152143">
        <w:rPr>
          <w:lang w:eastAsia="zh-CN"/>
        </w:rPr>
        <w:t>il est évident que les dossiers de candidature ne peuvent pas contenir des informations exhaustives sur l</w:t>
      </w:r>
      <w:r w:rsidR="00FB39FB" w:rsidRPr="00152143">
        <w:rPr>
          <w:lang w:eastAsia="zh-CN"/>
        </w:rPr>
        <w:t>’</w:t>
      </w:r>
      <w:r w:rsidRPr="00152143">
        <w:rPr>
          <w:lang w:eastAsia="zh-CN"/>
        </w:rPr>
        <w:t>élément concerné, cela peut conduire à l</w:t>
      </w:r>
      <w:r w:rsidR="00FB39FB" w:rsidRPr="00152143">
        <w:rPr>
          <w:lang w:eastAsia="zh-CN"/>
        </w:rPr>
        <w:t>’</w:t>
      </w:r>
      <w:r w:rsidRPr="00152143">
        <w:rPr>
          <w:lang w:eastAsia="zh-CN"/>
        </w:rPr>
        <w:t xml:space="preserve">omission de certaines informations qui peuvent être importantes pour </w:t>
      </w:r>
      <w:r w:rsidRPr="005E79DF">
        <w:rPr>
          <w:lang w:eastAsia="zh-CN"/>
        </w:rPr>
        <w:t xml:space="preserve">évaluer </w:t>
      </w:r>
      <w:r w:rsidR="004B6FF2" w:rsidRPr="00152143">
        <w:rPr>
          <w:lang w:eastAsia="zh-CN"/>
        </w:rPr>
        <w:t>la candidature</w:t>
      </w:r>
      <w:r w:rsidRPr="00152143">
        <w:rPr>
          <w:lang w:eastAsia="zh-CN"/>
        </w:rPr>
        <w:t>.</w:t>
      </w:r>
      <w:bookmarkEnd w:id="0"/>
    </w:p>
    <w:p w14:paraId="165B038C" w14:textId="734E66E3" w:rsidR="005C3CD2" w:rsidRPr="004C693B" w:rsidRDefault="005C3CD2" w:rsidP="00BA1F28">
      <w:pPr>
        <w:pStyle w:val="COMPara"/>
        <w:snapToGrid w:val="0"/>
        <w:ind w:left="360" w:hanging="360"/>
        <w:jc w:val="both"/>
      </w:pPr>
      <w:r w:rsidRPr="004C693B">
        <w:rPr>
          <w:b/>
          <w:i/>
        </w:rPr>
        <w:t>Commentaires génériques</w:t>
      </w:r>
    </w:p>
    <w:p w14:paraId="08B07116" w14:textId="1EF74AE8" w:rsidR="005A6193" w:rsidRPr="004C693B" w:rsidRDefault="005A6193" w:rsidP="00E81059">
      <w:pPr>
        <w:pStyle w:val="COMPara"/>
        <w:numPr>
          <w:ilvl w:val="0"/>
          <w:numId w:val="12"/>
        </w:numPr>
        <w:ind w:left="567" w:hanging="567"/>
        <w:jc w:val="both"/>
        <w:rPr>
          <w:bCs/>
          <w:i/>
        </w:rPr>
      </w:pPr>
      <w:r w:rsidRPr="004C693B">
        <w:t>L</w:t>
      </w:r>
      <w:r w:rsidR="00FB39FB">
        <w:t>’</w:t>
      </w:r>
      <w:r w:rsidRPr="004C693B">
        <w:t>Organe d</w:t>
      </w:r>
      <w:r w:rsidR="00FB39FB">
        <w:t>’</w:t>
      </w:r>
      <w:r w:rsidRPr="004C693B">
        <w:t xml:space="preserve">évaluation félicite le nombre élevé de communautés, groupes et individus dont le patrimoine culturel </w:t>
      </w:r>
      <w:r w:rsidRPr="004C693B">
        <w:rPr>
          <w:bCs/>
        </w:rPr>
        <w:t>immatériel</w:t>
      </w:r>
      <w:r w:rsidRPr="004C693B">
        <w:t xml:space="preserve"> a </w:t>
      </w:r>
      <w:r w:rsidR="00FB39FB">
        <w:t>fait l’objet d’une candidature</w:t>
      </w:r>
      <w:r w:rsidRPr="004C693B">
        <w:t>, ainsi que les États parties ayant soumis des candidatures pleinement conformes aux critères énoncés dans les Directives opérationnelles.</w:t>
      </w:r>
    </w:p>
    <w:p w14:paraId="3CA3C962" w14:textId="2055C835" w:rsidR="005C3CD2" w:rsidRPr="004C693B" w:rsidRDefault="005C3CD2" w:rsidP="00E81059">
      <w:pPr>
        <w:pStyle w:val="COMPara"/>
        <w:numPr>
          <w:ilvl w:val="0"/>
          <w:numId w:val="12"/>
        </w:numPr>
        <w:ind w:left="567" w:hanging="567"/>
        <w:jc w:val="both"/>
      </w:pPr>
      <w:r w:rsidRPr="004C693B">
        <w:rPr>
          <w:b/>
        </w:rPr>
        <w:t>Bons exemples</w:t>
      </w:r>
      <w:r w:rsidRPr="004C693B">
        <w:t>. L</w:t>
      </w:r>
      <w:r w:rsidR="00FB39FB">
        <w:t>’</w:t>
      </w:r>
      <w:r w:rsidRPr="004C693B">
        <w:t>Organe d</w:t>
      </w:r>
      <w:r w:rsidR="00FB39FB">
        <w:t>’</w:t>
      </w:r>
      <w:r w:rsidRPr="004C693B">
        <w:t>évaluation a le plaisir de recommander les candidatures suivantes de ce cycle en tant que bons exemples :</w:t>
      </w:r>
    </w:p>
    <w:p w14:paraId="5D0FD476" w14:textId="028C6B02" w:rsidR="006712A7" w:rsidRPr="004C693B" w:rsidRDefault="006712A7" w:rsidP="00B1188E">
      <w:pPr>
        <w:pStyle w:val="ListParagraph"/>
        <w:numPr>
          <w:ilvl w:val="0"/>
          <w:numId w:val="6"/>
        </w:numPr>
        <w:spacing w:before="120" w:after="120"/>
        <w:ind w:left="1349"/>
        <w:jc w:val="both"/>
        <w:rPr>
          <w:rFonts w:ascii="Arial" w:hAnsi="Arial" w:cs="Arial"/>
          <w:b/>
        </w:rPr>
      </w:pPr>
      <w:r w:rsidRPr="004C693B">
        <w:rPr>
          <w:rFonts w:ascii="Arial" w:hAnsi="Arial"/>
          <w:b/>
        </w:rPr>
        <w:t xml:space="preserve">Registre de bonnes pratiques de sauvegarde – Dossiers </w:t>
      </w:r>
      <w:r w:rsidR="00B1188E">
        <w:rPr>
          <w:rFonts w:ascii="Arial" w:hAnsi="Arial"/>
          <w:b/>
        </w:rPr>
        <w:t>dans leur ensemble</w:t>
      </w:r>
    </w:p>
    <w:p w14:paraId="67456CF1" w14:textId="5339DF18" w:rsidR="006712A7" w:rsidRPr="004C693B" w:rsidRDefault="00C242CC" w:rsidP="005C0579">
      <w:pPr>
        <w:pStyle w:val="COMPara"/>
        <w:ind w:left="540"/>
        <w:jc w:val="both"/>
      </w:pPr>
      <w:r w:rsidRPr="004C693B">
        <w:t>« </w:t>
      </w:r>
      <w:r w:rsidR="006E7644" w:rsidRPr="004C693B">
        <w:rPr>
          <w:i/>
          <w:iCs/>
        </w:rPr>
        <w:t>L</w:t>
      </w:r>
      <w:r w:rsidR="00FB39FB">
        <w:rPr>
          <w:i/>
          <w:iCs/>
        </w:rPr>
        <w:t>’</w:t>
      </w:r>
      <w:r w:rsidR="006E7644" w:rsidRPr="004C693B">
        <w:rPr>
          <w:i/>
          <w:iCs/>
        </w:rPr>
        <w:t xml:space="preserve">École des traditions </w:t>
      </w:r>
      <w:r w:rsidR="008676B7" w:rsidRPr="004C693B">
        <w:rPr>
          <w:i/>
          <w:iCs/>
        </w:rPr>
        <w:t>vivantes »</w:t>
      </w:r>
      <w:r w:rsidRPr="004C693B">
        <w:t>, proposé par les Philippines, est un excellent exemple de modèle de sauvegarde qui implique l</w:t>
      </w:r>
      <w:r w:rsidR="00FB39FB">
        <w:t>’</w:t>
      </w:r>
      <w:r w:rsidRPr="004C693B">
        <w:t>engagement actif des peuples autochtones dans la transmission intergénérationnelle de leur patrimoine culturel immatériel. L</w:t>
      </w:r>
      <w:r w:rsidR="00FB39FB">
        <w:t>’</w:t>
      </w:r>
      <w:r w:rsidRPr="004C693B">
        <w:t>une de ses caractéristiques distinctives est son approche structurée de la transmission, qui comprend les traditions orales. L</w:t>
      </w:r>
      <w:r w:rsidR="00FB39FB">
        <w:t>’</w:t>
      </w:r>
      <w:r w:rsidRPr="004C693B">
        <w:t>approche holistique de cette pratique de sauvegarde favorise la sensibilisation au patrimoine culturel immatériel, au respect mutuel, à l</w:t>
      </w:r>
      <w:r w:rsidR="00FB39FB">
        <w:t>’</w:t>
      </w:r>
      <w:r w:rsidRPr="004C693B">
        <w:t>implication de la jeunesse et à l</w:t>
      </w:r>
      <w:r w:rsidR="00FB39FB">
        <w:t>’</w:t>
      </w:r>
      <w:r w:rsidRPr="004C693B">
        <w:t>autonomisation des communautés.</w:t>
      </w:r>
    </w:p>
    <w:p w14:paraId="6390D049" w14:textId="423C3413" w:rsidR="008676B7" w:rsidRPr="004C693B" w:rsidRDefault="008676B7" w:rsidP="005C0579">
      <w:pPr>
        <w:pStyle w:val="COMPara"/>
        <w:ind w:left="540"/>
        <w:jc w:val="both"/>
      </w:pPr>
      <w:r w:rsidRPr="004C693B">
        <w:t>« </w:t>
      </w:r>
      <w:r w:rsidRPr="004C693B">
        <w:rPr>
          <w:i/>
          <w:iCs/>
        </w:rPr>
        <w:t>La réussite de la promotion des aliments traditionnels et de la sauvegarde des modes d</w:t>
      </w:r>
      <w:r w:rsidR="00FB39FB">
        <w:rPr>
          <w:i/>
          <w:iCs/>
        </w:rPr>
        <w:t>’</w:t>
      </w:r>
      <w:r w:rsidRPr="004C693B">
        <w:rPr>
          <w:i/>
          <w:iCs/>
        </w:rPr>
        <w:t>alimentation traditionnels au Kenya</w:t>
      </w:r>
      <w:r w:rsidRPr="004C693B">
        <w:t> », proposé par le Kenya, est un dossier bien préparé qui peut servir d</w:t>
      </w:r>
      <w:r w:rsidR="00FB39FB">
        <w:t>’</w:t>
      </w:r>
      <w:r w:rsidRPr="004C693B">
        <w:t>exemple concret et réalisable d</w:t>
      </w:r>
      <w:r w:rsidR="00FB39FB">
        <w:t>’</w:t>
      </w:r>
      <w:r w:rsidRPr="004C693B">
        <w:t xml:space="preserve">un modèle de sauvegarde des aliments traditionnels </w:t>
      </w:r>
      <w:r w:rsidRPr="004C693B">
        <w:lastRenderedPageBreak/>
        <w:t>pouvant être appliqué et adapté à d</w:t>
      </w:r>
      <w:r w:rsidR="00FB39FB">
        <w:t>’</w:t>
      </w:r>
      <w:r w:rsidRPr="004C693B">
        <w:t>autres contextes confrontés à des défis similaires en matière de déclin des aliments traditionnels.</w:t>
      </w:r>
    </w:p>
    <w:p w14:paraId="0B3B7D08" w14:textId="4F461EFD" w:rsidR="008676B7" w:rsidRPr="004C693B" w:rsidRDefault="008676B7" w:rsidP="00BA1F28">
      <w:pPr>
        <w:pStyle w:val="COMPara"/>
        <w:ind w:left="567"/>
        <w:jc w:val="both"/>
        <w:rPr>
          <w:rFonts w:eastAsiaTheme="minorEastAsia"/>
        </w:rPr>
      </w:pPr>
      <w:r w:rsidRPr="004C693B">
        <w:rPr>
          <w:rFonts w:eastAsiaTheme="minorEastAsia"/>
        </w:rPr>
        <w:t>« </w:t>
      </w:r>
      <w:r w:rsidRPr="004C693B">
        <w:rPr>
          <w:rFonts w:eastAsiaTheme="minorEastAsia"/>
          <w:i/>
          <w:iCs/>
        </w:rPr>
        <w:t>Les jeux nomades, redécouverte du patrimoine, célébration de la diversité</w:t>
      </w:r>
      <w:r w:rsidRPr="004C693B">
        <w:rPr>
          <w:rFonts w:eastAsiaTheme="minorEastAsia"/>
        </w:rPr>
        <w:t> », proposé par le Kirghiz</w:t>
      </w:r>
      <w:r w:rsidR="00FB39FB">
        <w:rPr>
          <w:rFonts w:eastAsiaTheme="minorEastAsia"/>
        </w:rPr>
        <w:t>i</w:t>
      </w:r>
      <w:r w:rsidRPr="004C693B">
        <w:rPr>
          <w:rFonts w:eastAsiaTheme="minorEastAsia"/>
        </w:rPr>
        <w:t>stan, est un dossier bien rédigé qui démontre un engagement et un soutien forts de la communauté envers le programme et la participation proactive des fédérations et des praticiens à la sauvegarde de leur patrimoine culturel immatériel collectif à grande échelle.</w:t>
      </w:r>
    </w:p>
    <w:p w14:paraId="6D7151CF" w14:textId="11F67A57" w:rsidR="006712A7" w:rsidRPr="004C693B" w:rsidRDefault="006712A7" w:rsidP="00B1188E">
      <w:pPr>
        <w:pStyle w:val="ListParagraph"/>
        <w:numPr>
          <w:ilvl w:val="0"/>
          <w:numId w:val="6"/>
        </w:numPr>
        <w:spacing w:before="120" w:after="120"/>
        <w:ind w:left="1349"/>
        <w:jc w:val="both"/>
        <w:rPr>
          <w:rFonts w:ascii="Arial" w:hAnsi="Arial" w:cs="Arial"/>
          <w:b/>
        </w:rPr>
      </w:pPr>
      <w:r w:rsidRPr="004C693B">
        <w:rPr>
          <w:rFonts w:ascii="Arial" w:hAnsi="Arial"/>
          <w:b/>
        </w:rPr>
        <w:t>Liste représentative du patrimoine culturel immatériel de l</w:t>
      </w:r>
      <w:r w:rsidR="00FB39FB">
        <w:rPr>
          <w:rFonts w:ascii="Arial" w:hAnsi="Arial"/>
          <w:b/>
        </w:rPr>
        <w:t>’</w:t>
      </w:r>
      <w:r w:rsidRPr="004C693B">
        <w:rPr>
          <w:rFonts w:ascii="Arial" w:hAnsi="Arial"/>
          <w:b/>
        </w:rPr>
        <w:t xml:space="preserve">humanité – Dossiers </w:t>
      </w:r>
      <w:r w:rsidR="00B1188E">
        <w:rPr>
          <w:rFonts w:ascii="Arial" w:hAnsi="Arial"/>
          <w:b/>
        </w:rPr>
        <w:t>dans leur ensemble</w:t>
      </w:r>
    </w:p>
    <w:p w14:paraId="05EEAA01" w14:textId="057E76DA" w:rsidR="006712A7" w:rsidRPr="004C693B" w:rsidRDefault="00C242CC" w:rsidP="007A5F70">
      <w:pPr>
        <w:spacing w:before="120" w:after="120" w:line="240" w:lineRule="auto"/>
        <w:ind w:left="630"/>
        <w:jc w:val="both"/>
        <w:rPr>
          <w:rFonts w:ascii="Arial" w:hAnsi="Arial" w:cs="Arial"/>
          <w:bCs/>
        </w:rPr>
      </w:pPr>
      <w:r w:rsidRPr="004C693B">
        <w:rPr>
          <w:rFonts w:ascii="Arial" w:hAnsi="Arial"/>
          <w:i/>
        </w:rPr>
        <w:t>« </w:t>
      </w:r>
      <w:r w:rsidR="006E7644" w:rsidRPr="004C693B">
        <w:rPr>
          <w:rFonts w:ascii="Arial" w:hAnsi="Arial"/>
          <w:i/>
        </w:rPr>
        <w:t>La pratique du violon à Kaustinen et les pratiques et expressions connexes</w:t>
      </w:r>
      <w:r w:rsidRPr="004C693B">
        <w:rPr>
          <w:rFonts w:ascii="Arial" w:hAnsi="Arial"/>
          <w:i/>
        </w:rPr>
        <w:t>»</w:t>
      </w:r>
      <w:r w:rsidRPr="004C693B">
        <w:rPr>
          <w:rFonts w:ascii="Arial" w:hAnsi="Arial"/>
        </w:rPr>
        <w:t xml:space="preserve">, </w:t>
      </w:r>
      <w:r w:rsidR="008676B7" w:rsidRPr="004C693B">
        <w:rPr>
          <w:rFonts w:ascii="Arial" w:hAnsi="Arial"/>
        </w:rPr>
        <w:t xml:space="preserve">soumis </w:t>
      </w:r>
      <w:r w:rsidRPr="004C693B">
        <w:rPr>
          <w:rFonts w:ascii="Arial" w:hAnsi="Arial"/>
        </w:rPr>
        <w:t>par la Finlande, est un dossier bien préparé qui démontre l</w:t>
      </w:r>
      <w:r w:rsidR="00FB39FB">
        <w:rPr>
          <w:rFonts w:ascii="Arial" w:hAnsi="Arial"/>
        </w:rPr>
        <w:t>’</w:t>
      </w:r>
      <w:r w:rsidRPr="004C693B">
        <w:rPr>
          <w:rFonts w:ascii="Arial" w:hAnsi="Arial"/>
        </w:rPr>
        <w:t>implication des communautés tout au long de la procédure de candidature. Le dossier présentait également un ensemble complet de mesures de sauvegarde, formulées par diverses associations et parties prenantes et impliquant des initiatives de gestion et de suivi.</w:t>
      </w:r>
    </w:p>
    <w:p w14:paraId="2FFC8EE1" w14:textId="026FEABE" w:rsidR="006712A7" w:rsidRPr="004C693B" w:rsidRDefault="00C242CC" w:rsidP="007A5F70">
      <w:pPr>
        <w:spacing w:before="120" w:after="120" w:line="240" w:lineRule="auto"/>
        <w:ind w:left="630"/>
        <w:jc w:val="both"/>
        <w:rPr>
          <w:rFonts w:ascii="Arial" w:hAnsi="Arial" w:cs="Arial"/>
          <w:bCs/>
        </w:rPr>
      </w:pPr>
      <w:r w:rsidRPr="004C693B">
        <w:rPr>
          <w:rFonts w:ascii="Arial" w:hAnsi="Arial"/>
        </w:rPr>
        <w:t>« </w:t>
      </w:r>
      <w:r w:rsidR="006E7644" w:rsidRPr="004C693B">
        <w:rPr>
          <w:rFonts w:ascii="Arial" w:hAnsi="Arial"/>
          <w:i/>
          <w:iCs/>
        </w:rPr>
        <w:t>Le L-</w:t>
      </w:r>
      <w:r w:rsidR="006E7644" w:rsidRPr="004C693B">
        <w:rPr>
          <w:rFonts w:ascii="Arial" w:hAnsi="Arial" w:hint="eastAsia"/>
          <w:i/>
          <w:iCs/>
        </w:rPr>
        <w:t>Għana</w:t>
      </w:r>
      <w:r w:rsidR="006E7644" w:rsidRPr="004C693B">
        <w:rPr>
          <w:rFonts w:ascii="Arial" w:hAnsi="Arial"/>
          <w:i/>
          <w:iCs/>
        </w:rPr>
        <w:t>, une tradition du chant populaire maltais</w:t>
      </w:r>
      <w:r w:rsidRPr="004C693B">
        <w:rPr>
          <w:rFonts w:ascii="Arial" w:hAnsi="Arial"/>
        </w:rPr>
        <w:t xml:space="preserve">», </w:t>
      </w:r>
      <w:r w:rsidR="008676B7" w:rsidRPr="004C693B">
        <w:rPr>
          <w:rFonts w:ascii="Arial" w:hAnsi="Arial"/>
        </w:rPr>
        <w:t xml:space="preserve">soumis </w:t>
      </w:r>
      <w:r w:rsidRPr="004C693B">
        <w:rPr>
          <w:rFonts w:ascii="Arial" w:hAnsi="Arial"/>
        </w:rPr>
        <w:t>par Malte, est un dossier exemplaire dans tous ses aspects, notamment dans sa proposition de moyens formels visant à intégrer l</w:t>
      </w:r>
      <w:r w:rsidR="00FB39FB">
        <w:rPr>
          <w:rFonts w:ascii="Arial" w:hAnsi="Arial"/>
        </w:rPr>
        <w:t>’</w:t>
      </w:r>
      <w:r w:rsidRPr="004C693B">
        <w:rPr>
          <w:rFonts w:ascii="Arial" w:hAnsi="Arial"/>
        </w:rPr>
        <w:t>élément dans le programme scolaire et dans ses efforts visant à accroître l</w:t>
      </w:r>
      <w:r w:rsidR="00FB39FB">
        <w:rPr>
          <w:rFonts w:ascii="Arial" w:hAnsi="Arial"/>
        </w:rPr>
        <w:t>’</w:t>
      </w:r>
      <w:r w:rsidRPr="004C693B">
        <w:rPr>
          <w:rFonts w:ascii="Arial" w:hAnsi="Arial"/>
        </w:rPr>
        <w:t>implication de la jeunesse.</w:t>
      </w:r>
    </w:p>
    <w:p w14:paraId="29C959E7" w14:textId="327A95FD" w:rsidR="008F6AB8" w:rsidRPr="004C693B" w:rsidRDefault="00C242CC" w:rsidP="007A5F70">
      <w:pPr>
        <w:spacing w:before="120" w:after="120" w:line="240" w:lineRule="auto"/>
        <w:ind w:left="630"/>
        <w:jc w:val="both"/>
        <w:rPr>
          <w:rFonts w:ascii="Arial" w:hAnsi="Arial" w:cs="Arial"/>
          <w:bCs/>
        </w:rPr>
      </w:pPr>
      <w:r w:rsidRPr="004C693B">
        <w:rPr>
          <w:rFonts w:ascii="Arial" w:hAnsi="Arial"/>
          <w:i/>
        </w:rPr>
        <w:t>« </w:t>
      </w:r>
      <w:r w:rsidR="006E7644" w:rsidRPr="004C693B">
        <w:rPr>
          <w:rFonts w:ascii="Arial" w:hAnsi="Arial"/>
          <w:i/>
        </w:rPr>
        <w:t>Les valeurs, connaissances, coutumes et pratiques du peuple awajún liées à la poterie</w:t>
      </w:r>
      <w:r w:rsidRPr="004C693B">
        <w:rPr>
          <w:rFonts w:ascii="Arial" w:hAnsi="Arial"/>
          <w:i/>
        </w:rPr>
        <w:t xml:space="preserve">», </w:t>
      </w:r>
      <w:r w:rsidR="008676B7" w:rsidRPr="004C693B">
        <w:rPr>
          <w:rFonts w:ascii="Arial" w:hAnsi="Arial"/>
        </w:rPr>
        <w:t xml:space="preserve">soumis </w:t>
      </w:r>
      <w:r w:rsidRPr="004C693B">
        <w:rPr>
          <w:rFonts w:ascii="Arial" w:hAnsi="Arial"/>
        </w:rPr>
        <w:t>par le Pérou, est un dossier bien élaboré pouvant servir d</w:t>
      </w:r>
      <w:r w:rsidR="00FB39FB">
        <w:rPr>
          <w:rFonts w:ascii="Arial" w:hAnsi="Arial"/>
        </w:rPr>
        <w:t>’</w:t>
      </w:r>
      <w:r w:rsidRPr="004C693B">
        <w:rPr>
          <w:rFonts w:ascii="Arial" w:hAnsi="Arial"/>
        </w:rPr>
        <w:t>exemple sur la manière de souligner le rôle précieux du patrimoine vivant dans les contextes autochtones liés à la vie durable et créative, au sein de l</w:t>
      </w:r>
      <w:r w:rsidR="00FB39FB">
        <w:rPr>
          <w:rFonts w:ascii="Arial" w:hAnsi="Arial"/>
        </w:rPr>
        <w:t>’</w:t>
      </w:r>
      <w:r w:rsidRPr="004C693B">
        <w:rPr>
          <w:rFonts w:ascii="Arial" w:hAnsi="Arial"/>
        </w:rPr>
        <w:t>écosystème naturel et avec celui-ci.</w:t>
      </w:r>
    </w:p>
    <w:p w14:paraId="750C1498" w14:textId="23D8E547" w:rsidR="006712A7" w:rsidRPr="004C693B" w:rsidRDefault="00C242CC" w:rsidP="007A5F70">
      <w:pPr>
        <w:spacing w:before="120" w:after="120" w:line="240" w:lineRule="auto"/>
        <w:ind w:left="630"/>
        <w:jc w:val="both"/>
        <w:rPr>
          <w:rFonts w:ascii="Arial" w:hAnsi="Arial" w:cs="Arial"/>
          <w:bCs/>
        </w:rPr>
      </w:pPr>
      <w:r w:rsidRPr="004C693B">
        <w:rPr>
          <w:rFonts w:ascii="Arial" w:hAnsi="Arial"/>
          <w:i/>
        </w:rPr>
        <w:t>« </w:t>
      </w:r>
      <w:r w:rsidR="006E7644" w:rsidRPr="004C693B">
        <w:rPr>
          <w:rFonts w:ascii="Arial" w:hAnsi="Arial"/>
          <w:i/>
        </w:rPr>
        <w:t>La tradition des tapis de fleurs pour les processions de la Fête-Dieu</w:t>
      </w:r>
      <w:r w:rsidRPr="004C693B">
        <w:rPr>
          <w:rFonts w:ascii="Arial" w:hAnsi="Arial"/>
          <w:i/>
        </w:rPr>
        <w:t>»</w:t>
      </w:r>
      <w:r w:rsidRPr="004C693B">
        <w:rPr>
          <w:rFonts w:ascii="Arial" w:hAnsi="Arial"/>
        </w:rPr>
        <w:t xml:space="preserve">, </w:t>
      </w:r>
      <w:r w:rsidR="00B343DC" w:rsidRPr="004C693B">
        <w:rPr>
          <w:rFonts w:ascii="Arial" w:hAnsi="Arial"/>
        </w:rPr>
        <w:t xml:space="preserve">soumis </w:t>
      </w:r>
      <w:r w:rsidRPr="004C693B">
        <w:rPr>
          <w:rFonts w:ascii="Arial" w:hAnsi="Arial"/>
        </w:rPr>
        <w:t xml:space="preserve">par la Pologne, est un dossier bien élaboré dans tous ses aspects. Ce dossier comprend notamment une vidéo bien conçue qui dénote une forte participation </w:t>
      </w:r>
      <w:r w:rsidR="00FB39FB">
        <w:rPr>
          <w:rFonts w:ascii="Arial" w:hAnsi="Arial"/>
        </w:rPr>
        <w:t>de communautés</w:t>
      </w:r>
      <w:r w:rsidRPr="004C693B">
        <w:rPr>
          <w:rFonts w:ascii="Arial" w:hAnsi="Arial"/>
        </w:rPr>
        <w:t>.</w:t>
      </w:r>
    </w:p>
    <w:p w14:paraId="03F17F78" w14:textId="0B2ECCDD" w:rsidR="006712A7" w:rsidRPr="004C693B" w:rsidRDefault="00C242CC" w:rsidP="004462E4">
      <w:pPr>
        <w:spacing w:before="120" w:after="120" w:line="240" w:lineRule="auto"/>
        <w:ind w:left="630"/>
        <w:jc w:val="both"/>
        <w:rPr>
          <w:rFonts w:ascii="Arial" w:hAnsi="Arial"/>
        </w:rPr>
      </w:pPr>
      <w:r w:rsidRPr="004C693B">
        <w:rPr>
          <w:rFonts w:ascii="Arial" w:hAnsi="Arial"/>
          <w:i/>
        </w:rPr>
        <w:t>« </w:t>
      </w:r>
      <w:r w:rsidR="006E7644" w:rsidRPr="004C693B">
        <w:rPr>
          <w:rFonts w:ascii="Arial" w:hAnsi="Arial"/>
          <w:i/>
        </w:rPr>
        <w:t xml:space="preserve">Les traditions nordiques des bateaux à </w:t>
      </w:r>
      <w:r w:rsidR="00B343DC" w:rsidRPr="004C693B">
        <w:rPr>
          <w:rFonts w:ascii="Arial" w:hAnsi="Arial"/>
          <w:i/>
        </w:rPr>
        <w:t>clins »</w:t>
      </w:r>
      <w:r w:rsidRPr="004C693B">
        <w:rPr>
          <w:rFonts w:ascii="Arial" w:hAnsi="Arial"/>
        </w:rPr>
        <w:t xml:space="preserve">, </w:t>
      </w:r>
      <w:r w:rsidR="00B343DC" w:rsidRPr="004C693B">
        <w:rPr>
          <w:rFonts w:ascii="Arial" w:hAnsi="Arial"/>
        </w:rPr>
        <w:t xml:space="preserve">soumis </w:t>
      </w:r>
      <w:r w:rsidRPr="004C693B">
        <w:rPr>
          <w:rFonts w:ascii="Arial" w:hAnsi="Arial"/>
        </w:rPr>
        <w:t>par le Danemark, la Finlande, l</w:t>
      </w:r>
      <w:r w:rsidR="00FB39FB">
        <w:rPr>
          <w:rFonts w:ascii="Arial" w:hAnsi="Arial"/>
        </w:rPr>
        <w:t>’</w:t>
      </w:r>
      <w:r w:rsidRPr="004C693B">
        <w:rPr>
          <w:rFonts w:ascii="Arial" w:hAnsi="Arial"/>
        </w:rPr>
        <w:t xml:space="preserve">Islande, la Norvège et la Suède, sert de bon exemple de candidature </w:t>
      </w:r>
      <w:r w:rsidR="004462E4" w:rsidRPr="004C693B">
        <w:rPr>
          <w:rFonts w:ascii="Arial" w:hAnsi="Arial"/>
        </w:rPr>
        <w:t>multinationa</w:t>
      </w:r>
      <w:r w:rsidRPr="004C693B">
        <w:rPr>
          <w:rFonts w:ascii="Arial" w:hAnsi="Arial"/>
        </w:rPr>
        <w:t>le démontrant un esprit de coopération, de dialogue et de partage d</w:t>
      </w:r>
      <w:r w:rsidR="00FB39FB">
        <w:rPr>
          <w:rFonts w:ascii="Arial" w:hAnsi="Arial"/>
        </w:rPr>
        <w:t>’</w:t>
      </w:r>
      <w:r w:rsidRPr="004C693B">
        <w:rPr>
          <w:rFonts w:ascii="Arial" w:hAnsi="Arial"/>
        </w:rPr>
        <w:t xml:space="preserve">expériences. Il reconnaît également un élément du patrimoine vivant qui est et demeure pratiqué par des groupes majoritaires et minoritaires, ainsi que par les peuples autochtones. </w:t>
      </w:r>
    </w:p>
    <w:p w14:paraId="1F4F5DC7" w14:textId="1D75E4C6" w:rsidR="00292511" w:rsidRPr="004C693B" w:rsidRDefault="006712A7" w:rsidP="00B1188E">
      <w:pPr>
        <w:pStyle w:val="ListParagraph"/>
        <w:numPr>
          <w:ilvl w:val="0"/>
          <w:numId w:val="6"/>
        </w:numPr>
        <w:spacing w:before="120" w:after="120"/>
        <w:ind w:left="1349"/>
        <w:jc w:val="both"/>
        <w:rPr>
          <w:rFonts w:ascii="Arial" w:hAnsi="Arial" w:cs="Arial"/>
          <w:b/>
          <w:bCs/>
        </w:rPr>
      </w:pPr>
      <w:r w:rsidRPr="004C693B">
        <w:rPr>
          <w:rFonts w:ascii="Arial" w:hAnsi="Arial"/>
          <w:b/>
        </w:rPr>
        <w:t>Liste représentative du patrimoine culturel immatériel de l</w:t>
      </w:r>
      <w:r w:rsidR="00FB39FB">
        <w:rPr>
          <w:rFonts w:ascii="Arial" w:hAnsi="Arial"/>
          <w:b/>
        </w:rPr>
        <w:t>’</w:t>
      </w:r>
      <w:r w:rsidRPr="004C693B">
        <w:rPr>
          <w:rFonts w:ascii="Arial" w:hAnsi="Arial"/>
          <w:b/>
        </w:rPr>
        <w:t>humanité – Aspects spécifiques</w:t>
      </w:r>
    </w:p>
    <w:p w14:paraId="72915696" w14:textId="6EA730CC" w:rsidR="00DA7860" w:rsidRPr="004C693B" w:rsidRDefault="00DA7860" w:rsidP="006F49F0">
      <w:pPr>
        <w:spacing w:before="120" w:after="120" w:line="240" w:lineRule="auto"/>
        <w:ind w:left="630"/>
        <w:jc w:val="both"/>
        <w:rPr>
          <w:rFonts w:ascii="Arial" w:hAnsi="Arial" w:cs="Arial"/>
          <w:bCs/>
        </w:rPr>
      </w:pPr>
      <w:r w:rsidRPr="004C693B">
        <w:rPr>
          <w:rFonts w:ascii="Arial" w:hAnsi="Arial"/>
          <w:i/>
        </w:rPr>
        <w:t>« La rumba congolaise»</w:t>
      </w:r>
      <w:r w:rsidRPr="004C693B">
        <w:rPr>
          <w:rFonts w:ascii="Arial" w:hAnsi="Arial"/>
        </w:rPr>
        <w:t xml:space="preserve">, </w:t>
      </w:r>
      <w:r w:rsidR="00B343DC" w:rsidRPr="004C693B">
        <w:rPr>
          <w:rFonts w:ascii="Arial" w:hAnsi="Arial"/>
        </w:rPr>
        <w:t>soumis</w:t>
      </w:r>
      <w:r w:rsidRPr="004C693B">
        <w:rPr>
          <w:rFonts w:ascii="Arial" w:hAnsi="Arial"/>
        </w:rPr>
        <w:t xml:space="preserve"> par la République démocratique du Congo et le Congo, est un dossier bien </w:t>
      </w:r>
      <w:r w:rsidR="00B343DC" w:rsidRPr="004C693B">
        <w:rPr>
          <w:rFonts w:ascii="Arial" w:hAnsi="Arial"/>
        </w:rPr>
        <w:t>préparé</w:t>
      </w:r>
      <w:r w:rsidRPr="004C693B">
        <w:rPr>
          <w:rFonts w:ascii="Arial" w:hAnsi="Arial"/>
        </w:rPr>
        <w:t xml:space="preserve"> qui démontre la solidarité, la coordination et l</w:t>
      </w:r>
      <w:r w:rsidR="00FB39FB">
        <w:rPr>
          <w:rFonts w:ascii="Arial" w:hAnsi="Arial"/>
        </w:rPr>
        <w:t>’</w:t>
      </w:r>
      <w:r w:rsidRPr="004C693B">
        <w:rPr>
          <w:rFonts w:ascii="Arial" w:hAnsi="Arial"/>
        </w:rPr>
        <w:t>amitié entre les États parties qui soumettent l</w:t>
      </w:r>
      <w:r w:rsidR="00FB39FB">
        <w:rPr>
          <w:rFonts w:ascii="Arial" w:hAnsi="Arial"/>
        </w:rPr>
        <w:t>’</w:t>
      </w:r>
      <w:r w:rsidRPr="004C693B">
        <w:rPr>
          <w:rFonts w:ascii="Arial" w:hAnsi="Arial"/>
        </w:rPr>
        <w:t>élément, ainsi qu</w:t>
      </w:r>
      <w:r w:rsidR="00FB39FB">
        <w:rPr>
          <w:rFonts w:ascii="Arial" w:hAnsi="Arial"/>
        </w:rPr>
        <w:t>’</w:t>
      </w:r>
      <w:r w:rsidRPr="004C693B">
        <w:rPr>
          <w:rFonts w:ascii="Arial" w:hAnsi="Arial"/>
        </w:rPr>
        <w:t>entre les communautés, groupes et individus associés.</w:t>
      </w:r>
    </w:p>
    <w:p w14:paraId="094B0B31" w14:textId="161A9DC2" w:rsidR="006712A7" w:rsidRPr="004C693B" w:rsidRDefault="00C242CC" w:rsidP="004D7195">
      <w:pPr>
        <w:tabs>
          <w:tab w:val="left" w:pos="630"/>
        </w:tabs>
        <w:spacing w:before="120" w:after="120" w:line="240" w:lineRule="auto"/>
        <w:ind w:left="630"/>
        <w:jc w:val="both"/>
        <w:rPr>
          <w:rFonts w:ascii="Arial" w:hAnsi="Arial" w:cs="Arial"/>
          <w:b/>
          <w:bCs/>
        </w:rPr>
      </w:pPr>
      <w:r w:rsidRPr="004C693B">
        <w:rPr>
          <w:rFonts w:ascii="Arial" w:hAnsi="Arial"/>
          <w:i/>
        </w:rPr>
        <w:t>« </w:t>
      </w:r>
      <w:r w:rsidR="006E7644" w:rsidRPr="004C693B">
        <w:rPr>
          <w:rFonts w:ascii="Arial" w:hAnsi="Arial"/>
          <w:i/>
        </w:rPr>
        <w:t>Le pasillo, chant et poésie</w:t>
      </w:r>
      <w:r w:rsidRPr="004C693B">
        <w:rPr>
          <w:rFonts w:ascii="Arial" w:hAnsi="Arial"/>
          <w:i/>
        </w:rPr>
        <w:t>»</w:t>
      </w:r>
      <w:r w:rsidRPr="004C693B">
        <w:rPr>
          <w:rFonts w:ascii="Arial" w:hAnsi="Arial"/>
        </w:rPr>
        <w:t xml:space="preserve">, </w:t>
      </w:r>
      <w:r w:rsidR="00B343DC" w:rsidRPr="004C693B">
        <w:rPr>
          <w:rFonts w:ascii="Arial" w:hAnsi="Arial"/>
        </w:rPr>
        <w:t xml:space="preserve">soumis </w:t>
      </w:r>
      <w:r w:rsidRPr="004C693B">
        <w:rPr>
          <w:rFonts w:ascii="Arial" w:hAnsi="Arial"/>
        </w:rPr>
        <w:t>par l</w:t>
      </w:r>
      <w:r w:rsidR="00FB39FB">
        <w:rPr>
          <w:rFonts w:ascii="Arial" w:hAnsi="Arial"/>
        </w:rPr>
        <w:t>’</w:t>
      </w:r>
      <w:r w:rsidRPr="004C693B">
        <w:rPr>
          <w:rFonts w:ascii="Arial" w:hAnsi="Arial"/>
        </w:rPr>
        <w:t>Équateur, est un dossier bien préparé qui démontre l</w:t>
      </w:r>
      <w:r w:rsidR="00FB39FB">
        <w:rPr>
          <w:rFonts w:ascii="Arial" w:hAnsi="Arial"/>
        </w:rPr>
        <w:t>’</w:t>
      </w:r>
      <w:r w:rsidRPr="004C693B">
        <w:rPr>
          <w:rFonts w:ascii="Arial" w:hAnsi="Arial"/>
        </w:rPr>
        <w:t xml:space="preserve">implication </w:t>
      </w:r>
      <w:r w:rsidR="00696D26">
        <w:rPr>
          <w:rFonts w:ascii="Arial" w:hAnsi="Arial"/>
        </w:rPr>
        <w:t xml:space="preserve">des </w:t>
      </w:r>
      <w:r w:rsidRPr="004C693B">
        <w:rPr>
          <w:rFonts w:ascii="Arial" w:hAnsi="Arial"/>
        </w:rPr>
        <w:t>communauté</w:t>
      </w:r>
      <w:r w:rsidR="00696D26">
        <w:rPr>
          <w:rFonts w:ascii="Arial" w:hAnsi="Arial"/>
        </w:rPr>
        <w:t>s</w:t>
      </w:r>
      <w:r w:rsidRPr="004C693B">
        <w:rPr>
          <w:rFonts w:ascii="Arial" w:hAnsi="Arial"/>
        </w:rPr>
        <w:t xml:space="preserve"> dans l</w:t>
      </w:r>
      <w:r w:rsidR="00FB39FB">
        <w:rPr>
          <w:rFonts w:ascii="Arial" w:hAnsi="Arial"/>
        </w:rPr>
        <w:t>’</w:t>
      </w:r>
      <w:r w:rsidRPr="004C693B">
        <w:rPr>
          <w:rFonts w:ascii="Arial" w:hAnsi="Arial"/>
        </w:rPr>
        <w:t>élaboration de mesures de sauvegarde.</w:t>
      </w:r>
    </w:p>
    <w:p w14:paraId="6400E2C5" w14:textId="5013FC31" w:rsidR="00F36040" w:rsidRPr="004C693B" w:rsidRDefault="00C242CC" w:rsidP="004D7195">
      <w:pPr>
        <w:tabs>
          <w:tab w:val="left" w:pos="630"/>
        </w:tabs>
        <w:spacing w:before="120" w:after="120" w:line="240" w:lineRule="auto"/>
        <w:ind w:left="630"/>
        <w:jc w:val="both"/>
        <w:rPr>
          <w:rFonts w:ascii="Arial" w:hAnsi="Arial" w:cs="Arial"/>
          <w:bCs/>
        </w:rPr>
      </w:pPr>
      <w:r w:rsidRPr="004C693B">
        <w:rPr>
          <w:rFonts w:ascii="Arial" w:hAnsi="Arial"/>
          <w:i/>
        </w:rPr>
        <w:t>« </w:t>
      </w:r>
      <w:r w:rsidR="006E7644" w:rsidRPr="004C693B">
        <w:rPr>
          <w:rFonts w:ascii="Arial" w:hAnsi="Arial"/>
          <w:i/>
        </w:rPr>
        <w:t>La culture du corso, défilés de fleurs et de fruits aux Pays-Bas</w:t>
      </w:r>
      <w:r w:rsidRPr="004C693B">
        <w:rPr>
          <w:rFonts w:ascii="Arial" w:hAnsi="Arial"/>
          <w:i/>
        </w:rPr>
        <w:t>»</w:t>
      </w:r>
      <w:r w:rsidRPr="004C693B">
        <w:rPr>
          <w:rFonts w:ascii="Arial" w:hAnsi="Arial"/>
        </w:rPr>
        <w:t xml:space="preserve">, </w:t>
      </w:r>
      <w:r w:rsidR="00B343DC" w:rsidRPr="004C693B">
        <w:rPr>
          <w:rFonts w:ascii="Arial" w:hAnsi="Arial"/>
        </w:rPr>
        <w:t xml:space="preserve">soumis </w:t>
      </w:r>
      <w:r w:rsidRPr="004C693B">
        <w:rPr>
          <w:rFonts w:ascii="Arial" w:hAnsi="Arial"/>
        </w:rPr>
        <w:t xml:space="preserve">par les Pays-Bas, est un </w:t>
      </w:r>
      <w:r w:rsidR="00696D26">
        <w:rPr>
          <w:rFonts w:ascii="Arial" w:hAnsi="Arial"/>
        </w:rPr>
        <w:t>dossier</w:t>
      </w:r>
      <w:r w:rsidR="00696D26" w:rsidRPr="004C693B">
        <w:rPr>
          <w:rFonts w:ascii="Arial" w:hAnsi="Arial"/>
        </w:rPr>
        <w:t xml:space="preserve"> </w:t>
      </w:r>
      <w:r w:rsidRPr="004C693B">
        <w:rPr>
          <w:rFonts w:ascii="Arial" w:hAnsi="Arial"/>
        </w:rPr>
        <w:t>bien élaboré qui comporte une initiative forte menée par la communauté dans la pratique de l</w:t>
      </w:r>
      <w:r w:rsidR="00FB39FB">
        <w:rPr>
          <w:rFonts w:ascii="Arial" w:hAnsi="Arial"/>
        </w:rPr>
        <w:t>’</w:t>
      </w:r>
      <w:r w:rsidRPr="004C693B">
        <w:rPr>
          <w:rFonts w:ascii="Arial" w:hAnsi="Arial"/>
        </w:rPr>
        <w:t xml:space="preserve">élément et dans la mise en place de réseaux de sauvegarde. </w:t>
      </w:r>
    </w:p>
    <w:p w14:paraId="5C3F7EB7" w14:textId="659D8484" w:rsidR="00F06959" w:rsidRPr="004C693B" w:rsidRDefault="00C242CC" w:rsidP="004D7195">
      <w:pPr>
        <w:tabs>
          <w:tab w:val="left" w:pos="630"/>
        </w:tabs>
        <w:spacing w:before="120" w:after="120" w:line="240" w:lineRule="auto"/>
        <w:ind w:left="630"/>
        <w:jc w:val="both"/>
        <w:rPr>
          <w:rFonts w:ascii="Arial" w:hAnsi="Arial" w:cs="Arial"/>
          <w:bCs/>
        </w:rPr>
      </w:pPr>
      <w:r w:rsidRPr="004C693B">
        <w:rPr>
          <w:rFonts w:ascii="Arial" w:hAnsi="Arial"/>
        </w:rPr>
        <w:t>« </w:t>
      </w:r>
      <w:r w:rsidR="006E7644" w:rsidRPr="004C693B">
        <w:rPr>
          <w:rFonts w:ascii="Arial" w:hAnsi="Arial"/>
          <w:i/>
          <w:iCs/>
        </w:rPr>
        <w:t>Les fêtes communautaires à Campo Maior</w:t>
      </w:r>
      <w:r w:rsidRPr="004C693B">
        <w:rPr>
          <w:rFonts w:ascii="Arial" w:hAnsi="Arial"/>
        </w:rPr>
        <w:t xml:space="preserve">», </w:t>
      </w:r>
      <w:r w:rsidR="00B343DC" w:rsidRPr="004C693B">
        <w:rPr>
          <w:rFonts w:ascii="Arial" w:hAnsi="Arial"/>
        </w:rPr>
        <w:t xml:space="preserve">soumis </w:t>
      </w:r>
      <w:r w:rsidRPr="004C693B">
        <w:rPr>
          <w:rFonts w:ascii="Arial" w:hAnsi="Arial"/>
        </w:rPr>
        <w:t>par le Portugal, inclut une excellente vidéo illustrative qui démontre la participation de la communauté.</w:t>
      </w:r>
    </w:p>
    <w:p w14:paraId="6EB8179D" w14:textId="63B84B8D" w:rsidR="006712A7" w:rsidRPr="004C693B" w:rsidRDefault="00C242CC" w:rsidP="005C0579">
      <w:pPr>
        <w:spacing w:before="120" w:after="120" w:line="240" w:lineRule="auto"/>
        <w:ind w:left="630"/>
        <w:jc w:val="both"/>
        <w:rPr>
          <w:rFonts w:ascii="Arial" w:hAnsi="Arial" w:cs="Arial"/>
          <w:bCs/>
          <w:i/>
        </w:rPr>
      </w:pPr>
      <w:r w:rsidRPr="004C693B">
        <w:rPr>
          <w:rFonts w:ascii="Arial" w:hAnsi="Arial"/>
          <w:i/>
        </w:rPr>
        <w:t>« </w:t>
      </w:r>
      <w:r w:rsidR="006E7644" w:rsidRPr="004C693B">
        <w:rPr>
          <w:rFonts w:ascii="Arial" w:hAnsi="Arial"/>
          <w:i/>
        </w:rPr>
        <w:t>La calligraphie arabe : connaissances, compétences et pratiques</w:t>
      </w:r>
      <w:r w:rsidR="00B343DC" w:rsidRPr="004C693B">
        <w:rPr>
          <w:rFonts w:ascii="Arial" w:hAnsi="Arial"/>
          <w:i/>
        </w:rPr>
        <w:t> »</w:t>
      </w:r>
      <w:r w:rsidR="00F95128" w:rsidRPr="004C693B">
        <w:rPr>
          <w:rFonts w:ascii="Arial" w:hAnsi="Arial"/>
          <w:i/>
        </w:rPr>
        <w:t>,</w:t>
      </w:r>
      <w:r w:rsidR="006E7644" w:rsidRPr="004C693B" w:rsidDel="006E7644">
        <w:rPr>
          <w:rFonts w:ascii="Arial" w:hAnsi="Arial"/>
          <w:i/>
        </w:rPr>
        <w:t xml:space="preserve"> </w:t>
      </w:r>
      <w:r w:rsidR="00B343DC" w:rsidRPr="004C693B">
        <w:rPr>
          <w:rFonts w:ascii="Arial" w:hAnsi="Arial"/>
        </w:rPr>
        <w:t xml:space="preserve">soumis </w:t>
      </w:r>
      <w:r w:rsidRPr="004C693B">
        <w:rPr>
          <w:rFonts w:ascii="Arial" w:hAnsi="Arial"/>
        </w:rPr>
        <w:t>par l</w:t>
      </w:r>
      <w:r w:rsidR="00FB39FB">
        <w:rPr>
          <w:rFonts w:ascii="Arial" w:hAnsi="Arial"/>
        </w:rPr>
        <w:t>’</w:t>
      </w:r>
      <w:r w:rsidRPr="004C693B">
        <w:rPr>
          <w:rFonts w:ascii="Arial" w:hAnsi="Arial"/>
        </w:rPr>
        <w:t>Arabie saoudite, l</w:t>
      </w:r>
      <w:r w:rsidR="00FB39FB">
        <w:rPr>
          <w:rFonts w:ascii="Arial" w:hAnsi="Arial"/>
        </w:rPr>
        <w:t>’</w:t>
      </w:r>
      <w:r w:rsidRPr="004C693B">
        <w:rPr>
          <w:rFonts w:ascii="Arial" w:hAnsi="Arial"/>
        </w:rPr>
        <w:t>Algérie, Bahreïn, l</w:t>
      </w:r>
      <w:r w:rsidR="00FB39FB">
        <w:rPr>
          <w:rFonts w:ascii="Arial" w:hAnsi="Arial"/>
        </w:rPr>
        <w:t>’</w:t>
      </w:r>
      <w:r w:rsidRPr="004C693B">
        <w:rPr>
          <w:rFonts w:ascii="Arial" w:hAnsi="Arial"/>
        </w:rPr>
        <w:t>Égypte, l</w:t>
      </w:r>
      <w:r w:rsidR="00FB39FB">
        <w:rPr>
          <w:rFonts w:ascii="Arial" w:hAnsi="Arial"/>
        </w:rPr>
        <w:t>’</w:t>
      </w:r>
      <w:r w:rsidRPr="004C693B">
        <w:rPr>
          <w:rFonts w:ascii="Arial" w:hAnsi="Arial"/>
        </w:rPr>
        <w:t>Ira</w:t>
      </w:r>
      <w:r w:rsidR="00696D26">
        <w:rPr>
          <w:rFonts w:ascii="Arial" w:hAnsi="Arial"/>
        </w:rPr>
        <w:t>q</w:t>
      </w:r>
      <w:r w:rsidRPr="004C693B">
        <w:rPr>
          <w:rFonts w:ascii="Arial" w:hAnsi="Arial"/>
        </w:rPr>
        <w:t xml:space="preserve">, la Jordanie, le Koweït, le Liban, la Mauritanie, le Maroc, Oman, la Palestine, le Soudan, la Tunisie, les Émirats arabes </w:t>
      </w:r>
      <w:r w:rsidR="00696D26">
        <w:rPr>
          <w:rFonts w:ascii="Arial" w:hAnsi="Arial"/>
        </w:rPr>
        <w:t>u</w:t>
      </w:r>
      <w:r w:rsidR="00696D26" w:rsidRPr="004C693B">
        <w:rPr>
          <w:rFonts w:ascii="Arial" w:hAnsi="Arial"/>
        </w:rPr>
        <w:t xml:space="preserve">nis </w:t>
      </w:r>
      <w:r w:rsidRPr="004C693B">
        <w:rPr>
          <w:rFonts w:ascii="Arial" w:hAnsi="Arial"/>
        </w:rPr>
        <w:t>et le Yémen, constitue un excellent exemple de coopération entre plusieurs pays dans l</w:t>
      </w:r>
      <w:r w:rsidR="00FB39FB">
        <w:rPr>
          <w:rFonts w:ascii="Arial" w:hAnsi="Arial"/>
        </w:rPr>
        <w:t>’</w:t>
      </w:r>
      <w:r w:rsidRPr="004C693B">
        <w:rPr>
          <w:rFonts w:ascii="Arial" w:hAnsi="Arial"/>
        </w:rPr>
        <w:t>élaboration d</w:t>
      </w:r>
      <w:r w:rsidR="00FB39FB">
        <w:rPr>
          <w:rFonts w:ascii="Arial" w:hAnsi="Arial"/>
        </w:rPr>
        <w:t>’</w:t>
      </w:r>
      <w:r w:rsidRPr="004C693B">
        <w:rPr>
          <w:rFonts w:ascii="Arial" w:hAnsi="Arial"/>
        </w:rPr>
        <w:t>un dossier de candidature.</w:t>
      </w:r>
    </w:p>
    <w:p w14:paraId="23431FDA" w14:textId="30375ABB" w:rsidR="009057F2" w:rsidRPr="004C693B" w:rsidRDefault="004D7195" w:rsidP="005C0579">
      <w:pPr>
        <w:spacing w:before="120" w:after="120" w:line="240" w:lineRule="auto"/>
        <w:ind w:left="630"/>
        <w:jc w:val="both"/>
        <w:rPr>
          <w:rFonts w:ascii="Arial" w:hAnsi="Arial" w:cs="Arial"/>
          <w:bCs/>
          <w:i/>
        </w:rPr>
      </w:pPr>
      <w:r w:rsidRPr="004C693B">
        <w:rPr>
          <w:rFonts w:ascii="Arial" w:hAnsi="Arial"/>
          <w:i/>
        </w:rPr>
        <w:lastRenderedPageBreak/>
        <w:t>« </w:t>
      </w:r>
      <w:r w:rsidR="006E7644" w:rsidRPr="004C693B">
        <w:rPr>
          <w:rFonts w:ascii="Arial" w:hAnsi="Arial"/>
          <w:i/>
        </w:rPr>
        <w:t>Les savoir-faire traditionnels relatifs à la fabrication de Dumbara Ratā Kalāla</w:t>
      </w:r>
      <w:r w:rsidR="00B343DC" w:rsidRPr="004C693B">
        <w:rPr>
          <w:rFonts w:ascii="Arial" w:hAnsi="Arial"/>
          <w:i/>
        </w:rPr>
        <w:t xml:space="preserve"> </w:t>
      </w:r>
      <w:r w:rsidRPr="004C693B">
        <w:rPr>
          <w:rFonts w:ascii="Arial" w:hAnsi="Arial"/>
          <w:i/>
        </w:rPr>
        <w:t xml:space="preserve">», </w:t>
      </w:r>
      <w:r w:rsidR="00B343DC" w:rsidRPr="004C693B">
        <w:rPr>
          <w:rFonts w:ascii="Arial" w:hAnsi="Arial"/>
        </w:rPr>
        <w:t xml:space="preserve">soumis </w:t>
      </w:r>
      <w:r w:rsidRPr="004C693B">
        <w:rPr>
          <w:rFonts w:ascii="Arial" w:hAnsi="Arial"/>
        </w:rPr>
        <w:t>par le Sri Lanka, démontre une conscience élevée des liens entre le patrimoine culturel immatériel et le développement durable, ainsi que les efforts visant à aborder le bien-être et la prospérité de la communauté par le biais de mesures de sécurité sociale associées à des prestations de santé et d</w:t>
      </w:r>
      <w:r w:rsidR="00FB39FB">
        <w:rPr>
          <w:rFonts w:ascii="Arial" w:hAnsi="Arial"/>
        </w:rPr>
        <w:t>’</w:t>
      </w:r>
      <w:r w:rsidRPr="004C693B">
        <w:rPr>
          <w:rFonts w:ascii="Arial" w:hAnsi="Arial"/>
        </w:rPr>
        <w:t>invalidité.</w:t>
      </w:r>
    </w:p>
    <w:p w14:paraId="3DA888A8" w14:textId="3C5AE23A" w:rsidR="005A6193" w:rsidRPr="004C693B" w:rsidRDefault="005A6193" w:rsidP="00E81059">
      <w:pPr>
        <w:pStyle w:val="COMPara"/>
        <w:numPr>
          <w:ilvl w:val="0"/>
          <w:numId w:val="12"/>
        </w:numPr>
        <w:ind w:left="567" w:hanging="567"/>
        <w:jc w:val="both"/>
        <w:rPr>
          <w:rFonts w:eastAsiaTheme="minorEastAsia"/>
        </w:rPr>
      </w:pPr>
      <w:r w:rsidRPr="004C693B">
        <w:rPr>
          <w:b/>
        </w:rPr>
        <w:t xml:space="preserve">Candidatures </w:t>
      </w:r>
      <w:r w:rsidR="004462E4" w:rsidRPr="004C693B">
        <w:rPr>
          <w:b/>
        </w:rPr>
        <w:t>multinationales</w:t>
      </w:r>
      <w:r w:rsidRPr="004C693B">
        <w:rPr>
          <w:bCs/>
        </w:rPr>
        <w:t xml:space="preserve">. </w:t>
      </w:r>
      <w:r w:rsidRPr="004C693B">
        <w:t>L</w:t>
      </w:r>
      <w:r w:rsidR="00FB39FB">
        <w:t>’</w:t>
      </w:r>
      <w:r w:rsidRPr="004C693B">
        <w:t>Organe d</w:t>
      </w:r>
      <w:r w:rsidR="00FB39FB">
        <w:t>’</w:t>
      </w:r>
      <w:r w:rsidRPr="004C693B">
        <w:t>évaluation a eu le plaisir d</w:t>
      </w:r>
      <w:r w:rsidR="00FB39FB">
        <w:t>’</w:t>
      </w:r>
      <w:r w:rsidRPr="004C693B">
        <w:t xml:space="preserve">examiner cinq candidatures </w:t>
      </w:r>
      <w:r w:rsidR="004462E4" w:rsidRPr="004C693B">
        <w:t>multinationa</w:t>
      </w:r>
      <w:r w:rsidRPr="004C693B">
        <w:t>les au cours de ce cycle, ce qui souligne l</w:t>
      </w:r>
      <w:r w:rsidR="00FB39FB">
        <w:t>’</w:t>
      </w:r>
      <w:r w:rsidRPr="004C693B">
        <w:t xml:space="preserve">importance du patrimoine culturel immatériel partagé. Ce nombre </w:t>
      </w:r>
      <w:r w:rsidRPr="004C693B">
        <w:rPr>
          <w:bCs/>
        </w:rPr>
        <w:t>de</w:t>
      </w:r>
      <w:r w:rsidRPr="004C693B">
        <w:t xml:space="preserve"> dossiers est inférieur à celui du cycle 2020, ce qui peut être la preuve du temps nécessaire aux États parties pour coordonner leurs efforts par-delà les frontières. Les membres de l</w:t>
      </w:r>
      <w:r w:rsidR="00FB39FB">
        <w:t>’</w:t>
      </w:r>
      <w:r w:rsidRPr="004C693B">
        <w:t>Organe d</w:t>
      </w:r>
      <w:r w:rsidR="00FB39FB">
        <w:t>’</w:t>
      </w:r>
      <w:r w:rsidRPr="004C693B">
        <w:t>évaluation ont été en mesure d</w:t>
      </w:r>
      <w:r w:rsidR="00FB39FB">
        <w:t>’</w:t>
      </w:r>
      <w:r w:rsidRPr="004C693B">
        <w:t xml:space="preserve">examiner diverses approches pour la compilation et la rédaction des candidatures </w:t>
      </w:r>
      <w:r w:rsidR="004462E4" w:rsidRPr="004C693B">
        <w:t>multinationa</w:t>
      </w:r>
      <w:r w:rsidRPr="004C693B">
        <w:t>les. L</w:t>
      </w:r>
      <w:r w:rsidR="00FB39FB">
        <w:t>’</w:t>
      </w:r>
      <w:r w:rsidRPr="004C693B">
        <w:t>Organe d</w:t>
      </w:r>
      <w:r w:rsidR="00FB39FB">
        <w:t>’</w:t>
      </w:r>
      <w:r w:rsidRPr="004C693B">
        <w:t>évaluation a appliqué la même norme d</w:t>
      </w:r>
      <w:r w:rsidR="00FB39FB">
        <w:t>’</w:t>
      </w:r>
      <w:r w:rsidRPr="004C693B">
        <w:t xml:space="preserve">évaluation pour les candidatures </w:t>
      </w:r>
      <w:r w:rsidR="004462E4" w:rsidRPr="004C693B">
        <w:t>multinationa</w:t>
      </w:r>
      <w:r w:rsidRPr="004C693B">
        <w:t xml:space="preserve">les que pour les candidatures </w:t>
      </w:r>
      <w:r w:rsidR="00B343DC" w:rsidRPr="004C693B">
        <w:t xml:space="preserve">soumises </w:t>
      </w:r>
      <w:r w:rsidRPr="004C693B">
        <w:t>par un État partie unique. Les discussions relatives à ces dossiers ont porté sur trois problématiques fondamentales :</w:t>
      </w:r>
    </w:p>
    <w:p w14:paraId="084696D6" w14:textId="5791EE61" w:rsidR="00C118FA" w:rsidRPr="004C693B" w:rsidRDefault="005E74D7" w:rsidP="00E81059">
      <w:pPr>
        <w:pStyle w:val="COMPara"/>
        <w:numPr>
          <w:ilvl w:val="0"/>
          <w:numId w:val="7"/>
        </w:numPr>
        <w:ind w:hanging="630"/>
        <w:jc w:val="both"/>
        <w:rPr>
          <w:rFonts w:eastAsia="Arial"/>
        </w:rPr>
      </w:pPr>
      <w:r w:rsidRPr="004C693B">
        <w:rPr>
          <w:b/>
        </w:rPr>
        <w:t>Amélioration globale de la qualité des dossiers soumis</w:t>
      </w:r>
      <w:r w:rsidRPr="004C693B">
        <w:rPr>
          <w:bCs/>
        </w:rPr>
        <w:t>.</w:t>
      </w:r>
      <w:r w:rsidRPr="004C693B">
        <w:t xml:space="preserve"> Les dossiers de candidature </w:t>
      </w:r>
      <w:r w:rsidR="004462E4" w:rsidRPr="004C693B">
        <w:t>multinationa</w:t>
      </w:r>
      <w:r w:rsidRPr="004C693B">
        <w:t xml:space="preserve">ux déposés durant ce cycle ont démontré une amélioration globale </w:t>
      </w:r>
      <w:r w:rsidR="00696D26">
        <w:t>dans la soumission</w:t>
      </w:r>
      <w:r w:rsidRPr="004C693B">
        <w:t xml:space="preserve"> d</w:t>
      </w:r>
      <w:r w:rsidR="00FB39FB">
        <w:t>’</w:t>
      </w:r>
      <w:r w:rsidRPr="004C693B">
        <w:t xml:space="preserve">informations </w:t>
      </w:r>
      <w:r w:rsidRPr="004C693B">
        <w:rPr>
          <w:bCs/>
        </w:rPr>
        <w:t>complètes</w:t>
      </w:r>
      <w:r w:rsidRPr="004C693B">
        <w:t xml:space="preserve"> en réponse aux critères. Ce fait est apparu évident dans les réponses coordonnées aux critères R.3, R.4 et R.5, pour lesquels les États parties ont déployé d</w:t>
      </w:r>
      <w:r w:rsidR="00FB39FB">
        <w:t>’</w:t>
      </w:r>
      <w:r w:rsidRPr="004C693B">
        <w:t>importants efforts en vue de produire des informations concernant les mesures de sauvegarde proposées, la participation des communautés, groupes et individus, ainsi que le cadre et les processus d</w:t>
      </w:r>
      <w:r w:rsidR="00FB39FB">
        <w:t>’</w:t>
      </w:r>
      <w:r w:rsidRPr="004C693B">
        <w:t xml:space="preserve">inventaire. Les dossiers ont également démontré la coopération et le dialogue au niveau </w:t>
      </w:r>
      <w:r w:rsidRPr="004C693B">
        <w:rPr>
          <w:bCs/>
        </w:rPr>
        <w:t>international</w:t>
      </w:r>
      <w:r w:rsidRPr="004C693B">
        <w:t xml:space="preserve"> entre divers acteurs, tels que des musées et des organisations non gouvernementales.</w:t>
      </w:r>
    </w:p>
    <w:p w14:paraId="10AF5C9C" w14:textId="093CFBFA" w:rsidR="009057F2" w:rsidRPr="004C693B" w:rsidRDefault="003F3D5D" w:rsidP="00E81059">
      <w:pPr>
        <w:pStyle w:val="COMPara"/>
        <w:numPr>
          <w:ilvl w:val="0"/>
          <w:numId w:val="7"/>
        </w:numPr>
        <w:ind w:hanging="630"/>
        <w:jc w:val="both"/>
        <w:rPr>
          <w:rFonts w:eastAsia="Arial"/>
        </w:rPr>
      </w:pPr>
      <w:r w:rsidRPr="004C693B">
        <w:rPr>
          <w:b/>
        </w:rPr>
        <w:t xml:space="preserve">Encouragement des candidatures </w:t>
      </w:r>
      <w:r w:rsidR="004462E4" w:rsidRPr="004C693B">
        <w:rPr>
          <w:b/>
        </w:rPr>
        <w:t>multinationales</w:t>
      </w:r>
      <w:r w:rsidRPr="004C693B">
        <w:rPr>
          <w:bCs/>
        </w:rPr>
        <w:t xml:space="preserve">. </w:t>
      </w:r>
      <w:r w:rsidRPr="004C693B">
        <w:t>L</w:t>
      </w:r>
      <w:r w:rsidR="00FB39FB">
        <w:t>’</w:t>
      </w:r>
      <w:r w:rsidRPr="004C693B">
        <w:t>Organe d</w:t>
      </w:r>
      <w:r w:rsidR="00FB39FB">
        <w:t>’</w:t>
      </w:r>
      <w:r w:rsidRPr="004C693B">
        <w:t xml:space="preserve">évaluation rappelle aux États parties que la Convention et ses Directives opérationnelles encouragent les candidatures </w:t>
      </w:r>
      <w:r w:rsidR="004462E4" w:rsidRPr="004C693B">
        <w:t>multinationa</w:t>
      </w:r>
      <w:r w:rsidRPr="004C693B">
        <w:t xml:space="preserve">les </w:t>
      </w:r>
      <w:r w:rsidR="00696D26">
        <w:t>pour</w:t>
      </w:r>
      <w:r w:rsidRPr="004C693B">
        <w:t xml:space="preserve"> l</w:t>
      </w:r>
      <w:r w:rsidR="00FB39FB">
        <w:t>’</w:t>
      </w:r>
      <w:r w:rsidRPr="004C693B">
        <w:t>inscription du patrimoine culturel immatériel</w:t>
      </w:r>
      <w:r w:rsidRPr="004C693B">
        <w:rPr>
          <w:i/>
        </w:rPr>
        <w:t xml:space="preserve"> </w:t>
      </w:r>
      <w:r w:rsidR="00696D26">
        <w:t>pratiqué</w:t>
      </w:r>
      <w:r w:rsidRPr="004C693B">
        <w:t xml:space="preserve"> sur les territoires de plus d</w:t>
      </w:r>
      <w:r w:rsidR="00FB39FB">
        <w:t>’</w:t>
      </w:r>
      <w:r w:rsidRPr="004C693B">
        <w:t>un État. Reconnaissant qu</w:t>
      </w:r>
      <w:r w:rsidR="00FB39FB">
        <w:t>’</w:t>
      </w:r>
      <w:r w:rsidRPr="004C693B">
        <w:t>il ne dispose pas de l</w:t>
      </w:r>
      <w:r w:rsidR="00FB39FB">
        <w:t>’</w:t>
      </w:r>
      <w:r w:rsidRPr="004C693B">
        <w:t>autorité pour exiger qu</w:t>
      </w:r>
      <w:r w:rsidR="00FB39FB">
        <w:t>’</w:t>
      </w:r>
      <w:r w:rsidRPr="004C693B">
        <w:t>un État partie présente une candidature conjointe avec d</w:t>
      </w:r>
      <w:r w:rsidR="00FB39FB">
        <w:t>’</w:t>
      </w:r>
      <w:r w:rsidRPr="004C693B">
        <w:t>autres États partie</w:t>
      </w:r>
      <w:r w:rsidR="00DA7860" w:rsidRPr="004C693B">
        <w:t>s</w:t>
      </w:r>
      <w:r w:rsidR="00696D26">
        <w:t>,</w:t>
      </w:r>
      <w:r w:rsidRPr="004C693B">
        <w:t xml:space="preserve"> l</w:t>
      </w:r>
      <w:r w:rsidR="00FB39FB">
        <w:t>’</w:t>
      </w:r>
      <w:r w:rsidRPr="004C693B">
        <w:t>Organe d</w:t>
      </w:r>
      <w:r w:rsidR="00FB39FB">
        <w:t>’</w:t>
      </w:r>
      <w:r w:rsidRPr="004C693B">
        <w:t xml:space="preserve">évaluation </w:t>
      </w:r>
      <w:r w:rsidR="00DA7860" w:rsidRPr="004C693B">
        <w:t xml:space="preserve">a </w:t>
      </w:r>
      <w:r w:rsidRPr="004C693B">
        <w:t>encourag</w:t>
      </w:r>
      <w:r w:rsidR="00DA7860" w:rsidRPr="004C693B">
        <w:t>é</w:t>
      </w:r>
      <w:r w:rsidR="00B343DC" w:rsidRPr="004C693B">
        <w:t>, durant ce cycle,</w:t>
      </w:r>
      <w:r w:rsidRPr="004C693B">
        <w:t xml:space="preserve"> les États parties qui proposent un tel élément à envisager de travailler à une candidature </w:t>
      </w:r>
      <w:r w:rsidR="00696D26">
        <w:t>élargie</w:t>
      </w:r>
      <w:r w:rsidR="00696D26" w:rsidRPr="004C693B">
        <w:t xml:space="preserve"> </w:t>
      </w:r>
      <w:r w:rsidR="00696D26">
        <w:t>à</w:t>
      </w:r>
      <w:r w:rsidRPr="004C693B">
        <w:t xml:space="preserve"> d</w:t>
      </w:r>
      <w:r w:rsidR="00FB39FB">
        <w:t>’</w:t>
      </w:r>
      <w:r w:rsidRPr="004C693B">
        <w:t>autres États parties susceptibles d</w:t>
      </w:r>
      <w:r w:rsidR="00696D26">
        <w:t>’</w:t>
      </w:r>
      <w:r w:rsidRPr="004C693B">
        <w:t>être intéressés à l</w:t>
      </w:r>
      <w:r w:rsidR="00FB39FB">
        <w:t>’</w:t>
      </w:r>
      <w:r w:rsidRPr="004C693B">
        <w:t>avenir.</w:t>
      </w:r>
    </w:p>
    <w:p w14:paraId="6D012421" w14:textId="0E71F9E3" w:rsidR="005A6193" w:rsidRPr="004C693B" w:rsidRDefault="00696D26" w:rsidP="00E81059">
      <w:pPr>
        <w:pStyle w:val="COMPara"/>
        <w:numPr>
          <w:ilvl w:val="0"/>
          <w:numId w:val="7"/>
        </w:numPr>
        <w:ind w:hanging="630"/>
        <w:jc w:val="both"/>
        <w:rPr>
          <w:b/>
        </w:rPr>
      </w:pPr>
      <w:r>
        <w:rPr>
          <w:b/>
        </w:rPr>
        <w:t>Élargissement</w:t>
      </w:r>
      <w:r w:rsidR="003F3D5D" w:rsidRPr="004C693B">
        <w:rPr>
          <w:b/>
        </w:rPr>
        <w:t xml:space="preserve"> d</w:t>
      </w:r>
      <w:r w:rsidR="00FB39FB">
        <w:rPr>
          <w:b/>
        </w:rPr>
        <w:t>’</w:t>
      </w:r>
      <w:r w:rsidR="003F3D5D" w:rsidRPr="004C693B">
        <w:rPr>
          <w:b/>
        </w:rPr>
        <w:t xml:space="preserve">un dossier </w:t>
      </w:r>
      <w:r w:rsidR="004462E4" w:rsidRPr="004C693B">
        <w:rPr>
          <w:b/>
        </w:rPr>
        <w:t xml:space="preserve">multinational </w:t>
      </w:r>
      <w:r w:rsidR="003F3D5D" w:rsidRPr="004C693B">
        <w:rPr>
          <w:b/>
        </w:rPr>
        <w:t>et implications résultantes</w:t>
      </w:r>
      <w:r w:rsidR="003F3D5D" w:rsidRPr="004C693B">
        <w:rPr>
          <w:bCs/>
        </w:rPr>
        <w:t xml:space="preserve">. </w:t>
      </w:r>
      <w:r w:rsidR="003F3D5D" w:rsidRPr="004C693B">
        <w:t>Bien que la coopération internationale soit encouragée en ce qui concerne l</w:t>
      </w:r>
      <w:r>
        <w:t>’élargissement</w:t>
      </w:r>
      <w:r w:rsidR="003F3D5D" w:rsidRPr="004C693B">
        <w:t xml:space="preserve"> de candidatures existantes, les membres de l</w:t>
      </w:r>
      <w:r w:rsidR="00FB39FB">
        <w:t>’</w:t>
      </w:r>
      <w:r w:rsidR="003F3D5D" w:rsidRPr="004C693B">
        <w:t>Organe d</w:t>
      </w:r>
      <w:r w:rsidR="00FB39FB">
        <w:t>’</w:t>
      </w:r>
      <w:r w:rsidR="003F3D5D" w:rsidRPr="004C693B">
        <w:t xml:space="preserve">évaluation ont examiné les implications engendrées par des </w:t>
      </w:r>
      <w:r>
        <w:t>élargissements</w:t>
      </w:r>
      <w:r w:rsidR="003F3D5D" w:rsidRPr="004C693B">
        <w:t xml:space="preserve"> de candidatures </w:t>
      </w:r>
      <w:r w:rsidR="004462E4" w:rsidRPr="004C693B">
        <w:t>multinationa</w:t>
      </w:r>
      <w:r w:rsidR="003F3D5D" w:rsidRPr="004C693B">
        <w:t>les multiples lorsque le dossier ne comporte aucune amélioration substantielle. L</w:t>
      </w:r>
      <w:r w:rsidR="00FB39FB">
        <w:t>’</w:t>
      </w:r>
      <w:r w:rsidR="003F3D5D" w:rsidRPr="004C693B">
        <w:t>Organe d</w:t>
      </w:r>
      <w:r w:rsidR="00FB39FB">
        <w:t>’</w:t>
      </w:r>
      <w:r w:rsidR="003F3D5D" w:rsidRPr="004C693B">
        <w:t>évaluation a identifié la menace causée par une candidature excessivement générale et inclusive sans qu</w:t>
      </w:r>
      <w:r w:rsidR="00FB39FB">
        <w:t>’</w:t>
      </w:r>
      <w:r w:rsidR="003F3D5D" w:rsidRPr="004C693B">
        <w:t>une véritable coopération entre les communautés ne soit attestée.</w:t>
      </w:r>
    </w:p>
    <w:p w14:paraId="79B6385D" w14:textId="4AC85767" w:rsidR="009057F2" w:rsidRPr="004C693B" w:rsidRDefault="00A9579A" w:rsidP="00E81059">
      <w:pPr>
        <w:pStyle w:val="COMPara"/>
        <w:numPr>
          <w:ilvl w:val="0"/>
          <w:numId w:val="12"/>
        </w:numPr>
        <w:ind w:left="567" w:hanging="567"/>
        <w:jc w:val="both"/>
        <w:rPr>
          <w:rFonts w:eastAsiaTheme="minorEastAsia"/>
        </w:rPr>
      </w:pPr>
      <w:r w:rsidRPr="004C693B">
        <w:rPr>
          <w:b/>
        </w:rPr>
        <w:t>Déséquilibre géographique</w:t>
      </w:r>
      <w:r w:rsidRPr="004C693B">
        <w:rPr>
          <w:bCs/>
        </w:rPr>
        <w:t xml:space="preserve">. </w:t>
      </w:r>
      <w:r w:rsidRPr="004C693B">
        <w:t>L</w:t>
      </w:r>
      <w:r w:rsidR="00FB39FB">
        <w:t>’</w:t>
      </w:r>
      <w:r w:rsidRPr="004C693B">
        <w:t>Organe d</w:t>
      </w:r>
      <w:r w:rsidR="00FB39FB">
        <w:t>’</w:t>
      </w:r>
      <w:r w:rsidRPr="004C693B">
        <w:t>évaluation a pris conscience du déséquilibre géographique entre les régions et les pays dans les candidatures et propositions d</w:t>
      </w:r>
      <w:r w:rsidR="00FB39FB">
        <w:t>’</w:t>
      </w:r>
      <w:r w:rsidRPr="004C693B">
        <w:t xml:space="preserve">inscription sur les listes. Toutefois, il souligne le </w:t>
      </w:r>
      <w:r w:rsidRPr="004C693B">
        <w:rPr>
          <w:rFonts w:eastAsiaTheme="minorEastAsia"/>
          <w:lang w:eastAsia="zh-CN"/>
        </w:rPr>
        <w:t>fait</w:t>
      </w:r>
      <w:r w:rsidRPr="004C693B">
        <w:t xml:space="preserve"> que la question de la répartition géographique n</w:t>
      </w:r>
      <w:r w:rsidR="00FB39FB">
        <w:t>’</w:t>
      </w:r>
      <w:r w:rsidRPr="004C693B">
        <w:t>a pas influé sur le processus décisionnel et que chaque candidature a été évaluée selon ses propres mérites.</w:t>
      </w:r>
    </w:p>
    <w:p w14:paraId="7840BF78" w14:textId="56CE5733" w:rsidR="00D05F67" w:rsidRPr="004C693B" w:rsidRDefault="00BD1A2C" w:rsidP="00B1188E">
      <w:pPr>
        <w:pStyle w:val="COMPara"/>
        <w:keepNext/>
        <w:numPr>
          <w:ilvl w:val="0"/>
          <w:numId w:val="12"/>
        </w:numPr>
        <w:ind w:left="567" w:hanging="567"/>
        <w:jc w:val="both"/>
        <w:rPr>
          <w:b/>
          <w:bCs/>
          <w:i/>
        </w:rPr>
      </w:pPr>
      <w:r w:rsidRPr="004C693B">
        <w:rPr>
          <w:b/>
        </w:rPr>
        <w:t>Questions relatives à la qualité textuelle des candidatures</w:t>
      </w:r>
      <w:r w:rsidRPr="004C693B">
        <w:rPr>
          <w:bCs/>
        </w:rPr>
        <w:t>.</w:t>
      </w:r>
    </w:p>
    <w:p w14:paraId="51E248D8" w14:textId="72F2487A" w:rsidR="007F01A5" w:rsidRPr="004C693B" w:rsidRDefault="00D05F67" w:rsidP="00E81059">
      <w:pPr>
        <w:pStyle w:val="COMPara"/>
        <w:numPr>
          <w:ilvl w:val="0"/>
          <w:numId w:val="15"/>
        </w:numPr>
        <w:ind w:hanging="630"/>
        <w:jc w:val="both"/>
      </w:pPr>
      <w:r w:rsidRPr="004C693B">
        <w:rPr>
          <w:b/>
        </w:rPr>
        <w:t>Qualité linguistique</w:t>
      </w:r>
      <w:r w:rsidRPr="004C693B">
        <w:t>. L</w:t>
      </w:r>
      <w:r w:rsidR="00FB39FB">
        <w:t>’</w:t>
      </w:r>
      <w:r w:rsidRPr="004C693B">
        <w:t>Organe d</w:t>
      </w:r>
      <w:r w:rsidR="00FB39FB">
        <w:t>’</w:t>
      </w:r>
      <w:r w:rsidRPr="004C693B">
        <w:t>évaluation était préoccupé par la persistance d</w:t>
      </w:r>
      <w:r w:rsidR="00FB39FB">
        <w:t>’</w:t>
      </w:r>
      <w:r w:rsidRPr="004C693B">
        <w:t>une mauvaise qualité linguistique sur certains dossiers de candidature. Tout en considérant qu</w:t>
      </w:r>
      <w:r w:rsidR="00FB39FB">
        <w:t>’</w:t>
      </w:r>
      <w:r w:rsidRPr="004C693B">
        <w:t>une mauvaise formulation ne devrait pas affecter la substance de l</w:t>
      </w:r>
      <w:r w:rsidR="00FB39FB">
        <w:t>’</w:t>
      </w:r>
      <w:r w:rsidRPr="004C693B">
        <w:t>examen du dossier, il s</w:t>
      </w:r>
      <w:r w:rsidR="00FB39FB">
        <w:t>’</w:t>
      </w:r>
      <w:r w:rsidRPr="004C693B">
        <w:t>avérait que les informations étaient parfois rendues incompréhensibles par une qualité linguistique insuffisante. En outre, une bonne qualité linguistique est indispensable à la visibilité future de l</w:t>
      </w:r>
      <w:r w:rsidR="00FB39FB">
        <w:t>’</w:t>
      </w:r>
      <w:r w:rsidRPr="004C693B">
        <w:t xml:space="preserve">élément si ce dernier venait à être inscrit. Certains États parties sont </w:t>
      </w:r>
      <w:r w:rsidRPr="004C693B">
        <w:lastRenderedPageBreak/>
        <w:t>invités à rechercher des moyens de solutionner cette question avant de soumettre leurs dossiers de candidature.</w:t>
      </w:r>
    </w:p>
    <w:p w14:paraId="159DEE4E" w14:textId="65F80BFB" w:rsidR="006846B3" w:rsidRPr="004C693B" w:rsidRDefault="006846B3" w:rsidP="00E81059">
      <w:pPr>
        <w:pStyle w:val="COMPara"/>
        <w:numPr>
          <w:ilvl w:val="0"/>
          <w:numId w:val="15"/>
        </w:numPr>
        <w:ind w:hanging="630"/>
        <w:jc w:val="both"/>
      </w:pPr>
      <w:r w:rsidRPr="004C693B">
        <w:rPr>
          <w:b/>
        </w:rPr>
        <w:t>Renseignements ne se trouvant pas à l</w:t>
      </w:r>
      <w:r w:rsidR="00FB39FB">
        <w:rPr>
          <w:b/>
        </w:rPr>
        <w:t>’</w:t>
      </w:r>
      <w:r w:rsidRPr="004C693B">
        <w:rPr>
          <w:b/>
        </w:rPr>
        <w:t>endroit approprié dans le formulaire de candidature</w:t>
      </w:r>
      <w:r w:rsidRPr="004C693B">
        <w:rPr>
          <w:bCs/>
        </w:rPr>
        <w:t>.</w:t>
      </w:r>
      <w:r w:rsidRPr="004C693B">
        <w:rPr>
          <w:b/>
        </w:rPr>
        <w:t xml:space="preserve"> </w:t>
      </w:r>
      <w:r w:rsidRPr="004C693B">
        <w:t>Dans certains dossiers de candidature, l</w:t>
      </w:r>
      <w:r w:rsidR="00FB39FB">
        <w:t>’</w:t>
      </w:r>
      <w:r w:rsidRPr="004C693B">
        <w:t>information se trouvait non pas à l</w:t>
      </w:r>
      <w:r w:rsidR="00FB39FB">
        <w:t>’</w:t>
      </w:r>
      <w:r w:rsidRPr="004C693B">
        <w:t>emplacement approprié, mais ailleurs. Les membres de l</w:t>
      </w:r>
      <w:r w:rsidR="00FB39FB">
        <w:t>’</w:t>
      </w:r>
      <w:r w:rsidRPr="004C693B">
        <w:t>Organe d</w:t>
      </w:r>
      <w:r w:rsidR="00FB39FB">
        <w:t>’</w:t>
      </w:r>
      <w:r w:rsidRPr="004C693B">
        <w:t>évaluation ont décidé de considérer le dossier dans sa globalité lors de l</w:t>
      </w:r>
      <w:r w:rsidR="00FB39FB">
        <w:t>’</w:t>
      </w:r>
      <w:r w:rsidRPr="004C693B">
        <w:t>examen de chaque critère, et non de disqualifier une candidature dans de pareils cas. Toutefois, dans le but de faciliter ses travaux, l</w:t>
      </w:r>
      <w:r w:rsidR="00FB39FB">
        <w:t>’</w:t>
      </w:r>
      <w:r w:rsidRPr="004C693B">
        <w:t>Organe d</w:t>
      </w:r>
      <w:r w:rsidR="00FB39FB">
        <w:t>’</w:t>
      </w:r>
      <w:r w:rsidRPr="004C693B">
        <w:t>évaluation rappelle aux États parties la nécessité de fournir les informations demandées à l</w:t>
      </w:r>
      <w:r w:rsidR="00FB39FB">
        <w:t>’</w:t>
      </w:r>
      <w:r w:rsidRPr="004C693B">
        <w:t>endroit approprié dans le formulaire de candidature.</w:t>
      </w:r>
    </w:p>
    <w:p w14:paraId="3CF94F7E" w14:textId="553B615A" w:rsidR="003D722E" w:rsidRPr="004C693B" w:rsidRDefault="008B2A50" w:rsidP="00E81059">
      <w:pPr>
        <w:pStyle w:val="COMPara"/>
        <w:numPr>
          <w:ilvl w:val="0"/>
          <w:numId w:val="15"/>
        </w:numPr>
        <w:ind w:hanging="630"/>
        <w:jc w:val="both"/>
      </w:pPr>
      <w:r w:rsidRPr="004C693B">
        <w:rPr>
          <w:b/>
        </w:rPr>
        <w:t>Vocabulaire inapproprié</w:t>
      </w:r>
      <w:r w:rsidRPr="004C693B">
        <w:rPr>
          <w:bCs/>
        </w:rPr>
        <w:t>.</w:t>
      </w:r>
      <w:r w:rsidRPr="004C693B">
        <w:t xml:space="preserve"> Bien que les membres de l</w:t>
      </w:r>
      <w:r w:rsidR="00FB39FB">
        <w:t>’</w:t>
      </w:r>
      <w:r w:rsidRPr="004C693B">
        <w:t>Organe d</w:t>
      </w:r>
      <w:r w:rsidR="00FB39FB">
        <w:t>’</w:t>
      </w:r>
      <w:r w:rsidRPr="004C693B">
        <w:t>évaluation aient convenu qu</w:t>
      </w:r>
      <w:r w:rsidR="00FB39FB">
        <w:t>’</w:t>
      </w:r>
      <w:r w:rsidRPr="004C693B">
        <w:t>une candidature ne devrait pas être rejetée en raison d</w:t>
      </w:r>
      <w:r w:rsidR="00FB39FB">
        <w:t>’</w:t>
      </w:r>
      <w:r w:rsidRPr="004C693B">
        <w:t>un vocabulaire inapproprié et de références à d</w:t>
      </w:r>
      <w:r w:rsidR="00FB39FB">
        <w:t>’</w:t>
      </w:r>
      <w:r w:rsidRPr="004C693B">
        <w:t xml:space="preserve">autres </w:t>
      </w:r>
      <w:r w:rsidR="00DA7860" w:rsidRPr="004C693B">
        <w:t>C</w:t>
      </w:r>
      <w:r w:rsidRPr="004C693B">
        <w:t>onventions ou programmes de l</w:t>
      </w:r>
      <w:r w:rsidR="00FB39FB">
        <w:t>’</w:t>
      </w:r>
      <w:r w:rsidRPr="004C693B">
        <w:t>UNESCO, tels que la Liste du patrimoine mondial, il exhorte les États parties à accorder une attention particulière à l</w:t>
      </w:r>
      <w:r w:rsidR="00FB39FB">
        <w:t>’</w:t>
      </w:r>
      <w:r w:rsidRPr="004C693B">
        <w:t>esprit et à la lettre de la Convention de 2003.</w:t>
      </w:r>
    </w:p>
    <w:p w14:paraId="0BC50A85" w14:textId="562C0744" w:rsidR="00213A6D" w:rsidRPr="004C693B" w:rsidRDefault="00760EDD" w:rsidP="00E81059">
      <w:pPr>
        <w:pStyle w:val="COMPara"/>
        <w:numPr>
          <w:ilvl w:val="0"/>
          <w:numId w:val="12"/>
        </w:numPr>
        <w:ind w:left="567" w:hanging="567"/>
        <w:jc w:val="both"/>
        <w:rPr>
          <w:rFonts w:eastAsiaTheme="minorEastAsia"/>
          <w:b/>
        </w:rPr>
      </w:pPr>
      <w:r>
        <w:rPr>
          <w:b/>
        </w:rPr>
        <w:t xml:space="preserve">Accent </w:t>
      </w:r>
      <w:r w:rsidR="003D722E" w:rsidRPr="004C693B">
        <w:rPr>
          <w:b/>
        </w:rPr>
        <w:t>sur la promotion de l</w:t>
      </w:r>
      <w:r w:rsidR="00FB39FB">
        <w:rPr>
          <w:b/>
        </w:rPr>
        <w:t>’</w:t>
      </w:r>
      <w:r w:rsidR="003D722E" w:rsidRPr="004C693B">
        <w:rPr>
          <w:b/>
        </w:rPr>
        <w:t>élément</w:t>
      </w:r>
      <w:r w:rsidR="003D722E" w:rsidRPr="004C693B">
        <w:rPr>
          <w:bCs/>
        </w:rPr>
        <w:t xml:space="preserve">. </w:t>
      </w:r>
      <w:r w:rsidR="003D722E" w:rsidRPr="004C693B">
        <w:t xml:space="preserve">Dans </w:t>
      </w:r>
      <w:r w:rsidR="00D352C6" w:rsidRPr="004C693B">
        <w:t>certains</w:t>
      </w:r>
      <w:r w:rsidR="003D722E" w:rsidRPr="004C693B">
        <w:t xml:space="preserve"> cas, l</w:t>
      </w:r>
      <w:r w:rsidR="00FB39FB">
        <w:t>’</w:t>
      </w:r>
      <w:r w:rsidR="003D722E" w:rsidRPr="004C693B">
        <w:t>Organe d</w:t>
      </w:r>
      <w:r w:rsidR="00FB39FB">
        <w:t>’</w:t>
      </w:r>
      <w:r w:rsidR="003D722E" w:rsidRPr="004C693B">
        <w:t>évaluation a pris note de la proposition de mesures de sauvegarde visant à se concentrer principalement sur la promotion de</w:t>
      </w:r>
      <w:r w:rsidR="003D722E" w:rsidRPr="004C693B">
        <w:rPr>
          <w:bCs/>
        </w:rPr>
        <w:t xml:space="preserve"> l</w:t>
      </w:r>
      <w:r w:rsidR="00FB39FB">
        <w:rPr>
          <w:bCs/>
        </w:rPr>
        <w:t>’</w:t>
      </w:r>
      <w:r w:rsidR="003D722E" w:rsidRPr="004C693B">
        <w:rPr>
          <w:bCs/>
        </w:rPr>
        <w:t>élément</w:t>
      </w:r>
      <w:r w:rsidR="003D722E" w:rsidRPr="004C693B">
        <w:t xml:space="preserve">. </w:t>
      </w:r>
      <w:r w:rsidR="003D722E" w:rsidRPr="00B1188E">
        <w:rPr>
          <w:bCs/>
        </w:rPr>
        <w:t xml:space="preserve">Il </w:t>
      </w:r>
      <w:r w:rsidR="003D722E" w:rsidRPr="004C693B">
        <w:t>est rappelé aux États parties que les mesures doivent également porter sur d</w:t>
      </w:r>
      <w:r w:rsidR="00FB39FB">
        <w:t>’</w:t>
      </w:r>
      <w:r w:rsidR="003D722E" w:rsidRPr="004C693B">
        <w:t>autres types de mesures de sauvegarde telles que la transmission, la recherche et l</w:t>
      </w:r>
      <w:r w:rsidR="00FB39FB">
        <w:t>’</w:t>
      </w:r>
      <w:r w:rsidR="003D722E" w:rsidRPr="004C693B">
        <w:t>éducation.</w:t>
      </w:r>
    </w:p>
    <w:p w14:paraId="4B832BBE" w14:textId="721F9A56" w:rsidR="00DA7860" w:rsidRPr="004C693B" w:rsidRDefault="005468FD" w:rsidP="00E81059">
      <w:pPr>
        <w:pStyle w:val="COMPara"/>
        <w:numPr>
          <w:ilvl w:val="0"/>
          <w:numId w:val="12"/>
        </w:numPr>
        <w:ind w:left="567" w:hanging="567"/>
        <w:jc w:val="both"/>
        <w:rPr>
          <w:rFonts w:eastAsiaTheme="minorEastAsia"/>
          <w:b/>
        </w:rPr>
      </w:pPr>
      <w:r w:rsidRPr="004C693B">
        <w:rPr>
          <w:b/>
        </w:rPr>
        <w:t>Problèmes concernant la vidéo d</w:t>
      </w:r>
      <w:r w:rsidR="00FB39FB">
        <w:rPr>
          <w:b/>
        </w:rPr>
        <w:t>’</w:t>
      </w:r>
      <w:r w:rsidRPr="004C693B">
        <w:rPr>
          <w:b/>
        </w:rPr>
        <w:t>accompagnement</w:t>
      </w:r>
      <w:r w:rsidR="00760EDD" w:rsidRPr="00B1188E">
        <w:rPr>
          <w:bCs/>
        </w:rPr>
        <w:t>.</w:t>
      </w:r>
    </w:p>
    <w:p w14:paraId="4179007C" w14:textId="42124B71" w:rsidR="005468FD" w:rsidRPr="004C693B" w:rsidRDefault="005468FD" w:rsidP="00E81059">
      <w:pPr>
        <w:pStyle w:val="COMPara"/>
        <w:numPr>
          <w:ilvl w:val="0"/>
          <w:numId w:val="16"/>
        </w:numPr>
        <w:ind w:hanging="630"/>
        <w:jc w:val="both"/>
        <w:rPr>
          <w:rFonts w:eastAsiaTheme="minorEastAsia"/>
          <w:b/>
          <w:lang w:eastAsia="zh-CN"/>
        </w:rPr>
      </w:pPr>
      <w:r w:rsidRPr="004C693B">
        <w:rPr>
          <w:rFonts w:eastAsiaTheme="minorEastAsia"/>
          <w:b/>
          <w:lang w:eastAsia="zh-CN"/>
        </w:rPr>
        <w:t>Importance de la vidéo</w:t>
      </w:r>
      <w:r w:rsidRPr="004C693B">
        <w:rPr>
          <w:rFonts w:eastAsiaTheme="minorEastAsia"/>
          <w:bCs/>
          <w:lang w:eastAsia="zh-CN"/>
        </w:rPr>
        <w:t>. L</w:t>
      </w:r>
      <w:r w:rsidR="00FB39FB">
        <w:rPr>
          <w:rFonts w:eastAsiaTheme="minorEastAsia"/>
          <w:bCs/>
          <w:lang w:eastAsia="zh-CN"/>
        </w:rPr>
        <w:t>’</w:t>
      </w:r>
      <w:r w:rsidR="00760EDD">
        <w:rPr>
          <w:rFonts w:eastAsiaTheme="minorEastAsia"/>
          <w:bCs/>
          <w:lang w:eastAsia="zh-CN"/>
        </w:rPr>
        <w:t>O</w:t>
      </w:r>
      <w:r w:rsidRPr="004C693B">
        <w:rPr>
          <w:rFonts w:eastAsiaTheme="minorEastAsia"/>
          <w:bCs/>
          <w:lang w:eastAsia="zh-CN"/>
        </w:rPr>
        <w:t>rgane d</w:t>
      </w:r>
      <w:r w:rsidR="00FB39FB">
        <w:rPr>
          <w:rFonts w:eastAsiaTheme="minorEastAsia"/>
          <w:bCs/>
          <w:lang w:eastAsia="zh-CN"/>
        </w:rPr>
        <w:t>’</w:t>
      </w:r>
      <w:r w:rsidRPr="004C693B">
        <w:rPr>
          <w:rFonts w:eastAsiaTheme="minorEastAsia"/>
          <w:bCs/>
          <w:lang w:eastAsia="zh-CN"/>
        </w:rPr>
        <w:t>évaluation a souligné l</w:t>
      </w:r>
      <w:r w:rsidR="00FB39FB">
        <w:rPr>
          <w:rFonts w:eastAsiaTheme="minorEastAsia"/>
          <w:bCs/>
          <w:lang w:eastAsia="zh-CN"/>
        </w:rPr>
        <w:t>’</w:t>
      </w:r>
      <w:r w:rsidRPr="004C693B">
        <w:rPr>
          <w:rFonts w:eastAsiaTheme="minorEastAsia"/>
          <w:bCs/>
          <w:lang w:eastAsia="zh-CN"/>
        </w:rPr>
        <w:t>importance de la vidéo lors de l</w:t>
      </w:r>
      <w:r w:rsidR="00FB39FB">
        <w:rPr>
          <w:rFonts w:eastAsiaTheme="minorEastAsia"/>
          <w:bCs/>
          <w:lang w:eastAsia="zh-CN"/>
        </w:rPr>
        <w:t>’</w:t>
      </w:r>
      <w:r w:rsidRPr="004C693B">
        <w:rPr>
          <w:rFonts w:eastAsiaTheme="minorEastAsia"/>
          <w:bCs/>
          <w:lang w:eastAsia="zh-CN"/>
        </w:rPr>
        <w:t>évaluation des dossiers, qui peut enrichir les informations fournies dans le dossier et améliorer la compréhension globale de l</w:t>
      </w:r>
      <w:r w:rsidR="00FB39FB">
        <w:rPr>
          <w:rFonts w:eastAsiaTheme="minorEastAsia"/>
          <w:bCs/>
          <w:lang w:eastAsia="zh-CN"/>
        </w:rPr>
        <w:t>’</w:t>
      </w:r>
      <w:r w:rsidRPr="004C693B">
        <w:rPr>
          <w:rFonts w:eastAsiaTheme="minorEastAsia"/>
          <w:bCs/>
          <w:lang w:eastAsia="zh-CN"/>
        </w:rPr>
        <w:t>élément.</w:t>
      </w:r>
    </w:p>
    <w:p w14:paraId="5A14739B" w14:textId="4BA29DD6" w:rsidR="005468FD" w:rsidRPr="004C693B" w:rsidRDefault="00E234EB" w:rsidP="00E81059">
      <w:pPr>
        <w:pStyle w:val="COMPara"/>
        <w:numPr>
          <w:ilvl w:val="0"/>
          <w:numId w:val="16"/>
        </w:numPr>
        <w:ind w:hanging="630"/>
        <w:jc w:val="both"/>
        <w:rPr>
          <w:rFonts w:eastAsiaTheme="minorEastAsia"/>
          <w:bCs/>
          <w:lang w:eastAsia="zh-CN"/>
        </w:rPr>
      </w:pPr>
      <w:r w:rsidRPr="004C693B">
        <w:rPr>
          <w:rFonts w:eastAsiaTheme="minorEastAsia"/>
          <w:b/>
          <w:lang w:eastAsia="zh-CN"/>
        </w:rPr>
        <w:t xml:space="preserve">Cohérence entre la </w:t>
      </w:r>
      <w:r w:rsidR="00D352C6" w:rsidRPr="004C693B">
        <w:rPr>
          <w:rFonts w:eastAsiaTheme="minorEastAsia"/>
          <w:b/>
          <w:lang w:eastAsia="zh-CN"/>
        </w:rPr>
        <w:t>vidéo</w:t>
      </w:r>
      <w:r w:rsidRPr="004C693B">
        <w:rPr>
          <w:rFonts w:eastAsiaTheme="minorEastAsia"/>
          <w:b/>
          <w:lang w:eastAsia="zh-CN"/>
        </w:rPr>
        <w:t xml:space="preserve"> et le dossier</w:t>
      </w:r>
      <w:r w:rsidR="005468FD" w:rsidRPr="004C693B">
        <w:rPr>
          <w:rFonts w:eastAsiaTheme="minorEastAsia"/>
          <w:bCs/>
          <w:lang w:eastAsia="zh-CN"/>
        </w:rPr>
        <w:t>.</w:t>
      </w:r>
      <w:r w:rsidR="005468FD" w:rsidRPr="004C693B">
        <w:rPr>
          <w:rFonts w:eastAsiaTheme="minorEastAsia"/>
          <w:b/>
          <w:lang w:eastAsia="zh-CN"/>
        </w:rPr>
        <w:t xml:space="preserve"> </w:t>
      </w:r>
      <w:r w:rsidRPr="004C693B">
        <w:rPr>
          <w:rFonts w:eastAsiaTheme="minorEastAsia"/>
          <w:bCs/>
          <w:lang w:eastAsia="zh-CN"/>
        </w:rPr>
        <w:t>L</w:t>
      </w:r>
      <w:r w:rsidR="00FB39FB">
        <w:rPr>
          <w:rFonts w:eastAsiaTheme="minorEastAsia"/>
          <w:bCs/>
          <w:lang w:eastAsia="zh-CN"/>
        </w:rPr>
        <w:t>’</w:t>
      </w:r>
      <w:r w:rsidRPr="004C693B">
        <w:rPr>
          <w:rFonts w:eastAsiaTheme="minorEastAsia"/>
          <w:bCs/>
          <w:lang w:eastAsia="zh-CN"/>
        </w:rPr>
        <w:t>Organe d</w:t>
      </w:r>
      <w:r w:rsidR="00FB39FB">
        <w:rPr>
          <w:rFonts w:eastAsiaTheme="minorEastAsia"/>
          <w:bCs/>
          <w:lang w:eastAsia="zh-CN"/>
        </w:rPr>
        <w:t>’</w:t>
      </w:r>
      <w:r w:rsidRPr="004C693B">
        <w:rPr>
          <w:rFonts w:eastAsiaTheme="minorEastAsia"/>
          <w:bCs/>
          <w:lang w:eastAsia="zh-CN"/>
        </w:rPr>
        <w:t>évaluation a pris note de plusieurs dossiers dont la vidéo d</w:t>
      </w:r>
      <w:r w:rsidR="00FB39FB">
        <w:rPr>
          <w:rFonts w:eastAsiaTheme="minorEastAsia"/>
          <w:bCs/>
          <w:lang w:eastAsia="zh-CN"/>
        </w:rPr>
        <w:t>’</w:t>
      </w:r>
      <w:r w:rsidRPr="004C693B">
        <w:rPr>
          <w:rFonts w:eastAsiaTheme="minorEastAsia"/>
          <w:bCs/>
          <w:lang w:eastAsia="zh-CN"/>
        </w:rPr>
        <w:t xml:space="preserve">accompagnement était cohérente et en harmonie avec les informations présentées dans le dossier. Cependant, il y avait aussi des exemples où le dossier donnait une </w:t>
      </w:r>
      <w:r w:rsidRPr="004C693B">
        <w:rPr>
          <w:bCs/>
        </w:rPr>
        <w:t>explication</w:t>
      </w:r>
      <w:r w:rsidRPr="004C693B">
        <w:rPr>
          <w:rFonts w:eastAsiaTheme="minorEastAsia"/>
          <w:bCs/>
          <w:lang w:eastAsia="zh-CN"/>
        </w:rPr>
        <w:t xml:space="preserve">, alors que la vidéo présentait une perspective contraire. </w:t>
      </w:r>
      <w:r w:rsidRPr="004C693B">
        <w:t xml:space="preserve">Afin de permettre une </w:t>
      </w:r>
      <w:r w:rsidRPr="004C693B">
        <w:rPr>
          <w:rFonts w:eastAsiaTheme="minorEastAsia"/>
          <w:bCs/>
          <w:lang w:eastAsia="zh-CN"/>
        </w:rPr>
        <w:t>évaluation juste et précise, il est rappelé aux États parties d</w:t>
      </w:r>
      <w:r w:rsidR="00FB39FB">
        <w:rPr>
          <w:rFonts w:eastAsiaTheme="minorEastAsia"/>
          <w:bCs/>
          <w:lang w:eastAsia="zh-CN"/>
        </w:rPr>
        <w:t>’</w:t>
      </w:r>
      <w:r w:rsidRPr="004C693B">
        <w:rPr>
          <w:rFonts w:eastAsiaTheme="minorEastAsia"/>
          <w:bCs/>
          <w:lang w:eastAsia="zh-CN"/>
        </w:rPr>
        <w:t>assurer la cohérence entre la vidéo et ce qui est présenté dans le dossier.</w:t>
      </w:r>
    </w:p>
    <w:p w14:paraId="3F1F7209" w14:textId="15CA4B27" w:rsidR="005C3CD2" w:rsidRPr="004C693B" w:rsidRDefault="005C3CD2" w:rsidP="00777FD4">
      <w:pPr>
        <w:pStyle w:val="COMPara"/>
        <w:spacing w:before="240"/>
        <w:jc w:val="both"/>
        <w:rPr>
          <w:b/>
          <w:i/>
        </w:rPr>
      </w:pPr>
      <w:r w:rsidRPr="004C693B">
        <w:rPr>
          <w:b/>
          <w:i/>
        </w:rPr>
        <w:t>Questions thématiques</w:t>
      </w:r>
    </w:p>
    <w:p w14:paraId="3A336BF9" w14:textId="1CB70D9D" w:rsidR="00FF1467" w:rsidRPr="004C693B" w:rsidRDefault="00BA36C2" w:rsidP="00E81059">
      <w:pPr>
        <w:pStyle w:val="COMPara"/>
        <w:numPr>
          <w:ilvl w:val="0"/>
          <w:numId w:val="12"/>
        </w:numPr>
        <w:ind w:left="567" w:hanging="567"/>
        <w:jc w:val="both"/>
        <w:rPr>
          <w:bCs/>
        </w:rPr>
      </w:pPr>
      <w:r w:rsidRPr="004C693B">
        <w:rPr>
          <w:b/>
        </w:rPr>
        <w:t>Liens entre le patrimoine culturel immatériel et l</w:t>
      </w:r>
      <w:r w:rsidR="00FB39FB">
        <w:rPr>
          <w:b/>
        </w:rPr>
        <w:t>’</w:t>
      </w:r>
      <w:r w:rsidRPr="004C693B">
        <w:rPr>
          <w:b/>
        </w:rPr>
        <w:t>environnement</w:t>
      </w:r>
      <w:r w:rsidRPr="004C693B">
        <w:rPr>
          <w:bCs/>
        </w:rPr>
        <w:t>.</w:t>
      </w:r>
      <w:r w:rsidRPr="004C693B">
        <w:rPr>
          <w:b/>
        </w:rPr>
        <w:t xml:space="preserve"> </w:t>
      </w:r>
      <w:r w:rsidRPr="004C693B">
        <w:t>L</w:t>
      </w:r>
      <w:r w:rsidR="00FB39FB">
        <w:t>’</w:t>
      </w:r>
      <w:r w:rsidRPr="004C693B">
        <w:t>Organe d</w:t>
      </w:r>
      <w:r w:rsidR="00FB39FB">
        <w:t>’</w:t>
      </w:r>
      <w:r w:rsidRPr="004C693B">
        <w:t>évaluation a eu le plaisir d</w:t>
      </w:r>
      <w:r w:rsidR="00FB39FB">
        <w:t>’</w:t>
      </w:r>
      <w:r w:rsidRPr="004C693B">
        <w:t>examiner plusieurs dossiers qui présentaient des liens entre le patrimoine culturel immatériel et l</w:t>
      </w:r>
      <w:r w:rsidR="00FB39FB">
        <w:t>’</w:t>
      </w:r>
      <w:r w:rsidRPr="004C693B">
        <w:t xml:space="preserve">environnement. Les États parties sont invités à se rappeler de prendre note de la manière dont les mesures ou </w:t>
      </w:r>
      <w:r w:rsidRPr="004C693B">
        <w:rPr>
          <w:bCs/>
        </w:rPr>
        <w:t>les</w:t>
      </w:r>
      <w:r w:rsidRPr="004C693B">
        <w:t xml:space="preserve"> plans de sauvegarde sont susceptibles de prendre en compte la protection de l</w:t>
      </w:r>
      <w:r w:rsidR="00FB39FB">
        <w:t>’</w:t>
      </w:r>
      <w:r w:rsidRPr="004C693B">
        <w:t>environnement et la durabilité des ressources naturelles associées à l</w:t>
      </w:r>
      <w:r w:rsidR="00FB39FB">
        <w:t>’</w:t>
      </w:r>
      <w:r w:rsidRPr="004C693B">
        <w:t>élément. À titre d</w:t>
      </w:r>
      <w:r w:rsidR="00FB39FB">
        <w:t>’</w:t>
      </w:r>
      <w:r w:rsidRPr="004C693B">
        <w:t>exemple, les mesures ou des plans de sauvegarde peuvent prendre en compte des questions telles que l</w:t>
      </w:r>
      <w:r w:rsidR="00FB39FB">
        <w:t>’</w:t>
      </w:r>
      <w:r w:rsidRPr="004C693B">
        <w:t>utilisation du feu liée à la pratique d</w:t>
      </w:r>
      <w:r w:rsidR="00FB39FB">
        <w:t>’</w:t>
      </w:r>
      <w:r w:rsidRPr="004C693B">
        <w:t>un élément, la pollution en général, ou encore la protection des écosystèmes naturels.</w:t>
      </w:r>
    </w:p>
    <w:p w14:paraId="5F9F8AC1" w14:textId="5917F335" w:rsidR="00E30B16" w:rsidRPr="004C693B" w:rsidRDefault="00E30B16" w:rsidP="00E81059">
      <w:pPr>
        <w:pStyle w:val="COMPara"/>
        <w:numPr>
          <w:ilvl w:val="0"/>
          <w:numId w:val="12"/>
        </w:numPr>
        <w:ind w:left="567" w:hanging="567"/>
        <w:jc w:val="both"/>
      </w:pPr>
      <w:r w:rsidRPr="004C693B">
        <w:rPr>
          <w:b/>
        </w:rPr>
        <w:t xml:space="preserve">Liens avec le </w:t>
      </w:r>
      <w:r w:rsidR="009128C2" w:rsidRPr="004C693B">
        <w:rPr>
          <w:b/>
        </w:rPr>
        <w:t>p</w:t>
      </w:r>
      <w:r w:rsidRPr="004C693B">
        <w:rPr>
          <w:b/>
        </w:rPr>
        <w:t>atrimoine mondial</w:t>
      </w:r>
      <w:r w:rsidRPr="004C693B">
        <w:rPr>
          <w:bCs/>
        </w:rPr>
        <w:t>.</w:t>
      </w:r>
      <w:r w:rsidRPr="004C693B">
        <w:rPr>
          <w:b/>
        </w:rPr>
        <w:t xml:space="preserve"> </w:t>
      </w:r>
      <w:r w:rsidRPr="004C693B">
        <w:t xml:space="preserve">La </w:t>
      </w:r>
      <w:r w:rsidR="00760EDD">
        <w:t>candidature</w:t>
      </w:r>
      <w:r w:rsidR="00760EDD" w:rsidRPr="004C693B">
        <w:t xml:space="preserve"> </w:t>
      </w:r>
      <w:r w:rsidRPr="004C693B">
        <w:t>d</w:t>
      </w:r>
      <w:r w:rsidR="00FB39FB">
        <w:t>’</w:t>
      </w:r>
      <w:r w:rsidRPr="004C693B">
        <w:t xml:space="preserve">éléments du patrimoine culturel immatériel pouvant être liés aux sites du </w:t>
      </w:r>
      <w:r w:rsidR="009128C2" w:rsidRPr="004C693B">
        <w:t>p</w:t>
      </w:r>
      <w:r w:rsidRPr="004C693B">
        <w:t>atrimoine mondial de l</w:t>
      </w:r>
      <w:r w:rsidR="00FB39FB">
        <w:t>’</w:t>
      </w:r>
      <w:r w:rsidRPr="004C693B">
        <w:t>UNESCO est susceptible d</w:t>
      </w:r>
      <w:r w:rsidR="00FB39FB">
        <w:t>’</w:t>
      </w:r>
      <w:r w:rsidRPr="004C693B">
        <w:t>être mutuellement bénéfique pour leur sauvegarde et leur protection. Toutefois, l</w:t>
      </w:r>
      <w:r w:rsidR="00FB39FB">
        <w:t>’</w:t>
      </w:r>
      <w:r w:rsidRPr="004C693B">
        <w:t>Organe d</w:t>
      </w:r>
      <w:r w:rsidR="00FB39FB">
        <w:t>’</w:t>
      </w:r>
      <w:r w:rsidRPr="004C693B">
        <w:t xml:space="preserve">évaluation a souligné que les États parties ne devaient pas soumettre de candidatures aux listes de la Convention uniquement à des fins de promotion des sites du </w:t>
      </w:r>
      <w:r w:rsidR="009128C2" w:rsidRPr="004C693B">
        <w:t>p</w:t>
      </w:r>
      <w:r w:rsidRPr="004C693B">
        <w:t>atrimoine mondial.</w:t>
      </w:r>
    </w:p>
    <w:p w14:paraId="197A6199" w14:textId="1915DAE0" w:rsidR="0081290D" w:rsidRPr="004C693B" w:rsidRDefault="00F1340C" w:rsidP="00E81059">
      <w:pPr>
        <w:pStyle w:val="COMPara"/>
        <w:numPr>
          <w:ilvl w:val="0"/>
          <w:numId w:val="12"/>
        </w:numPr>
        <w:ind w:left="567" w:hanging="567"/>
        <w:jc w:val="both"/>
      </w:pPr>
      <w:r w:rsidRPr="004C693B">
        <w:rPr>
          <w:b/>
        </w:rPr>
        <w:t>Pratiques religieuse</w:t>
      </w:r>
      <w:r w:rsidR="00E234EB" w:rsidRPr="004C693B">
        <w:rPr>
          <w:b/>
        </w:rPr>
        <w:t xml:space="preserve">s </w:t>
      </w:r>
      <w:r w:rsidRPr="004C693B">
        <w:rPr>
          <w:b/>
        </w:rPr>
        <w:t>en tant que patrimoine culturel immatériel</w:t>
      </w:r>
      <w:r w:rsidRPr="004C693B">
        <w:rPr>
          <w:bCs/>
        </w:rPr>
        <w:t>.</w:t>
      </w:r>
    </w:p>
    <w:p w14:paraId="772C97D3" w14:textId="783855CD" w:rsidR="00E234EB" w:rsidRPr="004C693B" w:rsidRDefault="00D352C6" w:rsidP="001540F3">
      <w:pPr>
        <w:pStyle w:val="COMPara"/>
        <w:keepNext/>
        <w:numPr>
          <w:ilvl w:val="0"/>
          <w:numId w:val="20"/>
        </w:numPr>
        <w:ind w:hanging="630"/>
        <w:jc w:val="both"/>
      </w:pPr>
      <w:r w:rsidRPr="004C693B">
        <w:rPr>
          <w:b/>
          <w:bCs/>
        </w:rPr>
        <w:t>Pratiques religieuses</w:t>
      </w:r>
      <w:r w:rsidR="00E234EB" w:rsidRPr="004C693B">
        <w:t>. L</w:t>
      </w:r>
      <w:r w:rsidR="00FB39FB">
        <w:t>’</w:t>
      </w:r>
      <w:r w:rsidR="00E234EB" w:rsidRPr="004C693B">
        <w:t>Organe d</w:t>
      </w:r>
      <w:r w:rsidR="00FB39FB">
        <w:t>’</w:t>
      </w:r>
      <w:r w:rsidR="00E234EB" w:rsidRPr="004C693B">
        <w:t xml:space="preserve">évaluation a pris note de plusieurs candidatures au cours de ce cycle relatives aux pratiques religieuses. Les membres ont discuté et reconnu que les éléments proposés pour inscription concernant les pratiques culturelles ou les </w:t>
      </w:r>
      <w:r w:rsidR="00E234EB" w:rsidRPr="004C693B">
        <w:lastRenderedPageBreak/>
        <w:t>expressions tirées des traditions religieuses peuvent être pris en compte dans de multiples domaines.</w:t>
      </w:r>
    </w:p>
    <w:p w14:paraId="081EDFF4" w14:textId="7ABEBA67" w:rsidR="00E234EB" w:rsidRPr="004C693B" w:rsidRDefault="00D352C6" w:rsidP="001540F3">
      <w:pPr>
        <w:pStyle w:val="COMPara"/>
        <w:keepLines/>
        <w:numPr>
          <w:ilvl w:val="0"/>
          <w:numId w:val="20"/>
        </w:numPr>
        <w:ind w:hanging="630"/>
        <w:jc w:val="both"/>
      </w:pPr>
      <w:r w:rsidRPr="004C693B">
        <w:rPr>
          <w:b/>
          <w:bCs/>
        </w:rPr>
        <w:t>Religions organisées</w:t>
      </w:r>
      <w:r w:rsidR="00E234EB" w:rsidRPr="00B1188E">
        <w:t>.</w:t>
      </w:r>
      <w:r w:rsidR="00E234EB" w:rsidRPr="004C693B">
        <w:t xml:space="preserve"> L</w:t>
      </w:r>
      <w:r w:rsidR="00FB39FB">
        <w:t>’</w:t>
      </w:r>
      <w:r w:rsidR="00E234EB" w:rsidRPr="004C693B">
        <w:t>Organe d</w:t>
      </w:r>
      <w:r w:rsidR="00FB39FB">
        <w:t>’</w:t>
      </w:r>
      <w:r w:rsidR="00E234EB" w:rsidRPr="004C693B">
        <w:t>évaluation a examiné les risques de présenter une religion organisée comme un élément du patrimoine culturel immatériel, ce qui sort du champ d</w:t>
      </w:r>
      <w:r w:rsidR="00FB39FB">
        <w:t>’</w:t>
      </w:r>
      <w:r w:rsidR="00E234EB" w:rsidRPr="004C693B">
        <w:t>application de la Convention tel que décrit à l</w:t>
      </w:r>
      <w:r w:rsidR="00FB39FB">
        <w:t>’</w:t>
      </w:r>
      <w:r w:rsidR="00E234EB" w:rsidRPr="004C693B">
        <w:t>article 2. Bien que de nombreux éléments du patrimoine culturel immatériel puissent comporter des aspects spirituels et être associés à des traditions religieuses, la Convention ne reconnaît pas les religions organisées comme constituant un patrimoine culturel immatériel en elles-mêmes</w:t>
      </w:r>
      <w:r w:rsidR="000058D7" w:rsidRPr="004C693B">
        <w:t>.</w:t>
      </w:r>
    </w:p>
    <w:p w14:paraId="1C57A59A" w14:textId="02784ABF" w:rsidR="009057F2" w:rsidRPr="004C693B" w:rsidRDefault="00D9584D" w:rsidP="00E81059">
      <w:pPr>
        <w:pStyle w:val="COMPara"/>
        <w:numPr>
          <w:ilvl w:val="0"/>
          <w:numId w:val="12"/>
        </w:numPr>
        <w:ind w:left="567" w:hanging="567"/>
        <w:jc w:val="both"/>
      </w:pPr>
      <w:r w:rsidRPr="004C693B">
        <w:rPr>
          <w:b/>
        </w:rPr>
        <w:t>Implication des communautés concernées</w:t>
      </w:r>
      <w:r w:rsidRPr="00B1188E">
        <w:rPr>
          <w:bCs/>
        </w:rPr>
        <w:t>.</w:t>
      </w:r>
      <w:r w:rsidRPr="004C693B">
        <w:rPr>
          <w:b/>
        </w:rPr>
        <w:t xml:space="preserve"> </w:t>
      </w:r>
      <w:r w:rsidRPr="004C693B">
        <w:t>L</w:t>
      </w:r>
      <w:r w:rsidR="00FB39FB">
        <w:t>’</w:t>
      </w:r>
      <w:r w:rsidRPr="004C693B">
        <w:t>Organe d</w:t>
      </w:r>
      <w:r w:rsidR="00FB39FB">
        <w:t>’</w:t>
      </w:r>
      <w:r w:rsidRPr="004C693B">
        <w:t>évaluation a vivement apprécié les initiatives prises par certains États parties pour impliquer les groupes et individus marginalisés dans la procédure de sauvegarde. Il tient à rappeler que la participation la plus active possible des communautés concernées à chaque aspect de la sauvegarde de l</w:t>
      </w:r>
      <w:r w:rsidR="00FB39FB">
        <w:t>’</w:t>
      </w:r>
      <w:r w:rsidRPr="004C693B">
        <w:t>élément est conforme à l</w:t>
      </w:r>
      <w:r w:rsidR="00FB39FB">
        <w:t>’</w:t>
      </w:r>
      <w:r w:rsidRPr="004C693B">
        <w:t>esprit fondamental de la Convention. Compte tenu de la difficulté d</w:t>
      </w:r>
      <w:r w:rsidR="00FB39FB">
        <w:t>’</w:t>
      </w:r>
      <w:r w:rsidRPr="004C693B">
        <w:t>impliquer pleinement les communautés dans la sauvegarde de leur propre patrimoine, les États parties sont encouragés à examiner plus en détail la nature et la qualité de cette participation dans les candidatures, en plus d</w:t>
      </w:r>
      <w:r w:rsidR="00FB39FB">
        <w:t>’</w:t>
      </w:r>
      <w:r w:rsidRPr="004C693B">
        <w:t>énumérer les différents groupes et communautés concernés.</w:t>
      </w:r>
    </w:p>
    <w:p w14:paraId="6349AAC3" w14:textId="12ED9664" w:rsidR="00DD5FE9" w:rsidRPr="004C693B" w:rsidRDefault="001E2073" w:rsidP="00E81059">
      <w:pPr>
        <w:pStyle w:val="COMPara"/>
        <w:numPr>
          <w:ilvl w:val="0"/>
          <w:numId w:val="12"/>
        </w:numPr>
        <w:ind w:left="567" w:hanging="567"/>
        <w:jc w:val="both"/>
        <w:rPr>
          <w:rFonts w:eastAsiaTheme="minorEastAsia"/>
        </w:rPr>
      </w:pPr>
      <w:r w:rsidRPr="004C693B">
        <w:rPr>
          <w:b/>
        </w:rPr>
        <w:t>C</w:t>
      </w:r>
      <w:r w:rsidR="0003693B" w:rsidRPr="004C693B">
        <w:rPr>
          <w:b/>
        </w:rPr>
        <w:t>ommercialisation excessive</w:t>
      </w:r>
      <w:r w:rsidR="0003693B" w:rsidRPr="004C693B">
        <w:rPr>
          <w:bCs/>
        </w:rPr>
        <w:t>.</w:t>
      </w:r>
      <w:r w:rsidR="009D0235" w:rsidRPr="004C693B">
        <w:rPr>
          <w:bCs/>
        </w:rPr>
        <w:t xml:space="preserve"> </w:t>
      </w:r>
      <w:r w:rsidR="009D0235" w:rsidRPr="004C693B">
        <w:t>L</w:t>
      </w:r>
      <w:r w:rsidR="00FB39FB">
        <w:t>’</w:t>
      </w:r>
      <w:r w:rsidR="009D0235" w:rsidRPr="004C693B">
        <w:t>Organe d</w:t>
      </w:r>
      <w:r w:rsidR="00FB39FB">
        <w:t>’</w:t>
      </w:r>
      <w:r w:rsidR="009D0235" w:rsidRPr="004C693B">
        <w:t>évaluation a noté que plusieurs dossiers portaient sur des éléments liés à l</w:t>
      </w:r>
      <w:r w:rsidR="00FB39FB">
        <w:t>’</w:t>
      </w:r>
      <w:r w:rsidR="009D0235" w:rsidRPr="004C693B">
        <w:t>intensification de l</w:t>
      </w:r>
      <w:r w:rsidR="00FB39FB">
        <w:t>’</w:t>
      </w:r>
      <w:r w:rsidR="009D0235" w:rsidRPr="004C693B">
        <w:t>activité commerciale. À cet égard, les observations et rappels suivants ont été notés :</w:t>
      </w:r>
    </w:p>
    <w:p w14:paraId="57BC267F" w14:textId="37DE8CA5" w:rsidR="009057F2" w:rsidRPr="004C693B" w:rsidRDefault="00BC7B39" w:rsidP="001540F3">
      <w:pPr>
        <w:pStyle w:val="COMPara"/>
        <w:numPr>
          <w:ilvl w:val="0"/>
          <w:numId w:val="14"/>
        </w:numPr>
        <w:ind w:hanging="630"/>
        <w:jc w:val="both"/>
        <w:rPr>
          <w:rFonts w:eastAsiaTheme="minorEastAsia"/>
        </w:rPr>
      </w:pPr>
      <w:r w:rsidRPr="004C693B">
        <w:t>Lors de l</w:t>
      </w:r>
      <w:r w:rsidR="00FB39FB">
        <w:t>’</w:t>
      </w:r>
      <w:r w:rsidRPr="004C693B">
        <w:t>examen des candidatures relatives aux métiers et produits artisanaux, les membres de l</w:t>
      </w:r>
      <w:r w:rsidR="00FB39FB">
        <w:t>’</w:t>
      </w:r>
      <w:r w:rsidRPr="004C693B">
        <w:t>Organe d</w:t>
      </w:r>
      <w:r w:rsidR="00FB39FB">
        <w:t>’</w:t>
      </w:r>
      <w:r w:rsidRPr="004C693B">
        <w:t>évaluation ont discuté du fait que certains dossiers de candidature mettaient trop l</w:t>
      </w:r>
      <w:r w:rsidR="00FB39FB">
        <w:t>’</w:t>
      </w:r>
      <w:r w:rsidRPr="004C693B">
        <w:t>accent sur les éléments en tant que produits commerciaux. L</w:t>
      </w:r>
      <w:r w:rsidR="00FB39FB">
        <w:t>’</w:t>
      </w:r>
      <w:r w:rsidRPr="004C693B">
        <w:t>Organe d</w:t>
      </w:r>
      <w:r w:rsidR="00FB39FB">
        <w:t>’</w:t>
      </w:r>
      <w:r w:rsidRPr="004C693B">
        <w:t>évaluation invite les États parties à rechercher un équilibre, dans leurs dossiers de candidature, entre les fonctions économique et socio-culturelles d</w:t>
      </w:r>
      <w:r w:rsidR="00FB39FB">
        <w:t>’</w:t>
      </w:r>
      <w:r w:rsidRPr="004C693B">
        <w:t>un élément.</w:t>
      </w:r>
    </w:p>
    <w:p w14:paraId="7D29AC23" w14:textId="1EBE8BFA" w:rsidR="00752080" w:rsidRPr="004C693B" w:rsidRDefault="00752080" w:rsidP="001540F3">
      <w:pPr>
        <w:pStyle w:val="COMPara"/>
        <w:numPr>
          <w:ilvl w:val="0"/>
          <w:numId w:val="14"/>
        </w:numPr>
        <w:ind w:hanging="630"/>
        <w:jc w:val="both"/>
        <w:rPr>
          <w:rFonts w:eastAsiaTheme="minorEastAsia"/>
        </w:rPr>
      </w:pPr>
      <w:r w:rsidRPr="004C693B">
        <w:t xml:space="preserve">Tout en reconnaissant que le patrimoine culturel immatériel est souvent, en effet, générateur de revenus essentiels pour les économies </w:t>
      </w:r>
      <w:r w:rsidR="0081290D" w:rsidRPr="004C693B">
        <w:t>des foyers</w:t>
      </w:r>
      <w:r w:rsidRPr="004C693B">
        <w:t>, les membres de l</w:t>
      </w:r>
      <w:r w:rsidR="00FB39FB">
        <w:t>’</w:t>
      </w:r>
      <w:r w:rsidRPr="004C693B">
        <w:t>Organe d</w:t>
      </w:r>
      <w:r w:rsidR="00FB39FB">
        <w:t>’</w:t>
      </w:r>
      <w:r w:rsidRPr="004C693B">
        <w:t xml:space="preserve">évaluation ont discuté de la nécessité pour les États parties de fournir des descriptions de mesures concrètes visant à éviter la </w:t>
      </w:r>
      <w:r w:rsidR="0003693B" w:rsidRPr="004C693B">
        <w:t>commercialisation excessive,</w:t>
      </w:r>
      <w:r w:rsidRPr="004C693B">
        <w:t xml:space="preserve"> ou à résister à une hausse significative de l</w:t>
      </w:r>
      <w:r w:rsidR="00FB39FB">
        <w:t>’</w:t>
      </w:r>
      <w:r w:rsidRPr="004C693B">
        <w:t>attention du public et à d</w:t>
      </w:r>
      <w:r w:rsidR="00FB39FB">
        <w:t>’</w:t>
      </w:r>
      <w:r w:rsidRPr="004C693B">
        <w:t>autres conséquences inattendues de l</w:t>
      </w:r>
      <w:r w:rsidR="00FB39FB">
        <w:t>’</w:t>
      </w:r>
      <w:r w:rsidRPr="004C693B">
        <w:t>inscription. Dans certains dossiers de candidature, les mesures de sauvegarde semblaient être orientées presque exclusivement vers l</w:t>
      </w:r>
      <w:r w:rsidR="00FB39FB">
        <w:t>’</w:t>
      </w:r>
      <w:r w:rsidRPr="004C693B">
        <w:t>augmentation du potentiel commercial d</w:t>
      </w:r>
      <w:r w:rsidR="00FB39FB">
        <w:t>’</w:t>
      </w:r>
      <w:r w:rsidRPr="004C693B">
        <w:t>un élément. L</w:t>
      </w:r>
      <w:r w:rsidR="00FB39FB">
        <w:t>’</w:t>
      </w:r>
      <w:r w:rsidRPr="004C693B">
        <w:t>Organe d</w:t>
      </w:r>
      <w:r w:rsidR="00FB39FB">
        <w:t>’</w:t>
      </w:r>
      <w:r w:rsidRPr="004C693B">
        <w:t>évaluation encourage les États parties à ne pas perdre de vue que toutes les mesures de sauvegarde doivent viser à améliorer la viabilité de l</w:t>
      </w:r>
      <w:r w:rsidR="00FB39FB">
        <w:t>’</w:t>
      </w:r>
      <w:r w:rsidRPr="004C693B">
        <w:t>élément.</w:t>
      </w:r>
    </w:p>
    <w:p w14:paraId="0C3C5E30" w14:textId="337AB18A" w:rsidR="00553546" w:rsidRPr="004C693B" w:rsidRDefault="00D9584D" w:rsidP="001540F3">
      <w:pPr>
        <w:pStyle w:val="COMPara"/>
        <w:numPr>
          <w:ilvl w:val="0"/>
          <w:numId w:val="14"/>
        </w:numPr>
        <w:ind w:hanging="630"/>
        <w:jc w:val="both"/>
        <w:rPr>
          <w:rFonts w:eastAsiaTheme="minorEastAsia"/>
        </w:rPr>
      </w:pPr>
      <w:r w:rsidRPr="004C693B">
        <w:t>En outre, l</w:t>
      </w:r>
      <w:r w:rsidR="00FB39FB">
        <w:t>’</w:t>
      </w:r>
      <w:r w:rsidRPr="004C693B">
        <w:t>Organe d</w:t>
      </w:r>
      <w:r w:rsidR="00FB39FB">
        <w:t>’</w:t>
      </w:r>
      <w:r w:rsidRPr="004C693B">
        <w:t>évaluation a discuté de l</w:t>
      </w:r>
      <w:r w:rsidR="00FB39FB">
        <w:t>’</w:t>
      </w:r>
      <w:r w:rsidRPr="004C693B">
        <w:t xml:space="preserve">importance de la participation </w:t>
      </w:r>
      <w:r w:rsidR="00760EDD">
        <w:t>des communautés</w:t>
      </w:r>
      <w:r w:rsidR="00760EDD" w:rsidRPr="004C693B">
        <w:t xml:space="preserve"> </w:t>
      </w:r>
      <w:r w:rsidRPr="004C693B">
        <w:t>dans le processus d</w:t>
      </w:r>
      <w:r w:rsidR="00FB39FB">
        <w:t>’</w:t>
      </w:r>
      <w:r w:rsidRPr="004C693B">
        <w:t>élaboration des mesures de sauvegarde. L</w:t>
      </w:r>
      <w:r w:rsidR="00FB39FB">
        <w:t>’</w:t>
      </w:r>
      <w:r w:rsidRPr="004C693B">
        <w:t>objectif est de s</w:t>
      </w:r>
      <w:r w:rsidR="00FB39FB">
        <w:t>’</w:t>
      </w:r>
      <w:r w:rsidRPr="004C693B">
        <w:t>assurer que les principaux bénéficiaires de toute génération de revenus soient les communautés concernées plutôt que l</w:t>
      </w:r>
      <w:r w:rsidR="00FB39FB">
        <w:t>’</w:t>
      </w:r>
      <w:r w:rsidRPr="004C693B">
        <w:t>État partie ou des entreprises privées.</w:t>
      </w:r>
    </w:p>
    <w:p w14:paraId="0C3C0F68" w14:textId="128B34CF" w:rsidR="00B900F9" w:rsidRPr="004C693B" w:rsidRDefault="00553546" w:rsidP="00E81059">
      <w:pPr>
        <w:pStyle w:val="COMPara"/>
        <w:numPr>
          <w:ilvl w:val="0"/>
          <w:numId w:val="12"/>
        </w:numPr>
        <w:ind w:left="567" w:hanging="567"/>
        <w:jc w:val="both"/>
        <w:rPr>
          <w:b/>
        </w:rPr>
      </w:pPr>
      <w:r w:rsidRPr="004C693B">
        <w:rPr>
          <w:b/>
        </w:rPr>
        <w:t>Tourisme</w:t>
      </w:r>
      <w:r w:rsidRPr="004C693B">
        <w:rPr>
          <w:bCs/>
        </w:rPr>
        <w:t>.</w:t>
      </w:r>
      <w:r w:rsidRPr="004C693B">
        <w:rPr>
          <w:b/>
        </w:rPr>
        <w:t xml:space="preserve"> </w:t>
      </w:r>
      <w:r w:rsidRPr="004C693B">
        <w:t>Plusieurs dossiers de candidature ont présenté des éléments comme étant associés au tourisme ou en tant que composantes des mesures et des plans de sauvegarde. Bien qu</w:t>
      </w:r>
      <w:r w:rsidR="00FB39FB">
        <w:t>’</w:t>
      </w:r>
      <w:r w:rsidRPr="004C693B">
        <w:t xml:space="preserve">une certaine </w:t>
      </w:r>
      <w:r w:rsidRPr="004C693B">
        <w:rPr>
          <w:bCs/>
        </w:rPr>
        <w:t>valeur</w:t>
      </w:r>
      <w:r w:rsidRPr="004C693B">
        <w:t xml:space="preserve"> de sauvegarde puisse être dérivée du tourisme, il est rappelé aux États parties que les effets néfastes potentiels d</w:t>
      </w:r>
      <w:r w:rsidR="00FB39FB">
        <w:t>’</w:t>
      </w:r>
      <w:r w:rsidRPr="004C693B">
        <w:t>un tourisme accru sur les communautés, l</w:t>
      </w:r>
      <w:r w:rsidR="00FB39FB">
        <w:t>’</w:t>
      </w:r>
      <w:r w:rsidRPr="004C693B">
        <w:t>élément lui-même et l</w:t>
      </w:r>
      <w:r w:rsidR="00FB39FB">
        <w:t>’</w:t>
      </w:r>
      <w:r w:rsidRPr="004C693B">
        <w:t>environnement, doivent également être pris en considération. L</w:t>
      </w:r>
      <w:r w:rsidR="00FB39FB">
        <w:t>’</w:t>
      </w:r>
      <w:r w:rsidRPr="004C693B">
        <w:t>Organe d</w:t>
      </w:r>
      <w:r w:rsidR="00FB39FB">
        <w:t>’</w:t>
      </w:r>
      <w:r w:rsidRPr="004C693B">
        <w:t xml:space="preserve">évaluation décourage fortement les dossiers qui ont été développés uniquement dans le but </w:t>
      </w:r>
      <w:r w:rsidR="00760EDD">
        <w:t>de favoriser</w:t>
      </w:r>
      <w:r w:rsidRPr="004C693B">
        <w:t xml:space="preserve"> le tourisme</w:t>
      </w:r>
      <w:r w:rsidRPr="004C693B">
        <w:rPr>
          <w:bCs/>
        </w:rPr>
        <w:t>.</w:t>
      </w:r>
    </w:p>
    <w:p w14:paraId="14156BA7" w14:textId="50652BB4" w:rsidR="004736C6" w:rsidRPr="004C693B" w:rsidRDefault="003804F1" w:rsidP="00E81059">
      <w:pPr>
        <w:pStyle w:val="COMPara"/>
        <w:numPr>
          <w:ilvl w:val="0"/>
          <w:numId w:val="12"/>
        </w:numPr>
        <w:ind w:left="567" w:hanging="567"/>
        <w:jc w:val="both"/>
        <w:rPr>
          <w:bCs/>
        </w:rPr>
      </w:pPr>
      <w:r w:rsidRPr="004C693B">
        <w:rPr>
          <w:b/>
        </w:rPr>
        <w:t>Droits des animaux</w:t>
      </w:r>
      <w:r w:rsidRPr="004C693B">
        <w:rPr>
          <w:bCs/>
        </w:rPr>
        <w:t>.</w:t>
      </w:r>
      <w:r w:rsidRPr="004C693B">
        <w:t xml:space="preserve"> Les membres de l</w:t>
      </w:r>
      <w:r w:rsidR="00FB39FB">
        <w:t>’</w:t>
      </w:r>
      <w:r w:rsidRPr="004C693B">
        <w:t>Organe d</w:t>
      </w:r>
      <w:r w:rsidR="00FB39FB">
        <w:t>’</w:t>
      </w:r>
      <w:r w:rsidRPr="004C693B">
        <w:t>évaluation ont examiné les candidatures qui décrivent des éléments impliquant des animaux. Dans un cas, le dossier passait sous silence l</w:t>
      </w:r>
      <w:r w:rsidR="00FB39FB">
        <w:t>’</w:t>
      </w:r>
      <w:r w:rsidRPr="004C693B">
        <w:t>exploitation d</w:t>
      </w:r>
      <w:r w:rsidR="00FB39FB">
        <w:t>’</w:t>
      </w:r>
      <w:r w:rsidRPr="004C693B">
        <w:t>animaux, alors qu</w:t>
      </w:r>
      <w:r w:rsidR="00FB39FB">
        <w:t>’</w:t>
      </w:r>
      <w:r w:rsidRPr="004C693B">
        <w:t>il apparaissait évident que ces derniers faisaient partie de l</w:t>
      </w:r>
      <w:r w:rsidR="00FB39FB">
        <w:t>’</w:t>
      </w:r>
      <w:r w:rsidRPr="004C693B">
        <w:t xml:space="preserve">élément décrit dans la vidéo </w:t>
      </w:r>
      <w:r w:rsidR="00760EDD">
        <w:t>associée au dossier</w:t>
      </w:r>
      <w:r w:rsidRPr="004C693B">
        <w:t>. L</w:t>
      </w:r>
      <w:r w:rsidR="00FB39FB">
        <w:t>’</w:t>
      </w:r>
      <w:r w:rsidRPr="004C693B">
        <w:t>Organe d</w:t>
      </w:r>
      <w:r w:rsidR="00FB39FB">
        <w:t>’</w:t>
      </w:r>
      <w:r w:rsidRPr="004C693B">
        <w:t>évaluation n</w:t>
      </w:r>
      <w:r w:rsidR="00FB39FB">
        <w:t>’</w:t>
      </w:r>
      <w:r w:rsidRPr="004C693B">
        <w:t xml:space="preserve">a pas détecté de </w:t>
      </w:r>
      <w:r w:rsidRPr="004C693B">
        <w:lastRenderedPageBreak/>
        <w:t xml:space="preserve">violation des droits des </w:t>
      </w:r>
      <w:r w:rsidRPr="004C693B">
        <w:rPr>
          <w:bCs/>
        </w:rPr>
        <w:t>animaux</w:t>
      </w:r>
      <w:r w:rsidRPr="004C693B">
        <w:t>, qui aurait pu entraîner le rejet ou le renvoi du dossier. Néanmoins, les membres de l</w:t>
      </w:r>
      <w:r w:rsidR="00FB39FB">
        <w:t>’</w:t>
      </w:r>
      <w:r w:rsidRPr="004C693B">
        <w:t>Organe d</w:t>
      </w:r>
      <w:r w:rsidR="00FB39FB">
        <w:t>’</w:t>
      </w:r>
      <w:r w:rsidRPr="004C693B">
        <w:t>évaluation ont discuté de la nécessité, pour les États parties, de rester conscients du bien-être animal tout au long de la constitution du dossier, ainsi que lors de la planification et de la mise en œuvre des mesures de sauvegarde.</w:t>
      </w:r>
    </w:p>
    <w:p w14:paraId="1202F66A" w14:textId="73AC99DC" w:rsidR="003B27F1" w:rsidRPr="004C693B" w:rsidRDefault="001E2073" w:rsidP="00E81059">
      <w:pPr>
        <w:pStyle w:val="COMPara"/>
        <w:numPr>
          <w:ilvl w:val="0"/>
          <w:numId w:val="12"/>
        </w:numPr>
        <w:ind w:left="567" w:hanging="567"/>
        <w:jc w:val="both"/>
        <w:rPr>
          <w:b/>
        </w:rPr>
      </w:pPr>
      <w:r w:rsidRPr="004C693B">
        <w:rPr>
          <w:b/>
        </w:rPr>
        <w:t xml:space="preserve">Patrimoine culinaire et </w:t>
      </w:r>
      <w:r w:rsidR="00921B3C" w:rsidRPr="004C693B">
        <w:rPr>
          <w:b/>
        </w:rPr>
        <w:t>traditions alimentaires</w:t>
      </w:r>
      <w:r w:rsidR="003B27F1" w:rsidRPr="004C693B">
        <w:rPr>
          <w:bCs/>
        </w:rPr>
        <w:t>.</w:t>
      </w:r>
      <w:r w:rsidR="003B27F1" w:rsidRPr="004C693B">
        <w:rPr>
          <w:b/>
        </w:rPr>
        <w:t xml:space="preserve"> </w:t>
      </w:r>
      <w:r w:rsidR="003B27F1" w:rsidRPr="004C693B">
        <w:t>L</w:t>
      </w:r>
      <w:r w:rsidR="00FB39FB">
        <w:t>’</w:t>
      </w:r>
      <w:r w:rsidR="003B27F1" w:rsidRPr="004C693B">
        <w:t>Organe d</w:t>
      </w:r>
      <w:r w:rsidR="00FB39FB">
        <w:t>’</w:t>
      </w:r>
      <w:r w:rsidR="003B27F1" w:rsidRPr="004C693B">
        <w:t>évaluation rappelle aux États parties que, lors de la désignation d</w:t>
      </w:r>
      <w:r w:rsidR="00FB39FB">
        <w:t>’</w:t>
      </w:r>
      <w:r w:rsidR="003B27F1" w:rsidRPr="004C693B">
        <w:t>éléments alimentaires aux fins d</w:t>
      </w:r>
      <w:r w:rsidR="00FB39FB">
        <w:t>’</w:t>
      </w:r>
      <w:r w:rsidR="003B27F1" w:rsidRPr="004C693B">
        <w:t>inscription, il convient d</w:t>
      </w:r>
      <w:r w:rsidR="00FB39FB">
        <w:t>’</w:t>
      </w:r>
      <w:r w:rsidR="003B27F1" w:rsidRPr="004C693B">
        <w:t>accorder une attention particulière aux fonctions, pratiques, traditions et significations culturelles associées à l</w:t>
      </w:r>
      <w:r w:rsidR="00FB39FB">
        <w:t>’</w:t>
      </w:r>
      <w:r w:rsidR="003B27F1" w:rsidRPr="004C693B">
        <w:t>élément. De même, les mesures de sauvegarde devraient être axées sur la poursuite de la transmission et de la viabilité des fonctions, pratiques et traditions associées à l</w:t>
      </w:r>
      <w:r w:rsidR="00FB39FB">
        <w:t>’</w:t>
      </w:r>
      <w:r w:rsidR="003B27F1" w:rsidRPr="004C693B">
        <w:t>élément alimentaire et non à l</w:t>
      </w:r>
      <w:r w:rsidR="00FB39FB">
        <w:t>’</w:t>
      </w:r>
      <w:r w:rsidR="003B27F1" w:rsidRPr="004C693B">
        <w:t>aliment lui-même.</w:t>
      </w:r>
    </w:p>
    <w:p w14:paraId="2E5F76C1" w14:textId="1CDBB4BC" w:rsidR="003B27F1" w:rsidRPr="004C693B" w:rsidRDefault="003B27F1" w:rsidP="00E81059">
      <w:pPr>
        <w:pStyle w:val="COMPara"/>
        <w:numPr>
          <w:ilvl w:val="0"/>
          <w:numId w:val="12"/>
        </w:numPr>
        <w:ind w:left="567" w:hanging="567"/>
        <w:jc w:val="both"/>
        <w:rPr>
          <w:b/>
        </w:rPr>
      </w:pPr>
      <w:r w:rsidRPr="004C693B">
        <w:rPr>
          <w:b/>
        </w:rPr>
        <w:t>Genre</w:t>
      </w:r>
      <w:r w:rsidRPr="004C693B">
        <w:rPr>
          <w:bCs/>
        </w:rPr>
        <w:t>.</w:t>
      </w:r>
      <w:r w:rsidRPr="004C693B">
        <w:rPr>
          <w:b/>
        </w:rPr>
        <w:t xml:space="preserve"> </w:t>
      </w:r>
      <w:r w:rsidRPr="004C693B">
        <w:rPr>
          <w:bCs/>
        </w:rPr>
        <w:t>L</w:t>
      </w:r>
      <w:r w:rsidR="00FB39FB">
        <w:rPr>
          <w:bCs/>
        </w:rPr>
        <w:t>’</w:t>
      </w:r>
      <w:r w:rsidRPr="004C693B">
        <w:rPr>
          <w:bCs/>
        </w:rPr>
        <w:t>Organe d</w:t>
      </w:r>
      <w:r w:rsidR="00FB39FB">
        <w:rPr>
          <w:bCs/>
        </w:rPr>
        <w:t>’</w:t>
      </w:r>
      <w:r w:rsidRPr="004C693B">
        <w:rPr>
          <w:bCs/>
        </w:rPr>
        <w:t>évaluation a examiné la manière dont certains rôles étaient présentés et décrits</w:t>
      </w:r>
      <w:r w:rsidR="00A16BEA" w:rsidRPr="004C693B">
        <w:rPr>
          <w:bCs/>
        </w:rPr>
        <w:t xml:space="preserve"> en fonction du genre,</w:t>
      </w:r>
      <w:r w:rsidRPr="004C693B">
        <w:rPr>
          <w:bCs/>
        </w:rPr>
        <w:t xml:space="preserve"> au regard de l</w:t>
      </w:r>
      <w:r w:rsidR="00FB39FB">
        <w:rPr>
          <w:bCs/>
        </w:rPr>
        <w:t>’</w:t>
      </w:r>
      <w:r w:rsidRPr="004C693B">
        <w:rPr>
          <w:bCs/>
        </w:rPr>
        <w:t>implication des communautés concernées par l</w:t>
      </w:r>
      <w:r w:rsidR="00FB39FB">
        <w:rPr>
          <w:bCs/>
        </w:rPr>
        <w:t>’</w:t>
      </w:r>
      <w:r w:rsidRPr="004C693B">
        <w:rPr>
          <w:bCs/>
        </w:rPr>
        <w:t xml:space="preserve">élément. Certains dossiers ont fourni des descriptions </w:t>
      </w:r>
      <w:r w:rsidR="0081290D" w:rsidRPr="004C693B">
        <w:rPr>
          <w:bCs/>
        </w:rPr>
        <w:t xml:space="preserve">claires </w:t>
      </w:r>
      <w:r w:rsidR="00921B3C" w:rsidRPr="004C693B">
        <w:rPr>
          <w:bCs/>
        </w:rPr>
        <w:t>sur</w:t>
      </w:r>
      <w:r w:rsidRPr="004C693B">
        <w:rPr>
          <w:bCs/>
        </w:rPr>
        <w:t xml:space="preserve"> la manière dont les hommes et les femmes ont participé à la transmission de l</w:t>
      </w:r>
      <w:r w:rsidR="00FB39FB">
        <w:rPr>
          <w:bCs/>
        </w:rPr>
        <w:t>’</w:t>
      </w:r>
      <w:r w:rsidRPr="004C693B">
        <w:rPr>
          <w:bCs/>
        </w:rPr>
        <w:t>élément, à la préparation du dossier de candidature et aux mesures de sauvegarde, ainsi qu</w:t>
      </w:r>
      <w:r w:rsidR="00FB39FB">
        <w:rPr>
          <w:bCs/>
        </w:rPr>
        <w:t>’</w:t>
      </w:r>
      <w:r w:rsidRPr="004C693B">
        <w:rPr>
          <w:bCs/>
        </w:rPr>
        <w:t>à l</w:t>
      </w:r>
      <w:r w:rsidR="00FB39FB">
        <w:rPr>
          <w:bCs/>
        </w:rPr>
        <w:t>’</w:t>
      </w:r>
      <w:r w:rsidRPr="004C693B">
        <w:rPr>
          <w:bCs/>
        </w:rPr>
        <w:t>inventaire. Certains dossiers ont décrit des éléments dans lesquels les femmes étaient les principales porteuses du projet (en précisant leur rôle), tandis que d</w:t>
      </w:r>
      <w:r w:rsidR="00FB39FB">
        <w:rPr>
          <w:bCs/>
        </w:rPr>
        <w:t>’</w:t>
      </w:r>
      <w:r w:rsidRPr="004C693B">
        <w:rPr>
          <w:bCs/>
        </w:rPr>
        <w:t>autres ont décrit les efforts visant à promouvoir une participation féminine plus soutenue. Certains autres dossiers, en revanche, étaient silencieux sur les rôles liés au genre. À cet égard, l</w:t>
      </w:r>
      <w:r w:rsidR="00FB39FB">
        <w:rPr>
          <w:bCs/>
        </w:rPr>
        <w:t>’</w:t>
      </w:r>
      <w:r w:rsidRPr="004C693B">
        <w:rPr>
          <w:bCs/>
        </w:rPr>
        <w:t>Organe d</w:t>
      </w:r>
      <w:r w:rsidR="00FB39FB">
        <w:rPr>
          <w:bCs/>
        </w:rPr>
        <w:t>’</w:t>
      </w:r>
      <w:r w:rsidRPr="004C693B">
        <w:rPr>
          <w:bCs/>
        </w:rPr>
        <w:t xml:space="preserve">évaluation a jugé important de favoriser une compréhension de la pratique des éléments dans leurs contextes culturels respectifs. Toutefois, il est rappelé aux États </w:t>
      </w:r>
      <w:r w:rsidR="00760EDD">
        <w:rPr>
          <w:bCs/>
        </w:rPr>
        <w:t>p</w:t>
      </w:r>
      <w:r w:rsidR="00760EDD" w:rsidRPr="004C693B">
        <w:rPr>
          <w:bCs/>
        </w:rPr>
        <w:t xml:space="preserve">arties </w:t>
      </w:r>
      <w:r w:rsidRPr="004C693B">
        <w:rPr>
          <w:bCs/>
        </w:rPr>
        <w:t>que l</w:t>
      </w:r>
      <w:r w:rsidR="00FB39FB">
        <w:rPr>
          <w:bCs/>
        </w:rPr>
        <w:t>’</w:t>
      </w:r>
      <w:r w:rsidRPr="004C693B">
        <w:rPr>
          <w:bCs/>
        </w:rPr>
        <w:t>évaluation pourrait être améliorée si les rôles de genre étaient abordés dans l</w:t>
      </w:r>
      <w:r w:rsidR="00FB39FB">
        <w:rPr>
          <w:bCs/>
        </w:rPr>
        <w:t>’</w:t>
      </w:r>
      <w:r w:rsidRPr="004C693B">
        <w:rPr>
          <w:bCs/>
        </w:rPr>
        <w:t>ensemble du dossier.</w:t>
      </w:r>
    </w:p>
    <w:p w14:paraId="166AAF04" w14:textId="17FE0C14" w:rsidR="00321EFE" w:rsidRPr="004C693B" w:rsidRDefault="00397F91" w:rsidP="00E81059">
      <w:pPr>
        <w:pStyle w:val="COMPara"/>
        <w:numPr>
          <w:ilvl w:val="0"/>
          <w:numId w:val="12"/>
        </w:numPr>
        <w:ind w:left="567" w:hanging="567"/>
        <w:jc w:val="both"/>
        <w:rPr>
          <w:bCs/>
        </w:rPr>
      </w:pPr>
      <w:r w:rsidRPr="004C693B">
        <w:rPr>
          <w:b/>
        </w:rPr>
        <w:t>Brevets et droits d</w:t>
      </w:r>
      <w:r w:rsidR="00FB39FB">
        <w:rPr>
          <w:b/>
        </w:rPr>
        <w:t>’</w:t>
      </w:r>
      <w:r w:rsidRPr="004C693B">
        <w:rPr>
          <w:b/>
        </w:rPr>
        <w:t>auteur</w:t>
      </w:r>
      <w:r w:rsidRPr="004C693B">
        <w:rPr>
          <w:bCs/>
        </w:rPr>
        <w:t>.</w:t>
      </w:r>
      <w:r w:rsidRPr="004C693B">
        <w:rPr>
          <w:b/>
        </w:rPr>
        <w:t xml:space="preserve"> </w:t>
      </w:r>
      <w:r w:rsidR="00760EDD" w:rsidRPr="00B1188E">
        <w:rPr>
          <w:bCs/>
        </w:rPr>
        <w:t>L</w:t>
      </w:r>
      <w:r w:rsidR="00FB39FB">
        <w:rPr>
          <w:bCs/>
        </w:rPr>
        <w:t>’</w:t>
      </w:r>
      <w:r w:rsidRPr="004C693B">
        <w:rPr>
          <w:bCs/>
        </w:rPr>
        <w:t>Organe d</w:t>
      </w:r>
      <w:r w:rsidR="00FB39FB">
        <w:rPr>
          <w:bCs/>
        </w:rPr>
        <w:t>’</w:t>
      </w:r>
      <w:r w:rsidRPr="004C693B">
        <w:rPr>
          <w:bCs/>
        </w:rPr>
        <w:t>évaluation</w:t>
      </w:r>
      <w:r w:rsidR="00760EDD">
        <w:rPr>
          <w:bCs/>
        </w:rPr>
        <w:t xml:space="preserve"> </w:t>
      </w:r>
      <w:r w:rsidRPr="004C693B">
        <w:rPr>
          <w:bCs/>
        </w:rPr>
        <w:t>rappelle aux États parties que l</w:t>
      </w:r>
      <w:r w:rsidR="00FB39FB">
        <w:rPr>
          <w:bCs/>
        </w:rPr>
        <w:t>’</w:t>
      </w:r>
      <w:r w:rsidRPr="004C693B">
        <w:rPr>
          <w:bCs/>
        </w:rPr>
        <w:t xml:space="preserve">inscription ne constituait pas </w:t>
      </w:r>
      <w:r w:rsidR="00760EDD">
        <w:rPr>
          <w:bCs/>
        </w:rPr>
        <w:t>un</w:t>
      </w:r>
      <w:r w:rsidR="00760EDD" w:rsidRPr="004C693B">
        <w:rPr>
          <w:bCs/>
        </w:rPr>
        <w:t xml:space="preserve"> </w:t>
      </w:r>
      <w:r w:rsidRPr="004C693B">
        <w:rPr>
          <w:bCs/>
        </w:rPr>
        <w:t>brevet</w:t>
      </w:r>
      <w:r w:rsidR="00760EDD">
        <w:rPr>
          <w:bCs/>
        </w:rPr>
        <w:t xml:space="preserve"> pour </w:t>
      </w:r>
      <w:r w:rsidRPr="004C693B">
        <w:rPr>
          <w:bCs/>
        </w:rPr>
        <w:t>un élément. Cette question ne relève pas de la Convention ni des travaux de l</w:t>
      </w:r>
      <w:r w:rsidR="00FB39FB">
        <w:rPr>
          <w:bCs/>
        </w:rPr>
        <w:t>’</w:t>
      </w:r>
      <w:r w:rsidRPr="004C693B">
        <w:rPr>
          <w:bCs/>
        </w:rPr>
        <w:t>Organe d</w:t>
      </w:r>
      <w:r w:rsidR="00FB39FB">
        <w:rPr>
          <w:bCs/>
        </w:rPr>
        <w:t>’</w:t>
      </w:r>
      <w:r w:rsidRPr="004C693B">
        <w:rPr>
          <w:bCs/>
        </w:rPr>
        <w:t>évaluation.</w:t>
      </w:r>
    </w:p>
    <w:p w14:paraId="0C3C9E29" w14:textId="10D31F84" w:rsidR="00321EFE" w:rsidRPr="004C693B" w:rsidRDefault="00760EDD" w:rsidP="00E81059">
      <w:pPr>
        <w:pStyle w:val="COMPara"/>
        <w:numPr>
          <w:ilvl w:val="0"/>
          <w:numId w:val="12"/>
        </w:numPr>
        <w:ind w:left="567" w:hanging="567"/>
        <w:jc w:val="both"/>
        <w:rPr>
          <w:b/>
        </w:rPr>
      </w:pPr>
      <w:r>
        <w:rPr>
          <w:b/>
        </w:rPr>
        <w:t>Revendications</w:t>
      </w:r>
      <w:r w:rsidRPr="004C693B">
        <w:rPr>
          <w:b/>
        </w:rPr>
        <w:t xml:space="preserve"> </w:t>
      </w:r>
      <w:r w:rsidR="00321EFE" w:rsidRPr="004C693B">
        <w:rPr>
          <w:b/>
        </w:rPr>
        <w:t>de propriété</w:t>
      </w:r>
      <w:r w:rsidR="00321EFE" w:rsidRPr="004C693B">
        <w:rPr>
          <w:bCs/>
        </w:rPr>
        <w:t>.</w:t>
      </w:r>
      <w:r w:rsidR="00321EFE" w:rsidRPr="004C693B">
        <w:rPr>
          <w:b/>
        </w:rPr>
        <w:t xml:space="preserve"> </w:t>
      </w:r>
      <w:r w:rsidR="00321EFE" w:rsidRPr="004C693B">
        <w:rPr>
          <w:bCs/>
        </w:rPr>
        <w:t>Dans un cas, l</w:t>
      </w:r>
      <w:r w:rsidR="00FB39FB">
        <w:rPr>
          <w:bCs/>
        </w:rPr>
        <w:t>’</w:t>
      </w:r>
      <w:r w:rsidR="00321EFE" w:rsidRPr="004C693B">
        <w:rPr>
          <w:bCs/>
        </w:rPr>
        <w:t>Organe d</w:t>
      </w:r>
      <w:r w:rsidR="00FB39FB">
        <w:rPr>
          <w:bCs/>
        </w:rPr>
        <w:t>’</w:t>
      </w:r>
      <w:r w:rsidR="00321EFE" w:rsidRPr="004C693B">
        <w:rPr>
          <w:bCs/>
        </w:rPr>
        <w:t>évaluation a pris note d</w:t>
      </w:r>
      <w:r w:rsidR="00FB39FB">
        <w:rPr>
          <w:bCs/>
        </w:rPr>
        <w:t>’</w:t>
      </w:r>
      <w:r w:rsidR="00321EFE" w:rsidRPr="004C693B">
        <w:rPr>
          <w:bCs/>
        </w:rPr>
        <w:t>un dossier qui n</w:t>
      </w:r>
      <w:r w:rsidR="00FB39FB">
        <w:rPr>
          <w:bCs/>
        </w:rPr>
        <w:t>’</w:t>
      </w:r>
      <w:r w:rsidR="00321EFE" w:rsidRPr="004C693B">
        <w:rPr>
          <w:bCs/>
        </w:rPr>
        <w:t>était pas clair quant à l</w:t>
      </w:r>
      <w:r>
        <w:rPr>
          <w:bCs/>
        </w:rPr>
        <w:t>a localisation</w:t>
      </w:r>
      <w:r w:rsidR="00321EFE" w:rsidRPr="004C693B">
        <w:rPr>
          <w:bCs/>
        </w:rPr>
        <w:t xml:space="preserve"> géographique de l</w:t>
      </w:r>
      <w:r w:rsidR="00FB39FB">
        <w:rPr>
          <w:bCs/>
        </w:rPr>
        <w:t>’</w:t>
      </w:r>
      <w:r w:rsidR="00321EFE" w:rsidRPr="004C693B">
        <w:rPr>
          <w:bCs/>
        </w:rPr>
        <w:t>élément. Cette clarification a été jugée particulièrement nécessaire dans ce cas d</w:t>
      </w:r>
      <w:r w:rsidR="00FB39FB">
        <w:rPr>
          <w:bCs/>
        </w:rPr>
        <w:t>’</w:t>
      </w:r>
      <w:r w:rsidR="00321EFE" w:rsidRPr="004C693B">
        <w:rPr>
          <w:bCs/>
        </w:rPr>
        <w:t>espèce, dans la m</w:t>
      </w:r>
      <w:r w:rsidR="00321EFE" w:rsidRPr="004C693B">
        <w:t>esure où d</w:t>
      </w:r>
      <w:r w:rsidR="00FB39FB">
        <w:t>’</w:t>
      </w:r>
      <w:r w:rsidR="00321EFE" w:rsidRPr="004C693B">
        <w:t>autres pays ont recours à une pratique similaire. L</w:t>
      </w:r>
      <w:r w:rsidR="00FB39FB">
        <w:t>’</w:t>
      </w:r>
      <w:r w:rsidR="00321EFE" w:rsidRPr="004C693B">
        <w:t>Organe d</w:t>
      </w:r>
      <w:r w:rsidR="00FB39FB">
        <w:t>’</w:t>
      </w:r>
      <w:r w:rsidR="00321EFE" w:rsidRPr="004C693B">
        <w:t>évaluation rappelle aux États parties que l</w:t>
      </w:r>
      <w:r w:rsidR="00FB39FB">
        <w:t>’</w:t>
      </w:r>
      <w:r w:rsidR="00321EFE" w:rsidRPr="004C693B">
        <w:t>inscription d</w:t>
      </w:r>
      <w:r w:rsidR="00FB39FB">
        <w:t>’</w:t>
      </w:r>
      <w:r w:rsidR="00321EFE" w:rsidRPr="004C693B">
        <w:t>un élément ne doit en aucun cas être employée comme un moyen de revendiquer l</w:t>
      </w:r>
      <w:r w:rsidR="00FB39FB">
        <w:t>’</w:t>
      </w:r>
      <w:r w:rsidR="00321EFE" w:rsidRPr="004C693B">
        <w:t>authenticité ou la propriété de cet élément. Ils sont également encouragés à reconnaître à quel moment un élément existe ailleurs.</w:t>
      </w:r>
    </w:p>
    <w:p w14:paraId="6EE61632" w14:textId="62F2EDA2" w:rsidR="005C3CD2" w:rsidRPr="004C693B" w:rsidRDefault="005C3CD2" w:rsidP="00BE7582">
      <w:pPr>
        <w:pStyle w:val="COMPara"/>
        <w:spacing w:before="240"/>
        <w:jc w:val="both"/>
      </w:pPr>
      <w:r w:rsidRPr="004C693B">
        <w:rPr>
          <w:b/>
          <w:i/>
        </w:rPr>
        <w:t>Questions spécifiques liées aux demandes d</w:t>
      </w:r>
      <w:r w:rsidR="00FB39FB">
        <w:rPr>
          <w:b/>
          <w:i/>
        </w:rPr>
        <w:t>’</w:t>
      </w:r>
      <w:r w:rsidRPr="004C693B">
        <w:rPr>
          <w:b/>
          <w:i/>
        </w:rPr>
        <w:t>assistance internationale d</w:t>
      </w:r>
      <w:r w:rsidR="00FB39FB">
        <w:rPr>
          <w:b/>
          <w:i/>
        </w:rPr>
        <w:t>’</w:t>
      </w:r>
      <w:r w:rsidRPr="004C693B">
        <w:rPr>
          <w:b/>
          <w:i/>
        </w:rPr>
        <w:t>un montant de plus de 100 000 </w:t>
      </w:r>
      <w:r w:rsidR="00760EDD">
        <w:rPr>
          <w:b/>
          <w:i/>
        </w:rPr>
        <w:t>dollars des États-Unis</w:t>
      </w:r>
      <w:r w:rsidRPr="00B1188E">
        <w:rPr>
          <w:bCs/>
          <w:i/>
        </w:rPr>
        <w:t>.</w:t>
      </w:r>
    </w:p>
    <w:p w14:paraId="0BEE79BF" w14:textId="513197B2" w:rsidR="005C3CD2" w:rsidRPr="004C693B" w:rsidRDefault="00323104" w:rsidP="00E81059">
      <w:pPr>
        <w:pStyle w:val="COMPara"/>
        <w:numPr>
          <w:ilvl w:val="0"/>
          <w:numId w:val="12"/>
        </w:numPr>
        <w:ind w:left="567" w:hanging="567"/>
        <w:jc w:val="both"/>
      </w:pPr>
      <w:r w:rsidRPr="004C693B">
        <w:t>Lors</w:t>
      </w:r>
      <w:r w:rsidRPr="004C693B">
        <w:rPr>
          <w:rStyle w:val="hps"/>
        </w:rPr>
        <w:t xml:space="preserve"> de l</w:t>
      </w:r>
      <w:r w:rsidR="00FB39FB">
        <w:rPr>
          <w:rStyle w:val="hps"/>
        </w:rPr>
        <w:t>’</w:t>
      </w:r>
      <w:r w:rsidRPr="004C693B">
        <w:rPr>
          <w:rStyle w:val="hps"/>
        </w:rPr>
        <w:t>évaluation des demandes d</w:t>
      </w:r>
      <w:r w:rsidR="00FB39FB">
        <w:rPr>
          <w:rStyle w:val="hps"/>
        </w:rPr>
        <w:t>’</w:t>
      </w:r>
      <w:r w:rsidRPr="004C693B">
        <w:rPr>
          <w:rStyle w:val="hps"/>
        </w:rPr>
        <w:t>assistance internationale, l</w:t>
      </w:r>
      <w:r w:rsidR="00FB39FB">
        <w:rPr>
          <w:rStyle w:val="hps"/>
        </w:rPr>
        <w:t>’</w:t>
      </w:r>
      <w:r w:rsidRPr="004C693B">
        <w:rPr>
          <w:rStyle w:val="hps"/>
        </w:rPr>
        <w:t>Organe d</w:t>
      </w:r>
      <w:r w:rsidR="00FB39FB">
        <w:rPr>
          <w:rStyle w:val="hps"/>
        </w:rPr>
        <w:t>’</w:t>
      </w:r>
      <w:r w:rsidRPr="004C693B">
        <w:rPr>
          <w:rStyle w:val="hps"/>
        </w:rPr>
        <w:t>évaluation a mis l</w:t>
      </w:r>
      <w:r w:rsidR="00FB39FB">
        <w:rPr>
          <w:rStyle w:val="hps"/>
        </w:rPr>
        <w:t>’</w:t>
      </w:r>
      <w:r w:rsidRPr="004C693B">
        <w:rPr>
          <w:rStyle w:val="hps"/>
        </w:rPr>
        <w:t>accent sur le lien entre le contexte de l</w:t>
      </w:r>
      <w:r w:rsidR="00FB39FB">
        <w:rPr>
          <w:rStyle w:val="hps"/>
        </w:rPr>
        <w:t>’</w:t>
      </w:r>
      <w:r w:rsidRPr="004C693B">
        <w:rPr>
          <w:rStyle w:val="hps"/>
        </w:rPr>
        <w:t xml:space="preserve">élément concerné, la justification de son statut, les objectifs des mesures et du plan de sauvegarde, les </w:t>
      </w:r>
      <w:r w:rsidRPr="004C693B">
        <w:rPr>
          <w:bCs/>
        </w:rPr>
        <w:t>activités</w:t>
      </w:r>
      <w:r w:rsidRPr="004C693B">
        <w:rPr>
          <w:rStyle w:val="hps"/>
        </w:rPr>
        <w:t xml:space="preserve"> prévues, et enfin, les résultats escomptés. Ces conditions doivent s</w:t>
      </w:r>
      <w:r w:rsidR="00FB39FB">
        <w:rPr>
          <w:rStyle w:val="hps"/>
        </w:rPr>
        <w:t>’</w:t>
      </w:r>
      <w:r w:rsidRPr="004C693B">
        <w:rPr>
          <w:rStyle w:val="hps"/>
        </w:rPr>
        <w:t>aligner sur le calendrier proposé et le budget détaillé. Malheureusement, dans plusieurs dossiers, les mesures de sauvegarde n</w:t>
      </w:r>
      <w:r w:rsidR="00FB39FB">
        <w:rPr>
          <w:rStyle w:val="hps"/>
        </w:rPr>
        <w:t>’</w:t>
      </w:r>
      <w:r w:rsidRPr="004C693B">
        <w:rPr>
          <w:rStyle w:val="hps"/>
        </w:rPr>
        <w:t>ont pas été décrites de manière spécifique, voire n</w:t>
      </w:r>
      <w:r w:rsidR="00FB39FB">
        <w:rPr>
          <w:rStyle w:val="hps"/>
        </w:rPr>
        <w:t>’</w:t>
      </w:r>
      <w:r w:rsidRPr="004C693B">
        <w:rPr>
          <w:rStyle w:val="hps"/>
        </w:rPr>
        <w:t>ont pas été expliquées du tout, ce qui a rendu difficile l</w:t>
      </w:r>
      <w:r w:rsidR="00FB39FB">
        <w:rPr>
          <w:rStyle w:val="hps"/>
        </w:rPr>
        <w:t>’</w:t>
      </w:r>
      <w:r w:rsidRPr="004C693B">
        <w:rPr>
          <w:rStyle w:val="hps"/>
        </w:rPr>
        <w:t>évaluation de leur alignement par rapport aux objectifs de sauvegarde énoncés.</w:t>
      </w:r>
    </w:p>
    <w:p w14:paraId="2A9747B6" w14:textId="25F14D1D" w:rsidR="009057F2" w:rsidRPr="004C693B" w:rsidRDefault="00FE17B6" w:rsidP="00E81059">
      <w:pPr>
        <w:pStyle w:val="COMPara"/>
        <w:numPr>
          <w:ilvl w:val="0"/>
          <w:numId w:val="12"/>
        </w:numPr>
        <w:ind w:left="567" w:hanging="567"/>
        <w:jc w:val="both"/>
      </w:pPr>
      <w:r w:rsidRPr="004C693B">
        <w:rPr>
          <w:b/>
        </w:rPr>
        <w:t>Suivi des éléments inscrits</w:t>
      </w:r>
      <w:r w:rsidRPr="004C693B">
        <w:rPr>
          <w:bCs/>
        </w:rPr>
        <w:t>.</w:t>
      </w:r>
      <w:r w:rsidRPr="004C693B">
        <w:t xml:space="preserve"> L</w:t>
      </w:r>
      <w:r w:rsidR="00FB39FB">
        <w:t>’</w:t>
      </w:r>
      <w:r w:rsidRPr="004C693B">
        <w:t>Organe d</w:t>
      </w:r>
      <w:r w:rsidR="00FB39FB">
        <w:t>’</w:t>
      </w:r>
      <w:r w:rsidRPr="004C693B">
        <w:t>évaluation a pris note d</w:t>
      </w:r>
      <w:r w:rsidR="00FB39FB">
        <w:t>’</w:t>
      </w:r>
      <w:r w:rsidRPr="004C693B">
        <w:t>une demande d</w:t>
      </w:r>
      <w:r w:rsidR="00FB39FB">
        <w:t>’</w:t>
      </w:r>
      <w:r w:rsidRPr="004C693B">
        <w:t xml:space="preserve">assistance internationale pour un élément déjà inscrit sur la </w:t>
      </w:r>
      <w:r w:rsidR="00703D19">
        <w:t>L</w:t>
      </w:r>
      <w:r w:rsidRPr="004C693B">
        <w:t xml:space="preserve">iste du patrimoine culturel immatériel </w:t>
      </w:r>
      <w:r w:rsidR="009B142E" w:rsidRPr="004C693B">
        <w:t>nécessitant une sauvegarde urgente</w:t>
      </w:r>
      <w:r w:rsidRPr="004C693B">
        <w:t>. La procédure d</w:t>
      </w:r>
      <w:r w:rsidR="00FB39FB">
        <w:t>’</w:t>
      </w:r>
      <w:r w:rsidRPr="004C693B">
        <w:t>évaluation a été l</w:t>
      </w:r>
      <w:r w:rsidR="00FB39FB">
        <w:t>’</w:t>
      </w:r>
      <w:r w:rsidRPr="004C693B">
        <w:t>occasion de soulever la question de savoir si une évaluation de l</w:t>
      </w:r>
      <w:r w:rsidR="00FB39FB">
        <w:t>’</w:t>
      </w:r>
      <w:r w:rsidRPr="004C693B">
        <w:t>élément lui-même devait être envisagée. Comme il n</w:t>
      </w:r>
      <w:r w:rsidR="00FB39FB">
        <w:t>’</w:t>
      </w:r>
      <w:r w:rsidRPr="004C693B">
        <w:t>existe aucun précédent dans ce domaine, la demande d</w:t>
      </w:r>
      <w:r w:rsidR="00FB39FB">
        <w:t>’</w:t>
      </w:r>
      <w:r w:rsidRPr="004C693B">
        <w:t>assistance internationale a été examinée sur le fond.</w:t>
      </w:r>
    </w:p>
    <w:p w14:paraId="2D10597E" w14:textId="472505C5" w:rsidR="009057F2" w:rsidRPr="004C693B" w:rsidRDefault="00FE17B6" w:rsidP="00E81059">
      <w:pPr>
        <w:pStyle w:val="COMPara"/>
        <w:numPr>
          <w:ilvl w:val="0"/>
          <w:numId w:val="12"/>
        </w:numPr>
        <w:ind w:left="567" w:hanging="567"/>
        <w:jc w:val="both"/>
      </w:pPr>
      <w:r w:rsidRPr="004C693B">
        <w:rPr>
          <w:b/>
        </w:rPr>
        <w:t xml:space="preserve">Participation </w:t>
      </w:r>
      <w:r w:rsidR="00703D19">
        <w:rPr>
          <w:b/>
        </w:rPr>
        <w:t>des communautés</w:t>
      </w:r>
      <w:r w:rsidRPr="004C693B">
        <w:rPr>
          <w:bCs/>
        </w:rPr>
        <w:t>.</w:t>
      </w:r>
      <w:r w:rsidRPr="004C693B">
        <w:t xml:space="preserve"> L</w:t>
      </w:r>
      <w:r w:rsidR="00FB39FB">
        <w:t>’</w:t>
      </w:r>
      <w:r w:rsidRPr="004C693B">
        <w:t>Organe d</w:t>
      </w:r>
      <w:r w:rsidR="00FB39FB">
        <w:t>’</w:t>
      </w:r>
      <w:r w:rsidRPr="004C693B">
        <w:t>évaluation a pris note d</w:t>
      </w:r>
      <w:r w:rsidR="00FB39FB">
        <w:t>’</w:t>
      </w:r>
      <w:r w:rsidRPr="004C693B">
        <w:t>une demande d</w:t>
      </w:r>
      <w:r w:rsidR="00FB39FB">
        <w:t>’</w:t>
      </w:r>
      <w:r w:rsidRPr="004C693B">
        <w:t xml:space="preserve">assistance internationale dans laquelle il était difficile de déterminer dans </w:t>
      </w:r>
      <w:r w:rsidRPr="004C693B">
        <w:rPr>
          <w:bCs/>
        </w:rPr>
        <w:t>quelle</w:t>
      </w:r>
      <w:r w:rsidRPr="004C693B">
        <w:t xml:space="preserve"> mesure les communautés </w:t>
      </w:r>
      <w:r w:rsidRPr="004C693B">
        <w:lastRenderedPageBreak/>
        <w:t>étaient impliquées dans l</w:t>
      </w:r>
      <w:r w:rsidR="00FB39FB">
        <w:t>’</w:t>
      </w:r>
      <w:r w:rsidRPr="004C693B">
        <w:t>élaboration de la requête. Il semble que l</w:t>
      </w:r>
      <w:r w:rsidR="00FB39FB">
        <w:t>’</w:t>
      </w:r>
      <w:r w:rsidRPr="004C693B">
        <w:t>élément n</w:t>
      </w:r>
      <w:r w:rsidR="00FB39FB">
        <w:t>’</w:t>
      </w:r>
      <w:r w:rsidRPr="004C693B">
        <w:t>ait reçu que quelques soutiens, ce qui a également rendu difficile l</w:t>
      </w:r>
      <w:r w:rsidR="00FB39FB">
        <w:t>’</w:t>
      </w:r>
      <w:r w:rsidRPr="004C693B">
        <w:t>évaluation de la manière dont les communautés s</w:t>
      </w:r>
      <w:r w:rsidR="00FB39FB">
        <w:t>’</w:t>
      </w:r>
      <w:r w:rsidRPr="004C693B">
        <w:t>étaient impliquées dans la mise en œuvre des mesures de sauvegarde proposées. Les États parties sont encouragés à faire tout leur possible pour assurer la participation la plus large possible des communautés, groupes et individus concernés par l</w:t>
      </w:r>
      <w:r w:rsidR="00FB39FB">
        <w:t>’</w:t>
      </w:r>
      <w:r w:rsidRPr="004C693B">
        <w:t>élément, y compris ses soutiens et ses praticiens.</w:t>
      </w:r>
    </w:p>
    <w:p w14:paraId="2E624886" w14:textId="52567B3E" w:rsidR="009057F2" w:rsidRPr="004C693B" w:rsidRDefault="009A0632" w:rsidP="00E81059">
      <w:pPr>
        <w:pStyle w:val="COMPara"/>
        <w:numPr>
          <w:ilvl w:val="0"/>
          <w:numId w:val="12"/>
        </w:numPr>
        <w:ind w:left="567" w:hanging="567"/>
        <w:jc w:val="both"/>
      </w:pPr>
      <w:r w:rsidRPr="004C693B">
        <w:rPr>
          <w:b/>
        </w:rPr>
        <w:t>Faisabilité des plans proposés</w:t>
      </w:r>
      <w:r w:rsidRPr="004C693B">
        <w:rPr>
          <w:bCs/>
        </w:rPr>
        <w:t>.</w:t>
      </w:r>
      <w:r w:rsidRPr="004C693B">
        <w:t xml:space="preserve"> L</w:t>
      </w:r>
      <w:r w:rsidR="00FB39FB">
        <w:t>’</w:t>
      </w:r>
      <w:r w:rsidRPr="004C693B">
        <w:t>Organe d</w:t>
      </w:r>
      <w:r w:rsidR="00FB39FB">
        <w:t>’</w:t>
      </w:r>
      <w:r w:rsidRPr="004C693B">
        <w:t>évaluation a examiné un dossier dans lequel des préoccupations s</w:t>
      </w:r>
      <w:r w:rsidR="00FB39FB">
        <w:t>’</w:t>
      </w:r>
      <w:r w:rsidRPr="004C693B">
        <w:t>étaient exprimées quant à la pertinence du temps alloué pour la mise en œuvre des activités proposées. De même, l</w:t>
      </w:r>
      <w:r w:rsidR="00FB39FB">
        <w:t>’</w:t>
      </w:r>
      <w:r w:rsidRPr="004C693B">
        <w:t xml:space="preserve">attention a été attirée sur le fait que </w:t>
      </w:r>
      <w:r w:rsidR="00703D19">
        <w:t xml:space="preserve">le budget de </w:t>
      </w:r>
      <w:r w:rsidRPr="004C693B">
        <w:t>certains aspects du projet étai</w:t>
      </w:r>
      <w:r w:rsidR="00703D19">
        <w:t>t excessif</w:t>
      </w:r>
      <w:r w:rsidRPr="004C693B">
        <w:t>. Les États parties sont encouragés à examiner attentivement les affectations de temps et les estimations de coûts associées aux projets proposés afin que ces derniers puissent être considérés comme un tout.</w:t>
      </w:r>
    </w:p>
    <w:p w14:paraId="0C62FA4E" w14:textId="63BF280C" w:rsidR="005C3CD2" w:rsidRPr="004C693B" w:rsidRDefault="00E71CA7" w:rsidP="00E81059">
      <w:pPr>
        <w:pStyle w:val="COMPara"/>
        <w:numPr>
          <w:ilvl w:val="0"/>
          <w:numId w:val="12"/>
        </w:numPr>
        <w:ind w:left="567" w:hanging="567"/>
        <w:jc w:val="both"/>
      </w:pPr>
      <w:r w:rsidRPr="004C693B">
        <w:rPr>
          <w:b/>
        </w:rPr>
        <w:t>Durabilité des plans proposés</w:t>
      </w:r>
      <w:r w:rsidRPr="004C693B">
        <w:rPr>
          <w:bCs/>
        </w:rPr>
        <w:t>.</w:t>
      </w:r>
      <w:r w:rsidRPr="004C693B">
        <w:t xml:space="preserve"> L</w:t>
      </w:r>
      <w:r w:rsidR="00FB39FB">
        <w:t>’</w:t>
      </w:r>
      <w:r w:rsidRPr="004C693B">
        <w:t>Organe d</w:t>
      </w:r>
      <w:r w:rsidR="00FB39FB">
        <w:t>’</w:t>
      </w:r>
      <w:r w:rsidRPr="004C693B">
        <w:t>évaluation a discuté de l</w:t>
      </w:r>
      <w:r w:rsidR="00FB39FB">
        <w:t>’</w:t>
      </w:r>
      <w:r w:rsidRPr="004C693B">
        <w:t>importance de proposer des projets susceptibles de produire des résultats durables. Selon le contexte, il convient que les plans proposés visent à assurer la transmission continue d</w:t>
      </w:r>
      <w:r w:rsidR="00FB39FB">
        <w:t>’</w:t>
      </w:r>
      <w:r w:rsidRPr="004C693B">
        <w:t>un élément par le biais d</w:t>
      </w:r>
      <w:r w:rsidR="00FB39FB">
        <w:t>’</w:t>
      </w:r>
      <w:r w:rsidRPr="004C693B">
        <w:t>activités durables qui répondent directement aux besoins de l</w:t>
      </w:r>
      <w:r w:rsidR="00FB39FB">
        <w:t>’</w:t>
      </w:r>
      <w:r w:rsidRPr="004C693B">
        <w:t xml:space="preserve">élément et des </w:t>
      </w:r>
      <w:r w:rsidRPr="004C693B">
        <w:rPr>
          <w:bCs/>
        </w:rPr>
        <w:t>communautés</w:t>
      </w:r>
      <w:r w:rsidRPr="004C693B">
        <w:t xml:space="preserve"> concernées.</w:t>
      </w:r>
    </w:p>
    <w:p w14:paraId="60374A82" w14:textId="377050F7" w:rsidR="005C3CD2" w:rsidRPr="004C693B" w:rsidRDefault="005C3CD2" w:rsidP="00200BE8">
      <w:pPr>
        <w:pStyle w:val="COMPara"/>
        <w:keepNext/>
        <w:spacing w:before="240"/>
        <w:jc w:val="both"/>
        <w:rPr>
          <w:b/>
          <w:i/>
        </w:rPr>
      </w:pPr>
      <w:r w:rsidRPr="004C693B">
        <w:rPr>
          <w:b/>
          <w:i/>
        </w:rPr>
        <w:t>Questions spécifiques liées aux critères de sélection du Registre de bonnes pratiques de sauvegarde</w:t>
      </w:r>
    </w:p>
    <w:p w14:paraId="3DCDAF10" w14:textId="30E9C66C" w:rsidR="007B5424" w:rsidRPr="004C693B" w:rsidRDefault="00E71CA7" w:rsidP="00E81059">
      <w:pPr>
        <w:pStyle w:val="COMPara"/>
        <w:numPr>
          <w:ilvl w:val="0"/>
          <w:numId w:val="12"/>
        </w:numPr>
        <w:ind w:left="567" w:hanging="567"/>
        <w:jc w:val="both"/>
        <w:rPr>
          <w:bCs/>
        </w:rPr>
      </w:pPr>
      <w:r w:rsidRPr="004C693B">
        <w:rPr>
          <w:b/>
        </w:rPr>
        <w:t>Diversité</w:t>
      </w:r>
      <w:r w:rsidR="0081290D" w:rsidRPr="004C693B">
        <w:rPr>
          <w:b/>
        </w:rPr>
        <w:t xml:space="preserve"> géographique</w:t>
      </w:r>
      <w:r w:rsidRPr="004C693B">
        <w:rPr>
          <w:b/>
        </w:rPr>
        <w:t xml:space="preserve"> des propositions</w:t>
      </w:r>
      <w:r w:rsidRPr="004C693B">
        <w:rPr>
          <w:bCs/>
        </w:rPr>
        <w:t>.</w:t>
      </w:r>
      <w:r w:rsidRPr="004C693B">
        <w:t xml:space="preserve"> </w:t>
      </w:r>
      <w:r w:rsidR="007B5424" w:rsidRPr="004C693B">
        <w:rPr>
          <w:bCs/>
        </w:rPr>
        <w:t>Au cours de ses cycles précédents, le Comité a noté le manque de diversité géographique dans les propositions au Registre de bonnes pratiques de sauvegarde, les soumissions provenant essentiellement des pays à revenu moyen-supérieur à élevé. Toutefois, l</w:t>
      </w:r>
      <w:r w:rsidR="00FB39FB">
        <w:rPr>
          <w:bCs/>
        </w:rPr>
        <w:t>’</w:t>
      </w:r>
      <w:r w:rsidR="007B5424" w:rsidRPr="004C693B">
        <w:rPr>
          <w:bCs/>
        </w:rPr>
        <w:t>Organe d</w:t>
      </w:r>
      <w:r w:rsidR="00FB39FB">
        <w:rPr>
          <w:bCs/>
        </w:rPr>
        <w:t>’</w:t>
      </w:r>
      <w:r w:rsidR="007B5424" w:rsidRPr="004C693B">
        <w:rPr>
          <w:bCs/>
        </w:rPr>
        <w:t>évaluation a pris note avec satisfaction de deux propositions fortes d</w:t>
      </w:r>
      <w:r w:rsidR="00FB39FB">
        <w:rPr>
          <w:bCs/>
        </w:rPr>
        <w:t>’</w:t>
      </w:r>
      <w:r w:rsidR="007B5424" w:rsidRPr="004C693B">
        <w:rPr>
          <w:bCs/>
        </w:rPr>
        <w:t>inscription au Registre formulées par des pays à revenu faible ou intermédiaire au cours du cycle 2021.</w:t>
      </w:r>
    </w:p>
    <w:p w14:paraId="6C50D618" w14:textId="5F627093" w:rsidR="00044A4F" w:rsidRPr="004C693B" w:rsidRDefault="00044A4F" w:rsidP="00E81059">
      <w:pPr>
        <w:pStyle w:val="COMPara"/>
        <w:numPr>
          <w:ilvl w:val="0"/>
          <w:numId w:val="12"/>
        </w:numPr>
        <w:ind w:left="567" w:hanging="567"/>
        <w:jc w:val="both"/>
        <w:rPr>
          <w:bCs/>
        </w:rPr>
      </w:pPr>
      <w:r w:rsidRPr="004C693B">
        <w:rPr>
          <w:b/>
        </w:rPr>
        <w:t>Objectif du Registre</w:t>
      </w:r>
      <w:r w:rsidR="003173F2" w:rsidRPr="004C693B">
        <w:rPr>
          <w:bCs/>
        </w:rPr>
        <w:t>.</w:t>
      </w:r>
      <w:r w:rsidRPr="004C693B">
        <w:rPr>
          <w:bCs/>
        </w:rPr>
        <w:t xml:space="preserve"> L</w:t>
      </w:r>
      <w:r w:rsidR="00FB39FB">
        <w:rPr>
          <w:bCs/>
        </w:rPr>
        <w:t>’</w:t>
      </w:r>
      <w:r w:rsidRPr="004C693B">
        <w:rPr>
          <w:bCs/>
        </w:rPr>
        <w:t>Organe d</w:t>
      </w:r>
      <w:r w:rsidR="00FB39FB">
        <w:rPr>
          <w:bCs/>
        </w:rPr>
        <w:t>’</w:t>
      </w:r>
      <w:r w:rsidRPr="004C693B">
        <w:rPr>
          <w:bCs/>
        </w:rPr>
        <w:t>évaluation rappelle que le but du Registre est de sélectionner et de promouvoir les programmes, projets et activités de sauvegarde du patrimoine culturel immatériel qui reflètent le mieux les principes et objectifs de la Convention et qu</w:t>
      </w:r>
      <w:r w:rsidR="00FB39FB">
        <w:rPr>
          <w:bCs/>
        </w:rPr>
        <w:t>’</w:t>
      </w:r>
      <w:r w:rsidRPr="004C693B">
        <w:rPr>
          <w:bCs/>
        </w:rPr>
        <w:t>un tel programme, projet ou activité doit être conforme à la définition du patrimoine culturel immatériel énoncée dans la Convention.</w:t>
      </w:r>
    </w:p>
    <w:p w14:paraId="13DD98B5" w14:textId="46BFB693" w:rsidR="005C3CD2" w:rsidRPr="004C693B" w:rsidRDefault="005C3CD2" w:rsidP="00D07E68">
      <w:pPr>
        <w:pStyle w:val="COMPara"/>
        <w:keepNext/>
        <w:spacing w:before="240"/>
        <w:jc w:val="both"/>
        <w:rPr>
          <w:b/>
          <w:i/>
        </w:rPr>
      </w:pPr>
      <w:r w:rsidRPr="004C693B">
        <w:rPr>
          <w:b/>
          <w:i/>
        </w:rPr>
        <w:t>Questions spécifiques relatives aux critères d</w:t>
      </w:r>
      <w:r w:rsidR="00FB39FB">
        <w:rPr>
          <w:b/>
          <w:i/>
        </w:rPr>
        <w:t>’</w:t>
      </w:r>
      <w:r w:rsidRPr="004C693B">
        <w:rPr>
          <w:b/>
          <w:i/>
        </w:rPr>
        <w:t>inscription sur la Liste représentative du patrimoine culturel immatériel de l</w:t>
      </w:r>
      <w:r w:rsidR="00FB39FB">
        <w:rPr>
          <w:b/>
          <w:i/>
        </w:rPr>
        <w:t>’</w:t>
      </w:r>
      <w:r w:rsidRPr="004C693B">
        <w:rPr>
          <w:b/>
          <w:i/>
        </w:rPr>
        <w:t xml:space="preserve">humanité et sur la Liste du patrimoine culturel immatériel </w:t>
      </w:r>
      <w:r w:rsidR="009B142E" w:rsidRPr="004C693B">
        <w:rPr>
          <w:b/>
          <w:i/>
        </w:rPr>
        <w:t>nécessitant une sauvegarde urgente</w:t>
      </w:r>
    </w:p>
    <w:p w14:paraId="45CF0A81" w14:textId="5A08F973" w:rsidR="00D84ABD" w:rsidRPr="004C693B" w:rsidRDefault="00E37C44" w:rsidP="00E81059">
      <w:pPr>
        <w:pStyle w:val="COMPara"/>
        <w:numPr>
          <w:ilvl w:val="0"/>
          <w:numId w:val="12"/>
        </w:numPr>
        <w:ind w:left="567" w:hanging="567"/>
        <w:jc w:val="both"/>
        <w:rPr>
          <w:b/>
          <w:bCs/>
        </w:rPr>
      </w:pPr>
      <w:r w:rsidRPr="004C693B">
        <w:rPr>
          <w:b/>
        </w:rPr>
        <w:t xml:space="preserve">Diversité des candidatures. </w:t>
      </w:r>
      <w:r w:rsidRPr="004C693B">
        <w:t>L</w:t>
      </w:r>
      <w:r w:rsidR="00FB39FB">
        <w:t>’</w:t>
      </w:r>
      <w:r w:rsidRPr="004C693B">
        <w:t>Organe d</w:t>
      </w:r>
      <w:r w:rsidR="00FB39FB">
        <w:t>’</w:t>
      </w:r>
      <w:r w:rsidRPr="004C693B">
        <w:t xml:space="preserve">évaluation a été impressionné par la diversité du patrimoine culturel immatériel proposé en vue de </w:t>
      </w:r>
      <w:r w:rsidRPr="004C693B">
        <w:rPr>
          <w:bCs/>
        </w:rPr>
        <w:t>l</w:t>
      </w:r>
      <w:r w:rsidR="00FB39FB">
        <w:rPr>
          <w:bCs/>
        </w:rPr>
        <w:t>’</w:t>
      </w:r>
      <w:r w:rsidRPr="004C693B">
        <w:rPr>
          <w:bCs/>
        </w:rPr>
        <w:t>inscription</w:t>
      </w:r>
      <w:r w:rsidRPr="004C693B">
        <w:t xml:space="preserve"> sur les listes de la Convention. Cette diversité témoigne de la créativité humaine, ainsi que du désir des États parties et des communautés, groupes et individus de sauvegarder leur patrimoine culturel immatériel.</w:t>
      </w:r>
    </w:p>
    <w:p w14:paraId="4CA7220D" w14:textId="11762577" w:rsidR="00D84ABD" w:rsidRPr="004C693B" w:rsidRDefault="00E37C44" w:rsidP="00E81059">
      <w:pPr>
        <w:pStyle w:val="COMPara"/>
        <w:numPr>
          <w:ilvl w:val="0"/>
          <w:numId w:val="12"/>
        </w:numPr>
        <w:ind w:left="567" w:hanging="567"/>
        <w:jc w:val="both"/>
        <w:rPr>
          <w:b/>
          <w:bCs/>
        </w:rPr>
      </w:pPr>
      <w:r w:rsidRPr="004C693B">
        <w:rPr>
          <w:b/>
        </w:rPr>
        <w:t>Lien entre le critère R.1 et les autres critères</w:t>
      </w:r>
      <w:r w:rsidRPr="004C693B">
        <w:rPr>
          <w:bCs/>
        </w:rPr>
        <w:t>.</w:t>
      </w:r>
      <w:r w:rsidRPr="004C693B">
        <w:rPr>
          <w:b/>
        </w:rPr>
        <w:t xml:space="preserve"> </w:t>
      </w:r>
      <w:r w:rsidRPr="004C693B">
        <w:t>L</w:t>
      </w:r>
      <w:r w:rsidR="00FB39FB">
        <w:t>’</w:t>
      </w:r>
      <w:r w:rsidRPr="004C693B">
        <w:t>Organe d</w:t>
      </w:r>
      <w:r w:rsidR="00FB39FB">
        <w:t>’</w:t>
      </w:r>
      <w:r w:rsidRPr="004C693B">
        <w:t>évaluation a rencontré plusieurs dossiers qui ne satisfaisaient pas</w:t>
      </w:r>
      <w:r w:rsidR="007E5419" w:rsidRPr="004C693B">
        <w:t xml:space="preserve"> complétement</w:t>
      </w:r>
      <w:r w:rsidRPr="004C693B">
        <w:t xml:space="preserve"> au critère R.1 en vertu de l</w:t>
      </w:r>
      <w:r w:rsidR="00FB39FB">
        <w:t>’</w:t>
      </w:r>
      <w:r w:rsidRPr="004C693B">
        <w:t>article 2 de la Convention. Les critères R.2 et R.3 n</w:t>
      </w:r>
      <w:r w:rsidR="00FB39FB">
        <w:t>’</w:t>
      </w:r>
      <w:r w:rsidRPr="004C693B">
        <w:t xml:space="preserve">ont donc pas pu être satisfaits, dans la mesure où ils ne peuvent être examinés dans leur intégralité si un </w:t>
      </w:r>
      <w:r w:rsidRPr="004C693B">
        <w:rPr>
          <w:bCs/>
        </w:rPr>
        <w:t>élément</w:t>
      </w:r>
      <w:r w:rsidRPr="004C693B">
        <w:t xml:space="preserve"> n</w:t>
      </w:r>
      <w:r w:rsidR="00FB39FB">
        <w:t>’</w:t>
      </w:r>
      <w:r w:rsidRPr="004C693B">
        <w:t>est pas clairement défini. Néanmoins, certains aspects de la conformité vis-à-vis des critères R.2 et R</w:t>
      </w:r>
      <w:r w:rsidR="00703D19">
        <w:t>.</w:t>
      </w:r>
      <w:r w:rsidRPr="004C693B">
        <w:t xml:space="preserve">3, tels que ceux qui traitent de la participation </w:t>
      </w:r>
      <w:r w:rsidR="00703D19">
        <w:t>des communautés</w:t>
      </w:r>
      <w:r w:rsidRPr="004C693B">
        <w:t>, restent reconnus dans le projet de décision de l</w:t>
      </w:r>
      <w:r w:rsidR="00FB39FB">
        <w:t>’</w:t>
      </w:r>
      <w:r w:rsidRPr="004C693B">
        <w:t>Organe d</w:t>
      </w:r>
      <w:r w:rsidR="00FB39FB">
        <w:t>’</w:t>
      </w:r>
      <w:r w:rsidRPr="004C693B">
        <w:t>évaluation.</w:t>
      </w:r>
    </w:p>
    <w:p w14:paraId="6725FCF0" w14:textId="096C1072" w:rsidR="00BB4B29" w:rsidRPr="004C693B" w:rsidRDefault="00C504D1" w:rsidP="00E81059">
      <w:pPr>
        <w:pStyle w:val="COMPara"/>
        <w:numPr>
          <w:ilvl w:val="0"/>
          <w:numId w:val="12"/>
        </w:numPr>
        <w:ind w:left="567" w:hanging="567"/>
        <w:jc w:val="both"/>
      </w:pPr>
      <w:r w:rsidRPr="004C693B">
        <w:rPr>
          <w:b/>
        </w:rPr>
        <w:t>Problématiques concernant les critères R.1/U.1</w:t>
      </w:r>
      <w:r w:rsidRPr="004C693B">
        <w:rPr>
          <w:bCs/>
        </w:rPr>
        <w:t>.</w:t>
      </w:r>
      <w:r w:rsidRPr="004C693B">
        <w:rPr>
          <w:b/>
        </w:rPr>
        <w:t xml:space="preserve"> </w:t>
      </w:r>
      <w:r w:rsidRPr="004C693B">
        <w:t>L</w:t>
      </w:r>
      <w:r w:rsidR="00FB39FB">
        <w:t>’</w:t>
      </w:r>
      <w:r w:rsidRPr="004C693B">
        <w:t>Organe d</w:t>
      </w:r>
      <w:r w:rsidR="00FB39FB">
        <w:t>’</w:t>
      </w:r>
      <w:r w:rsidRPr="004C693B">
        <w:t>évaluation a pris note de plusieurs problématiques concernant les critères R.1 et U.1 :</w:t>
      </w:r>
    </w:p>
    <w:p w14:paraId="261351C6" w14:textId="2558A2F2" w:rsidR="002E556C" w:rsidRPr="004C693B" w:rsidRDefault="00A667C1" w:rsidP="00E81059">
      <w:pPr>
        <w:pStyle w:val="COMPara"/>
        <w:numPr>
          <w:ilvl w:val="0"/>
          <w:numId w:val="17"/>
        </w:numPr>
        <w:ind w:hanging="630"/>
        <w:jc w:val="both"/>
        <w:rPr>
          <w:rFonts w:eastAsiaTheme="minorEastAsia"/>
        </w:rPr>
      </w:pPr>
      <w:r w:rsidRPr="004C693B">
        <w:rPr>
          <w:b/>
        </w:rPr>
        <w:t>Respect mutuel et droits humains</w:t>
      </w:r>
      <w:r w:rsidRPr="004C693B">
        <w:t>. Les membres de l</w:t>
      </w:r>
      <w:r w:rsidR="00FB39FB">
        <w:t>’</w:t>
      </w:r>
      <w:r w:rsidRPr="004C693B">
        <w:t>Organe d</w:t>
      </w:r>
      <w:r w:rsidR="00FB39FB">
        <w:t>’</w:t>
      </w:r>
      <w:r w:rsidRPr="004C693B">
        <w:t>évaluation ont souligné l</w:t>
      </w:r>
      <w:r w:rsidR="00FB39FB">
        <w:t>’</w:t>
      </w:r>
      <w:r w:rsidRPr="004C693B">
        <w:t xml:space="preserve">importance de veiller à ce que les définitions du patrimoine culturel immatériel soient </w:t>
      </w:r>
      <w:r w:rsidRPr="004C693B">
        <w:lastRenderedPageBreak/>
        <w:t xml:space="preserve">conformes </w:t>
      </w:r>
      <w:r w:rsidRPr="004C693B">
        <w:rPr>
          <w:rFonts w:eastAsiaTheme="minorEastAsia"/>
          <w:bCs/>
          <w:lang w:eastAsia="zh-CN"/>
        </w:rPr>
        <w:t>aux</w:t>
      </w:r>
      <w:r w:rsidRPr="004C693B">
        <w:t xml:space="preserve"> principes du respect mutuel et des droits humains énoncés à l</w:t>
      </w:r>
      <w:r w:rsidR="00FB39FB">
        <w:t>’</w:t>
      </w:r>
      <w:r w:rsidRPr="004C693B">
        <w:t>article 2 de la Convention. Il convient que les États parties s</w:t>
      </w:r>
      <w:r w:rsidR="00FB39FB">
        <w:t>’</w:t>
      </w:r>
      <w:r w:rsidRPr="004C693B">
        <w:t>abstiennent de formuler des réponses génériques, et veillent plutôt à apporter la preuve que l</w:t>
      </w:r>
      <w:r w:rsidR="00FB39FB">
        <w:t>’</w:t>
      </w:r>
      <w:r w:rsidRPr="004C693B">
        <w:t>élément est compatible avec les droits humains et le respect mutuel entre les communautés, groupes et individus.</w:t>
      </w:r>
    </w:p>
    <w:p w14:paraId="0021B3B3" w14:textId="3D38124E" w:rsidR="0007100D" w:rsidRPr="004C693B" w:rsidRDefault="002E556C" w:rsidP="00E81059">
      <w:pPr>
        <w:pStyle w:val="COMPara"/>
        <w:numPr>
          <w:ilvl w:val="0"/>
          <w:numId w:val="17"/>
        </w:numPr>
        <w:ind w:hanging="630"/>
        <w:jc w:val="both"/>
        <w:rPr>
          <w:rFonts w:eastAsiaTheme="minorEastAsia"/>
        </w:rPr>
      </w:pPr>
      <w:r w:rsidRPr="004C693B">
        <w:rPr>
          <w:b/>
        </w:rPr>
        <w:t>Définition de la communauté</w:t>
      </w:r>
      <w:r w:rsidRPr="004C693B">
        <w:rPr>
          <w:bCs/>
        </w:rPr>
        <w:t>.</w:t>
      </w:r>
      <w:r w:rsidRPr="004C693B">
        <w:t xml:space="preserve"> Malgré l</w:t>
      </w:r>
      <w:r w:rsidR="00FB39FB">
        <w:t>’</w:t>
      </w:r>
      <w:r w:rsidRPr="004C693B">
        <w:t>application d</w:t>
      </w:r>
      <w:r w:rsidR="00FB39FB">
        <w:t>’</w:t>
      </w:r>
      <w:r w:rsidRPr="004C693B">
        <w:t>une vision large et flexible des diverses formes que les communautés peuvent adopter dans des sociétés, régions et contextes différents, et en gardant à l</w:t>
      </w:r>
      <w:r w:rsidR="00FB39FB">
        <w:t>’</w:t>
      </w:r>
      <w:r w:rsidRPr="004C693B">
        <w:t xml:space="preserve">esprit que les termes de « communauté concernée » ou de « groupe concerné » ne sont pas définis dans le texte de la Convention, </w:t>
      </w:r>
      <w:r w:rsidR="00703D19">
        <w:t>l</w:t>
      </w:r>
      <w:r w:rsidR="00FB39FB">
        <w:t>’</w:t>
      </w:r>
      <w:r w:rsidRPr="004C693B">
        <w:t>Organe d</w:t>
      </w:r>
      <w:r w:rsidR="00FB39FB">
        <w:t>’</w:t>
      </w:r>
      <w:r w:rsidRPr="004C693B">
        <w:t>évaluation a estimé que certains dossiers n</w:t>
      </w:r>
      <w:r w:rsidR="00FB39FB">
        <w:t>’</w:t>
      </w:r>
      <w:r w:rsidRPr="004C693B">
        <w:t xml:space="preserve">identifiaient pas clairement les </w:t>
      </w:r>
      <w:r w:rsidRPr="004C693B">
        <w:rPr>
          <w:bCs/>
        </w:rPr>
        <w:t>communautés</w:t>
      </w:r>
      <w:r w:rsidRPr="004C693B">
        <w:t>, groupes ou individus concernés par l</w:t>
      </w:r>
      <w:r w:rsidR="00FB39FB">
        <w:t>’</w:t>
      </w:r>
      <w:r w:rsidRPr="004C693B">
        <w:t>élément proposé. Dans certains cas, il est nécessaire de demander si les autorités gouvernementales peuvent être considérées comme faisant partie des communautés concernées. Toutefois, l</w:t>
      </w:r>
      <w:r w:rsidR="00FB39FB">
        <w:t>’</w:t>
      </w:r>
      <w:r w:rsidRPr="004C693B">
        <w:t>Organe d</w:t>
      </w:r>
      <w:r w:rsidR="00FB39FB">
        <w:t>’</w:t>
      </w:r>
      <w:r w:rsidRPr="004C693B">
        <w:t>évaluation a évalué chaque candidature selon ses propres termes, sans appliquer de norme ou de règle unique, l</w:t>
      </w:r>
      <w:r w:rsidR="00FB39FB">
        <w:t>’</w:t>
      </w:r>
      <w:r w:rsidRPr="004C693B">
        <w:t>objectif étant de maintenir une approche flexible.</w:t>
      </w:r>
    </w:p>
    <w:p w14:paraId="2B93FF09" w14:textId="421166DA" w:rsidR="00A667C1" w:rsidRPr="004C693B" w:rsidRDefault="00AF05AE" w:rsidP="00E81059">
      <w:pPr>
        <w:pStyle w:val="COMPara"/>
        <w:numPr>
          <w:ilvl w:val="0"/>
          <w:numId w:val="17"/>
        </w:numPr>
        <w:ind w:hanging="630"/>
        <w:jc w:val="both"/>
        <w:rPr>
          <w:rFonts w:eastAsiaTheme="minorEastAsia"/>
        </w:rPr>
      </w:pPr>
      <w:r w:rsidRPr="004C693B">
        <w:rPr>
          <w:b/>
        </w:rPr>
        <w:t>Cohérence au sein du dossier</w:t>
      </w:r>
      <w:r w:rsidRPr="004C693B">
        <w:rPr>
          <w:bCs/>
        </w:rPr>
        <w:t xml:space="preserve">. </w:t>
      </w:r>
      <w:r w:rsidRPr="004C693B">
        <w:t>Dans un cas, l</w:t>
      </w:r>
      <w:r w:rsidR="00FB39FB">
        <w:t>’</w:t>
      </w:r>
      <w:r w:rsidRPr="004C693B">
        <w:t>Organe d</w:t>
      </w:r>
      <w:r w:rsidR="00FB39FB">
        <w:t>’</w:t>
      </w:r>
      <w:r w:rsidRPr="004C693B">
        <w:t>évaluation a observé une divergence entre la manière dont l</w:t>
      </w:r>
      <w:r w:rsidR="00FB39FB">
        <w:t>’</w:t>
      </w:r>
      <w:r w:rsidRPr="004C693B">
        <w:t xml:space="preserve">élément avait été défini et celle dont il avait été référencé dans </w:t>
      </w:r>
      <w:r w:rsidRPr="004C693B">
        <w:rPr>
          <w:bCs/>
        </w:rPr>
        <w:t>l</w:t>
      </w:r>
      <w:r w:rsidR="00FB39FB">
        <w:rPr>
          <w:bCs/>
        </w:rPr>
        <w:t>’</w:t>
      </w:r>
      <w:r w:rsidRPr="004C693B">
        <w:rPr>
          <w:bCs/>
        </w:rPr>
        <w:t>ensemble</w:t>
      </w:r>
      <w:r w:rsidRPr="004C693B">
        <w:t xml:space="preserve"> du dossier. Il est rappelé aux États parties qu</w:t>
      </w:r>
      <w:r w:rsidR="00FB39FB">
        <w:t>’</w:t>
      </w:r>
      <w:r w:rsidRPr="004C693B">
        <w:t>il importe de rédiger une définition claire conforme à l</w:t>
      </w:r>
      <w:r w:rsidR="00FB39FB">
        <w:t>’</w:t>
      </w:r>
      <w:r w:rsidRPr="004C693B">
        <w:t>article 2 de la Convention et d</w:t>
      </w:r>
      <w:r w:rsidR="00FB39FB">
        <w:t>’</w:t>
      </w:r>
      <w:r w:rsidRPr="004C693B">
        <w:t>assurer la cohérence dans l</w:t>
      </w:r>
      <w:r w:rsidR="00FB39FB">
        <w:t>’</w:t>
      </w:r>
      <w:r w:rsidRPr="004C693B">
        <w:t>ensemble du dossier.</w:t>
      </w:r>
    </w:p>
    <w:p w14:paraId="1CE7A337" w14:textId="6D29A7FE" w:rsidR="00271C1A" w:rsidRPr="004C693B" w:rsidRDefault="00271C1A" w:rsidP="00DA51DD">
      <w:pPr>
        <w:pStyle w:val="COMPara"/>
        <w:numPr>
          <w:ilvl w:val="0"/>
          <w:numId w:val="12"/>
        </w:numPr>
        <w:ind w:left="567" w:hanging="567"/>
        <w:jc w:val="both"/>
      </w:pPr>
      <w:r w:rsidRPr="004C693B">
        <w:rPr>
          <w:b/>
        </w:rPr>
        <w:t>Approche pour l</w:t>
      </w:r>
      <w:r w:rsidR="00FB39FB">
        <w:rPr>
          <w:b/>
        </w:rPr>
        <w:t>’</w:t>
      </w:r>
      <w:r w:rsidRPr="004C693B">
        <w:rPr>
          <w:b/>
        </w:rPr>
        <w:t>examen du critère R.2</w:t>
      </w:r>
      <w:r w:rsidRPr="004C693B">
        <w:rPr>
          <w:bCs/>
        </w:rPr>
        <w:t>.</w:t>
      </w:r>
      <w:r w:rsidRPr="004C693B">
        <w:rPr>
          <w:b/>
        </w:rPr>
        <w:t xml:space="preserve"> </w:t>
      </w:r>
      <w:r w:rsidRPr="004C693B">
        <w:t>L</w:t>
      </w:r>
      <w:r w:rsidR="00FB39FB">
        <w:t>’</w:t>
      </w:r>
      <w:r w:rsidRPr="004C693B">
        <w:t>Organe d</w:t>
      </w:r>
      <w:r w:rsidR="00FB39FB">
        <w:t>’</w:t>
      </w:r>
      <w:r w:rsidRPr="004C693B">
        <w:t xml:space="preserve">évaluation a rappelé </w:t>
      </w:r>
      <w:r w:rsidR="00703D19">
        <w:t>le problème</w:t>
      </w:r>
      <w:r w:rsidRPr="004C693B">
        <w:t xml:space="preserve"> récurrent </w:t>
      </w:r>
      <w:r w:rsidR="00703D19">
        <w:t>lié aux difficultés d</w:t>
      </w:r>
      <w:r w:rsidRPr="004C693B">
        <w:t>es États parties pour répondre au critère R.2. Si, par le passé, les États parties avaient déployé des efforts pour répondre à ce critère de visibilité générale, le critère avait été accepté. Dès lors, dans le cycle actuel, l</w:t>
      </w:r>
      <w:r w:rsidR="00FB39FB">
        <w:t>’</w:t>
      </w:r>
      <w:r w:rsidRPr="004C693B">
        <w:t>Organe d</w:t>
      </w:r>
      <w:r w:rsidR="00FB39FB">
        <w:t>’</w:t>
      </w:r>
      <w:r w:rsidRPr="004C693B">
        <w:t>évaluation a également convenu d</w:t>
      </w:r>
      <w:r w:rsidR="00FB39FB">
        <w:t>’</w:t>
      </w:r>
      <w:r w:rsidRPr="004C693B">
        <w:t>accepter le critère si une tentative de réponse aux questions avait été formulée. Cela étant, l</w:t>
      </w:r>
      <w:r w:rsidR="00FB39FB">
        <w:t>’</w:t>
      </w:r>
      <w:r w:rsidRPr="004C693B">
        <w:t>Organe d</w:t>
      </w:r>
      <w:r w:rsidR="00FB39FB">
        <w:t>’</w:t>
      </w:r>
      <w:r w:rsidRPr="004C693B">
        <w:t>évaluation n</w:t>
      </w:r>
      <w:r w:rsidR="00FB39FB">
        <w:t>’</w:t>
      </w:r>
      <w:r w:rsidRPr="004C693B">
        <w:t xml:space="preserve">a pas </w:t>
      </w:r>
      <w:r w:rsidR="00703D19" w:rsidRPr="004C693B">
        <w:t>r</w:t>
      </w:r>
      <w:r w:rsidR="00703D19">
        <w:t>envoyé</w:t>
      </w:r>
      <w:r w:rsidR="00703D19" w:rsidRPr="004C693B">
        <w:t xml:space="preserve"> </w:t>
      </w:r>
      <w:r w:rsidRPr="004C693B">
        <w:t>ni rejeté de dossier uniquement sur la base du critère R.2, et ce, même si un dossier était manifestement déficient dans sa réponse à ce critère.</w:t>
      </w:r>
    </w:p>
    <w:p w14:paraId="11668669" w14:textId="79BA4574" w:rsidR="004B577F" w:rsidRPr="004C693B" w:rsidRDefault="004B577F" w:rsidP="00DA51DD">
      <w:pPr>
        <w:pStyle w:val="COMPara"/>
        <w:numPr>
          <w:ilvl w:val="0"/>
          <w:numId w:val="12"/>
        </w:numPr>
        <w:ind w:left="567" w:hanging="567"/>
        <w:jc w:val="both"/>
        <w:rPr>
          <w:b/>
        </w:rPr>
      </w:pPr>
      <w:r w:rsidRPr="004C693B">
        <w:rPr>
          <w:b/>
        </w:rPr>
        <w:t>Lien entre les critères U.2 et U.3</w:t>
      </w:r>
      <w:r w:rsidRPr="004C693B">
        <w:rPr>
          <w:bCs/>
        </w:rPr>
        <w:t xml:space="preserve">. </w:t>
      </w:r>
      <w:r w:rsidRPr="004C693B">
        <w:t>Pour un dossier particulier, il a été difficile de déterminer si le plan de sauvegarde présenté dans le critère U.3 traitait des menaces énoncées dans le critère U.2, dans la mesure où la réponse au critère U.2 ne produisait pas de preuves suffisantes quant à la nécessité d</w:t>
      </w:r>
      <w:r w:rsidR="00FB39FB">
        <w:t>’</w:t>
      </w:r>
      <w:r w:rsidRPr="004C693B">
        <w:t xml:space="preserve">une sauvegarde </w:t>
      </w:r>
      <w:r w:rsidR="00703D19">
        <w:t>urgente</w:t>
      </w:r>
      <w:r w:rsidRPr="004C693B">
        <w:t>. Or, le critère U.2 n</w:t>
      </w:r>
      <w:r w:rsidR="00FB39FB">
        <w:t>’</w:t>
      </w:r>
      <w:r w:rsidRPr="004C693B">
        <w:t>étant pas satisfait, l</w:t>
      </w:r>
      <w:r w:rsidR="00FB39FB">
        <w:t>’</w:t>
      </w:r>
      <w:r w:rsidRPr="004C693B">
        <w:t>évaluation du critère U.3 a été compromise.</w:t>
      </w:r>
    </w:p>
    <w:p w14:paraId="725D83B1" w14:textId="5B62F056" w:rsidR="00A068E4" w:rsidRPr="004C693B" w:rsidRDefault="00271C1A" w:rsidP="00DA51DD">
      <w:pPr>
        <w:pStyle w:val="COMPara"/>
        <w:numPr>
          <w:ilvl w:val="0"/>
          <w:numId w:val="12"/>
        </w:numPr>
        <w:ind w:left="567" w:hanging="567"/>
        <w:jc w:val="both"/>
      </w:pPr>
      <w:r w:rsidRPr="004C693B">
        <w:rPr>
          <w:b/>
        </w:rPr>
        <w:t>Défis posés par le critère R.3</w:t>
      </w:r>
      <w:r w:rsidRPr="004C693B">
        <w:rPr>
          <w:bCs/>
        </w:rPr>
        <w:t xml:space="preserve">. </w:t>
      </w:r>
      <w:r w:rsidRPr="004C693B">
        <w:t>L</w:t>
      </w:r>
      <w:r w:rsidR="00FB39FB">
        <w:t>’</w:t>
      </w:r>
      <w:r w:rsidRPr="004C693B">
        <w:t xml:space="preserve">Organe </w:t>
      </w:r>
      <w:r w:rsidRPr="004C693B">
        <w:rPr>
          <w:bCs/>
        </w:rPr>
        <w:t>d</w:t>
      </w:r>
      <w:r w:rsidR="00FB39FB">
        <w:rPr>
          <w:bCs/>
        </w:rPr>
        <w:t>’</w:t>
      </w:r>
      <w:r w:rsidRPr="004C693B">
        <w:rPr>
          <w:bCs/>
        </w:rPr>
        <w:t>évaluation</w:t>
      </w:r>
      <w:r w:rsidRPr="004C693B">
        <w:t xml:space="preserve"> a rencontré plusieurs difficultés lors de l</w:t>
      </w:r>
      <w:r w:rsidR="00FB39FB">
        <w:t>’</w:t>
      </w:r>
      <w:r w:rsidRPr="004C693B">
        <w:t>évaluation du critère R.3 :</w:t>
      </w:r>
    </w:p>
    <w:p w14:paraId="44554CCF" w14:textId="7CCD7638" w:rsidR="00A068E4" w:rsidRPr="004C693B" w:rsidRDefault="00D7746B" w:rsidP="00DA51DD">
      <w:pPr>
        <w:pStyle w:val="COMParaDecision"/>
        <w:ind w:left="1350" w:hanging="747"/>
        <w:rPr>
          <w:u w:val="none"/>
        </w:rPr>
      </w:pPr>
      <w:r w:rsidRPr="004C693B">
        <w:rPr>
          <w:u w:val="none"/>
        </w:rPr>
        <w:t>Dans certains cas, les mesures proposées ont été énoncées sans engagement clair quant à leur mise en œuvre</w:t>
      </w:r>
      <w:r w:rsidR="007E5419" w:rsidRPr="004C693B">
        <w:rPr>
          <w:u w:val="none"/>
        </w:rPr>
        <w:t>.</w:t>
      </w:r>
    </w:p>
    <w:p w14:paraId="6BE76543" w14:textId="39C393F1" w:rsidR="00A068E4" w:rsidRPr="004C693B" w:rsidRDefault="00D7746B" w:rsidP="00DA51DD">
      <w:pPr>
        <w:pStyle w:val="COMParaDecision"/>
        <w:ind w:left="1350" w:hanging="747"/>
        <w:rPr>
          <w:u w:val="none"/>
        </w:rPr>
      </w:pPr>
      <w:r w:rsidRPr="004C693B">
        <w:rPr>
          <w:u w:val="none"/>
        </w:rPr>
        <w:t>L</w:t>
      </w:r>
      <w:r w:rsidR="00FB39FB">
        <w:rPr>
          <w:u w:val="none"/>
        </w:rPr>
        <w:t>’</w:t>
      </w:r>
      <w:r w:rsidRPr="004C693B">
        <w:rPr>
          <w:u w:val="none"/>
        </w:rPr>
        <w:t>Organe d</w:t>
      </w:r>
      <w:r w:rsidR="00FB39FB">
        <w:rPr>
          <w:u w:val="none"/>
        </w:rPr>
        <w:t>’</w:t>
      </w:r>
      <w:r w:rsidRPr="004C693B">
        <w:rPr>
          <w:u w:val="none"/>
        </w:rPr>
        <w:t xml:space="preserve">évaluation a rencontré </w:t>
      </w:r>
      <w:r w:rsidR="006E001E" w:rsidRPr="004C693B">
        <w:rPr>
          <w:u w:val="none"/>
        </w:rPr>
        <w:t>des</w:t>
      </w:r>
      <w:r w:rsidRPr="004C693B">
        <w:rPr>
          <w:u w:val="none"/>
        </w:rPr>
        <w:t xml:space="preserve"> cas caractérisés par un manque de clarté quant à la personne qui mettrait en œuvre les mesures proposées, ou pour lesquels les parties prenantes mentionnées dans la définition de la communauté concernée par l</w:t>
      </w:r>
      <w:r w:rsidR="00FB39FB">
        <w:rPr>
          <w:u w:val="none"/>
        </w:rPr>
        <w:t>’</w:t>
      </w:r>
      <w:r w:rsidRPr="004C693B">
        <w:rPr>
          <w:u w:val="none"/>
        </w:rPr>
        <w:t>élément n</w:t>
      </w:r>
      <w:r w:rsidR="00FB39FB">
        <w:rPr>
          <w:u w:val="none"/>
        </w:rPr>
        <w:t>’</w:t>
      </w:r>
      <w:r w:rsidRPr="004C693B">
        <w:rPr>
          <w:u w:val="none"/>
        </w:rPr>
        <w:t>étaient pas indiquées comme étant impliquées dans la mise en œuvre des mesures de sauvegarde.</w:t>
      </w:r>
    </w:p>
    <w:p w14:paraId="280C6436" w14:textId="6181C1C7" w:rsidR="00271C1A" w:rsidRPr="004C693B" w:rsidRDefault="00D7746B" w:rsidP="00DA51DD">
      <w:pPr>
        <w:pStyle w:val="COMParaDecision"/>
        <w:ind w:left="1350" w:hanging="747"/>
        <w:rPr>
          <w:u w:val="none"/>
        </w:rPr>
      </w:pPr>
      <w:r w:rsidRPr="004C693B">
        <w:rPr>
          <w:u w:val="none"/>
        </w:rPr>
        <w:t>Dans certains cas, la mise en œuvre des mesures de sauvegarde a été décrite comme étant dépendante de l</w:t>
      </w:r>
      <w:r w:rsidR="00FB39FB">
        <w:rPr>
          <w:u w:val="none"/>
        </w:rPr>
        <w:t>’</w:t>
      </w:r>
      <w:r w:rsidRPr="004C693B">
        <w:rPr>
          <w:u w:val="none"/>
        </w:rPr>
        <w:t>inscription de l</w:t>
      </w:r>
      <w:r w:rsidR="00FB39FB">
        <w:rPr>
          <w:u w:val="none"/>
        </w:rPr>
        <w:t>’</w:t>
      </w:r>
      <w:r w:rsidRPr="004C693B">
        <w:rPr>
          <w:u w:val="none"/>
        </w:rPr>
        <w:t>élément. L</w:t>
      </w:r>
      <w:r w:rsidR="00FB39FB">
        <w:rPr>
          <w:u w:val="none"/>
        </w:rPr>
        <w:t>’</w:t>
      </w:r>
      <w:r w:rsidRPr="004C693B">
        <w:rPr>
          <w:u w:val="none"/>
        </w:rPr>
        <w:t>Organe d</w:t>
      </w:r>
      <w:r w:rsidR="00FB39FB">
        <w:rPr>
          <w:u w:val="none"/>
        </w:rPr>
        <w:t>’</w:t>
      </w:r>
      <w:r w:rsidRPr="004C693B">
        <w:rPr>
          <w:u w:val="none"/>
        </w:rPr>
        <w:t>évaluation exprime son désaccord avec cette approche</w:t>
      </w:r>
      <w:r w:rsidR="006F74B4" w:rsidRPr="004C693B">
        <w:rPr>
          <w:u w:val="none"/>
        </w:rPr>
        <w:t>, rappelle qu</w:t>
      </w:r>
      <w:r w:rsidR="00FB39FB">
        <w:rPr>
          <w:u w:val="none"/>
        </w:rPr>
        <w:t>’</w:t>
      </w:r>
      <w:r w:rsidR="006F74B4" w:rsidRPr="004C693B">
        <w:rPr>
          <w:u w:val="none"/>
        </w:rPr>
        <w:t>il est essentiel que l</w:t>
      </w:r>
      <w:r w:rsidR="00FB39FB">
        <w:rPr>
          <w:u w:val="none"/>
        </w:rPr>
        <w:t>’</w:t>
      </w:r>
      <w:r w:rsidR="006F74B4" w:rsidRPr="004C693B">
        <w:rPr>
          <w:u w:val="none"/>
        </w:rPr>
        <w:t>Etat partie énumère les mesures mises en place dans le passé et le présent pour sauvegarder l</w:t>
      </w:r>
      <w:r w:rsidR="00FB39FB">
        <w:rPr>
          <w:u w:val="none"/>
        </w:rPr>
        <w:t>’</w:t>
      </w:r>
      <w:r w:rsidR="006F74B4" w:rsidRPr="004C693B">
        <w:rPr>
          <w:u w:val="none"/>
        </w:rPr>
        <w:t>élément proposé</w:t>
      </w:r>
      <w:r w:rsidR="00A70150" w:rsidRPr="004C693B">
        <w:rPr>
          <w:u w:val="none"/>
        </w:rPr>
        <w:t>,</w:t>
      </w:r>
      <w:r w:rsidRPr="004C693B">
        <w:rPr>
          <w:u w:val="none"/>
        </w:rPr>
        <w:t xml:space="preserve"> et encourage les États parties à ne pas attendre l</w:t>
      </w:r>
      <w:r w:rsidR="00FB39FB">
        <w:rPr>
          <w:u w:val="none"/>
        </w:rPr>
        <w:t>’</w:t>
      </w:r>
      <w:r w:rsidRPr="004C693B">
        <w:rPr>
          <w:u w:val="none"/>
        </w:rPr>
        <w:t>inscription pour mettre les mesures en œuvre.</w:t>
      </w:r>
    </w:p>
    <w:p w14:paraId="6ACBA4CE" w14:textId="3D9882F9" w:rsidR="001416AC" w:rsidRPr="004C693B" w:rsidRDefault="00271C1A" w:rsidP="00DA51DD">
      <w:pPr>
        <w:pStyle w:val="COMPara"/>
        <w:numPr>
          <w:ilvl w:val="0"/>
          <w:numId w:val="13"/>
        </w:numPr>
        <w:ind w:hanging="630"/>
        <w:jc w:val="both"/>
        <w:rPr>
          <w:b/>
          <w:bCs/>
        </w:rPr>
      </w:pPr>
      <w:r w:rsidRPr="004C693B">
        <w:rPr>
          <w:b/>
        </w:rPr>
        <w:t xml:space="preserve">Participation </w:t>
      </w:r>
      <w:r w:rsidR="00AA22E6">
        <w:rPr>
          <w:b/>
        </w:rPr>
        <w:t>des communautés</w:t>
      </w:r>
      <w:r w:rsidR="00AA22E6" w:rsidRPr="004C693B">
        <w:rPr>
          <w:b/>
        </w:rPr>
        <w:t xml:space="preserve"> </w:t>
      </w:r>
      <w:r w:rsidRPr="004C693B">
        <w:rPr>
          <w:b/>
        </w:rPr>
        <w:t>dans le critère R.3</w:t>
      </w:r>
      <w:r w:rsidRPr="004C693B">
        <w:rPr>
          <w:bCs/>
        </w:rPr>
        <w:t xml:space="preserve">. </w:t>
      </w:r>
      <w:r w:rsidRPr="004C693B">
        <w:t>L</w:t>
      </w:r>
      <w:r w:rsidR="00FB39FB">
        <w:t>’</w:t>
      </w:r>
      <w:r w:rsidRPr="004C693B">
        <w:t>Organe d</w:t>
      </w:r>
      <w:r w:rsidR="00FB39FB">
        <w:t>’</w:t>
      </w:r>
      <w:r w:rsidRPr="004C693B">
        <w:t>évaluation a pris note de dossiers dans lesquels l</w:t>
      </w:r>
      <w:r w:rsidR="00FB39FB">
        <w:t>’</w:t>
      </w:r>
      <w:r w:rsidRPr="004C693B">
        <w:t xml:space="preserve">étendue de la participation </w:t>
      </w:r>
      <w:r w:rsidR="00044A4F" w:rsidRPr="004C693B">
        <w:t xml:space="preserve">des communautés </w:t>
      </w:r>
      <w:r w:rsidRPr="004C693B">
        <w:t>à l</w:t>
      </w:r>
      <w:r w:rsidR="00FB39FB">
        <w:t>’</w:t>
      </w:r>
      <w:r w:rsidRPr="004C693B">
        <w:t>élaboration des propositions de mesures de sauvegarde n</w:t>
      </w:r>
      <w:r w:rsidR="00FB39FB">
        <w:t>’</w:t>
      </w:r>
      <w:r w:rsidRPr="004C693B">
        <w:t xml:space="preserve">avait pas été indiquée ou articulée dans </w:t>
      </w:r>
      <w:r w:rsidRPr="004C693B">
        <w:lastRenderedPageBreak/>
        <w:t>son intégralité. Il a également discuté de l</w:t>
      </w:r>
      <w:r w:rsidR="00FB39FB">
        <w:t>’</w:t>
      </w:r>
      <w:r w:rsidRPr="004C693B">
        <w:t>importance de l</w:t>
      </w:r>
      <w:r w:rsidR="00FB39FB">
        <w:t>’</w:t>
      </w:r>
      <w:r w:rsidRPr="004C693B">
        <w:t>engagement</w:t>
      </w:r>
      <w:r w:rsidR="00044A4F" w:rsidRPr="004C693B">
        <w:t xml:space="preserve"> des communautés</w:t>
      </w:r>
      <w:r w:rsidRPr="004C693B">
        <w:t xml:space="preserve"> dans la mise en œuvre des mesures de sauvegarde, tout en reconnaissant la nécessité d</w:t>
      </w:r>
      <w:r w:rsidR="00FB39FB">
        <w:t>’</w:t>
      </w:r>
      <w:r w:rsidRPr="004C693B">
        <w:t>opérer une distinction entre une approche hiérarchique descendante et le rôle important parfois accordé par certaines communautés aux dirigeants pour parler en leur nom, par exemple dans le cas d</w:t>
      </w:r>
      <w:r w:rsidR="00FB39FB">
        <w:t>’</w:t>
      </w:r>
      <w:r w:rsidRPr="004C693B">
        <w:t>un roi. Au demeurant, l</w:t>
      </w:r>
      <w:r w:rsidR="00FB39FB">
        <w:t>’</w:t>
      </w:r>
      <w:r w:rsidRPr="004C693B">
        <w:t>Organe d</w:t>
      </w:r>
      <w:r w:rsidR="00FB39FB">
        <w:t>’</w:t>
      </w:r>
      <w:r w:rsidRPr="004C693B">
        <w:t>évaluation rappelle aux États parties qu</w:t>
      </w:r>
      <w:r w:rsidR="00FB39FB">
        <w:t>’</w:t>
      </w:r>
      <w:r w:rsidRPr="004C693B">
        <w:t xml:space="preserve">une large participation </w:t>
      </w:r>
      <w:r w:rsidR="00044A4F" w:rsidRPr="004C693B">
        <w:t xml:space="preserve">des communautés </w:t>
      </w:r>
      <w:r w:rsidRPr="004C693B">
        <w:t>constitue un aspect central de l</w:t>
      </w:r>
      <w:r w:rsidR="00FB39FB">
        <w:t>’</w:t>
      </w:r>
      <w:r w:rsidRPr="004C693B">
        <w:t>articulation et de la mise en œuvre des mesures de sauvegarde.</w:t>
      </w:r>
    </w:p>
    <w:p w14:paraId="413DA685" w14:textId="7265C0D4" w:rsidR="006F74B4" w:rsidRPr="004C693B" w:rsidRDefault="006F74B4" w:rsidP="00A44442">
      <w:pPr>
        <w:pStyle w:val="COMPara"/>
        <w:numPr>
          <w:ilvl w:val="0"/>
          <w:numId w:val="13"/>
        </w:numPr>
        <w:ind w:hanging="630"/>
        <w:jc w:val="both"/>
      </w:pPr>
      <w:r w:rsidRPr="004C693B">
        <w:rPr>
          <w:b/>
          <w:bCs/>
        </w:rPr>
        <w:t>Contradiction entre les mesures de sauvegarde proposées et l</w:t>
      </w:r>
      <w:r w:rsidR="00FB39FB">
        <w:rPr>
          <w:b/>
          <w:bCs/>
        </w:rPr>
        <w:t>’</w:t>
      </w:r>
      <w:r w:rsidRPr="004C693B">
        <w:rPr>
          <w:b/>
          <w:bCs/>
        </w:rPr>
        <w:t xml:space="preserve">organe compétent impliqué dans la sauvegarde. </w:t>
      </w:r>
      <w:r w:rsidRPr="004C693B">
        <w:t>L</w:t>
      </w:r>
      <w:r w:rsidR="00FB39FB">
        <w:t>’</w:t>
      </w:r>
      <w:r w:rsidR="00A70150" w:rsidRPr="004C693B">
        <w:t>Organe</w:t>
      </w:r>
      <w:r w:rsidRPr="004C693B">
        <w:t xml:space="preserve"> d</w:t>
      </w:r>
      <w:r w:rsidR="00FB39FB">
        <w:t>’</w:t>
      </w:r>
      <w:r w:rsidRPr="004C693B">
        <w:t>évaluation a noté que, dans certains cas, les « organes compétents » indiqués comme responsables de la mise en œuvre des mesures proposées ne correspondaient pas aux mesures proposées. Dans ces cas, il y a une contradiction entre les mesures proposées et les acteurs qui devraient les mettre en œuvre. Il est rappelé aux États parties qu</w:t>
      </w:r>
      <w:r w:rsidR="00FB39FB">
        <w:t>’</w:t>
      </w:r>
      <w:r w:rsidRPr="004C693B">
        <w:t>ils doivent veiller à identifier l</w:t>
      </w:r>
      <w:r w:rsidR="00FB39FB">
        <w:t>’</w:t>
      </w:r>
      <w:r w:rsidRPr="004C693B">
        <w:t>organe compétent chargé de la mise en œuvre des mesures de sauvegarde proposées.</w:t>
      </w:r>
    </w:p>
    <w:p w14:paraId="161521DD" w14:textId="64407E21" w:rsidR="001416AC" w:rsidRPr="004C693B" w:rsidRDefault="001416AC" w:rsidP="00DA51DD">
      <w:pPr>
        <w:pStyle w:val="COMPara"/>
        <w:numPr>
          <w:ilvl w:val="0"/>
          <w:numId w:val="13"/>
        </w:numPr>
        <w:ind w:hanging="630"/>
        <w:jc w:val="both"/>
        <w:rPr>
          <w:b/>
          <w:bCs/>
        </w:rPr>
      </w:pPr>
      <w:r w:rsidRPr="004C693B">
        <w:rPr>
          <w:b/>
        </w:rPr>
        <w:t>Spécificité des mesures de sauvegarde</w:t>
      </w:r>
      <w:r w:rsidRPr="004C693B">
        <w:rPr>
          <w:bCs/>
        </w:rPr>
        <w:t xml:space="preserve">. </w:t>
      </w:r>
      <w:r w:rsidRPr="004C693B">
        <w:t xml:space="preserve">Dans </w:t>
      </w:r>
      <w:r w:rsidR="00044A4F" w:rsidRPr="004C693B">
        <w:t>certains cas</w:t>
      </w:r>
      <w:r w:rsidRPr="004C693B">
        <w:t>, l</w:t>
      </w:r>
      <w:r w:rsidR="00FB39FB">
        <w:t>’</w:t>
      </w:r>
      <w:r w:rsidRPr="004C693B">
        <w:t>Organe d</w:t>
      </w:r>
      <w:r w:rsidR="00FB39FB">
        <w:t>’</w:t>
      </w:r>
      <w:r w:rsidRPr="004C693B">
        <w:t>évaluation a noté que les mesures de sauvegarde proposées semblaient être des actions génériques visant la mise en œuvre de la Convention dans le pays en question. Il est rappelé aux États parties que les mesures doivent être spécifiques à l</w:t>
      </w:r>
      <w:r w:rsidR="00FB39FB">
        <w:t>’</w:t>
      </w:r>
      <w:r w:rsidRPr="004C693B">
        <w:t>élément lui-même, en ce qui concerne la viabilité de l</w:t>
      </w:r>
      <w:r w:rsidR="00FB39FB">
        <w:t>’</w:t>
      </w:r>
      <w:r w:rsidRPr="004C693B">
        <w:t>élément dans son ensemble, y compris les mesures visant à faire face à toute menace visant l</w:t>
      </w:r>
      <w:r w:rsidR="00FB39FB">
        <w:t>’</w:t>
      </w:r>
      <w:r w:rsidRPr="004C693B">
        <w:t>élément.</w:t>
      </w:r>
    </w:p>
    <w:p w14:paraId="5A129619" w14:textId="19339C05" w:rsidR="001416AC" w:rsidRPr="004C693B" w:rsidRDefault="001416AC" w:rsidP="00DA51DD">
      <w:pPr>
        <w:pStyle w:val="COMPara"/>
        <w:numPr>
          <w:ilvl w:val="0"/>
          <w:numId w:val="13"/>
        </w:numPr>
        <w:ind w:hanging="540"/>
        <w:jc w:val="both"/>
      </w:pPr>
      <w:r w:rsidRPr="004C693B">
        <w:rPr>
          <w:b/>
        </w:rPr>
        <w:t>Lien entre les mesures de sauvegarde passées et actuelles</w:t>
      </w:r>
      <w:r w:rsidRPr="004C693B">
        <w:rPr>
          <w:bCs/>
        </w:rPr>
        <w:t xml:space="preserve">. </w:t>
      </w:r>
      <w:r w:rsidRPr="004C693B">
        <w:t>Lors du renseignement du formulaire de candidature, il est important que les États parties réfléchissent aux mesures passées et actuelles relatives à la sauvegarde de l</w:t>
      </w:r>
      <w:r w:rsidR="00FB39FB">
        <w:t>’</w:t>
      </w:r>
      <w:r w:rsidRPr="004C693B">
        <w:t>élément concerné. Cette évaluation est une indication de la volonté des États parties et des communautés, groupes et individus concernés de continuer à sauvegarder cet élément.</w:t>
      </w:r>
    </w:p>
    <w:p w14:paraId="59B59CCF" w14:textId="21CEF99F" w:rsidR="00DC68C7" w:rsidRPr="004C693B" w:rsidRDefault="00DC68C7" w:rsidP="005A1117">
      <w:pPr>
        <w:pStyle w:val="COMPara"/>
        <w:numPr>
          <w:ilvl w:val="0"/>
          <w:numId w:val="12"/>
        </w:numPr>
        <w:ind w:left="567" w:hanging="567"/>
        <w:jc w:val="both"/>
      </w:pPr>
      <w:r w:rsidRPr="004C693B">
        <w:rPr>
          <w:b/>
        </w:rPr>
        <w:t>Durée du plan de sauvegarde en U.3</w:t>
      </w:r>
      <w:r w:rsidRPr="004C693B">
        <w:rPr>
          <w:bCs/>
        </w:rPr>
        <w:t xml:space="preserve">. </w:t>
      </w:r>
      <w:r w:rsidRPr="004C693B">
        <w:t>L</w:t>
      </w:r>
      <w:r w:rsidR="00FB39FB">
        <w:t>’</w:t>
      </w:r>
      <w:r w:rsidRPr="004C693B">
        <w:t>Organe d</w:t>
      </w:r>
      <w:r w:rsidR="00FB39FB">
        <w:t>’</w:t>
      </w:r>
      <w:r w:rsidRPr="004C693B">
        <w:t>évaluation a noté que dans un cas particulier, la durée du plan de sauvegarde proposé dans le dossier semblait insuffisante pour assurer la viabilité de l</w:t>
      </w:r>
      <w:r w:rsidR="00FB39FB">
        <w:t>’</w:t>
      </w:r>
      <w:r w:rsidRPr="004C693B">
        <w:t xml:space="preserve">élément. Les </w:t>
      </w:r>
      <w:r w:rsidRPr="004C693B">
        <w:rPr>
          <w:bCs/>
        </w:rPr>
        <w:t>États</w:t>
      </w:r>
      <w:r w:rsidRPr="004C693B">
        <w:t xml:space="preserve"> parties sont encouragés à envisager l</w:t>
      </w:r>
      <w:r w:rsidR="00FB39FB">
        <w:t>’</w:t>
      </w:r>
      <w:r w:rsidRPr="004C693B">
        <w:t>élaboration de plans de sauvegarde à un stade précoce, afin de sensibiliser et former la jeunesse, y compris lorsque l</w:t>
      </w:r>
      <w:r w:rsidR="00FB39FB">
        <w:t>’</w:t>
      </w:r>
      <w:r w:rsidRPr="004C693B">
        <w:t>élément ne fait pas l</w:t>
      </w:r>
      <w:r w:rsidR="00FB39FB">
        <w:t>’</w:t>
      </w:r>
      <w:r w:rsidRPr="004C693B">
        <w:t>objet de menaces immédiatement évidentes.</w:t>
      </w:r>
    </w:p>
    <w:p w14:paraId="79FD194A" w14:textId="76604122" w:rsidR="00A42AE3" w:rsidRPr="004C693B" w:rsidRDefault="00DC68C7" w:rsidP="005A1117">
      <w:pPr>
        <w:pStyle w:val="COMPara"/>
        <w:numPr>
          <w:ilvl w:val="0"/>
          <w:numId w:val="12"/>
        </w:numPr>
        <w:ind w:left="567" w:hanging="567"/>
        <w:jc w:val="both"/>
        <w:rPr>
          <w:bCs/>
        </w:rPr>
      </w:pPr>
      <w:r w:rsidRPr="004C693B">
        <w:rPr>
          <w:b/>
        </w:rPr>
        <w:t xml:space="preserve">Définition et objectifs du plan de sauvegarde. </w:t>
      </w:r>
      <w:r w:rsidRPr="004C693B">
        <w:t>L</w:t>
      </w:r>
      <w:r w:rsidR="00FB39FB">
        <w:t>’</w:t>
      </w:r>
      <w:r w:rsidRPr="004C693B">
        <w:t>Organe d</w:t>
      </w:r>
      <w:r w:rsidR="00FB39FB">
        <w:t>’</w:t>
      </w:r>
      <w:r w:rsidRPr="004C693B">
        <w:t>évaluation a noté certains cas pour lesquels les objectifs ont été redéfinis comme des activités dans le cadre des plans de sauvegarde. Il est rappelé aux États parties qu</w:t>
      </w:r>
      <w:r w:rsidR="00FB39FB">
        <w:t>’</w:t>
      </w:r>
      <w:r w:rsidRPr="004C693B">
        <w:t>il convient de veiller à formuler de tels plans de sauvegarde en veillant à opérer une distinction entre les objectifs et les activités correspondantes.</w:t>
      </w:r>
    </w:p>
    <w:p w14:paraId="50650A7B" w14:textId="7C4E5631" w:rsidR="00F6176F" w:rsidRPr="004C693B" w:rsidRDefault="003B0F33" w:rsidP="005A1117">
      <w:pPr>
        <w:pStyle w:val="COMPara"/>
        <w:numPr>
          <w:ilvl w:val="0"/>
          <w:numId w:val="12"/>
        </w:numPr>
        <w:ind w:left="567" w:hanging="567"/>
        <w:jc w:val="both"/>
        <w:rPr>
          <w:bCs/>
        </w:rPr>
      </w:pPr>
      <w:r w:rsidRPr="004C693B">
        <w:rPr>
          <w:b/>
          <w:bCs/>
        </w:rPr>
        <w:t>Problématiques concernant les critères R.4/U.4</w:t>
      </w:r>
      <w:r w:rsidRPr="004C693B">
        <w:t>. L</w:t>
      </w:r>
      <w:r w:rsidR="00FB39FB">
        <w:t>’</w:t>
      </w:r>
      <w:r w:rsidRPr="004C693B">
        <w:t>Organe d</w:t>
      </w:r>
      <w:r w:rsidR="00FB39FB">
        <w:t>’</w:t>
      </w:r>
      <w:r w:rsidRPr="004C693B">
        <w:t>évaluation souligne que les communautés, groupes ou individus concernés par l</w:t>
      </w:r>
      <w:r w:rsidR="00FB39FB">
        <w:t>’</w:t>
      </w:r>
      <w:r w:rsidRPr="004C693B">
        <w:t>élément sont fondamentaux pour la Convention. Les États parties doivent donc assurer la participation la plus large possible de ceux-ci à l</w:t>
      </w:r>
      <w:r w:rsidR="00FB39FB">
        <w:t>’</w:t>
      </w:r>
      <w:r w:rsidRPr="004C693B">
        <w:t>ensemble de la procédure de sauvegarde, depuis le lancement de la candidature et l</w:t>
      </w:r>
      <w:r w:rsidR="00FB39FB">
        <w:t>’</w:t>
      </w:r>
      <w:r w:rsidRPr="004C693B">
        <w:t>identification de l</w:t>
      </w:r>
      <w:r w:rsidR="00FB39FB">
        <w:t>’</w:t>
      </w:r>
      <w:r w:rsidRPr="004C693B">
        <w:t>élément jusqu</w:t>
      </w:r>
      <w:r w:rsidR="00FB39FB">
        <w:t>’</w:t>
      </w:r>
      <w:r w:rsidRPr="004C693B">
        <w:t>à l</w:t>
      </w:r>
      <w:r w:rsidR="00FB39FB">
        <w:t>’</w:t>
      </w:r>
      <w:r w:rsidRPr="004C693B">
        <w:t>élaboration des mesures de sauvegarde. Les communautés, les groupes ou, le cas échéant, les individus, doivent participer à l</w:t>
      </w:r>
      <w:r w:rsidR="00FB39FB">
        <w:t>’</w:t>
      </w:r>
      <w:r w:rsidRPr="004C693B">
        <w:t xml:space="preserve">inventaire et faire valoir leur consentement préalable libre et éclairé. Les États </w:t>
      </w:r>
      <w:r w:rsidRPr="004C693B">
        <w:rPr>
          <w:bCs/>
        </w:rPr>
        <w:t>parties</w:t>
      </w:r>
      <w:r w:rsidRPr="004C693B">
        <w:t xml:space="preserve"> sont également tenus de décrire clairement la manière dont la communauté, le groupe ou les individus concernés ont activement participé à la préparation et à l</w:t>
      </w:r>
      <w:r w:rsidR="00FB39FB">
        <w:t>’</w:t>
      </w:r>
      <w:r w:rsidRPr="004C693B">
        <w:t xml:space="preserve">élaboration de la candidature à toutes les étapes. </w:t>
      </w:r>
      <w:r w:rsidR="00AA22E6">
        <w:t>L</w:t>
      </w:r>
      <w:r w:rsidRPr="004C693B">
        <w:t>es réponses</w:t>
      </w:r>
      <w:r w:rsidR="00AA22E6">
        <w:t xml:space="preserve"> devraient</w:t>
      </w:r>
      <w:r w:rsidRPr="004C693B">
        <w:t xml:space="preserve"> décri</w:t>
      </w:r>
      <w:r w:rsidR="00AA22E6">
        <w:t xml:space="preserve">re </w:t>
      </w:r>
      <w:r w:rsidRPr="004C693B">
        <w:t>les processus consultatifs menant à la candidature, ainsi que la façon dont leurs points de vue et aspirations ont été intégrés à la version finale de la nomination.</w:t>
      </w:r>
    </w:p>
    <w:p w14:paraId="4F4577F4" w14:textId="57F247CB" w:rsidR="006E001E" w:rsidRPr="004C693B" w:rsidRDefault="006E001E" w:rsidP="005A1117">
      <w:pPr>
        <w:pStyle w:val="COMPara"/>
        <w:numPr>
          <w:ilvl w:val="0"/>
          <w:numId w:val="12"/>
        </w:numPr>
        <w:ind w:left="567" w:hanging="567"/>
        <w:jc w:val="both"/>
        <w:rPr>
          <w:b/>
          <w:bCs/>
        </w:rPr>
      </w:pPr>
      <w:r w:rsidRPr="004C693B">
        <w:rPr>
          <w:b/>
        </w:rPr>
        <w:t>Approche descendante</w:t>
      </w:r>
      <w:r w:rsidRPr="004C693B">
        <w:rPr>
          <w:bCs/>
        </w:rPr>
        <w:t>.</w:t>
      </w:r>
      <w:r w:rsidRPr="004C693B">
        <w:rPr>
          <w:b/>
        </w:rPr>
        <w:t xml:space="preserve"> </w:t>
      </w:r>
      <w:r w:rsidRPr="004C693B">
        <w:t>Les informations fournies dans plusieurs dossiers ont suggéré une approche descendante dans leur préparation. Les États parties sont encouragés à mettre en place des mécanismes qui permettent la participation la plus large possible des communautés, groupes et individus concernés. L</w:t>
      </w:r>
      <w:r w:rsidR="00FB39FB">
        <w:t>’</w:t>
      </w:r>
      <w:r w:rsidRPr="004C693B">
        <w:t>Organe d</w:t>
      </w:r>
      <w:r w:rsidR="00FB39FB">
        <w:t>’</w:t>
      </w:r>
      <w:r w:rsidRPr="004C693B">
        <w:t>évaluation rappelle également aux États parties que la pratique et la viabilité d</w:t>
      </w:r>
      <w:r w:rsidR="00FB39FB">
        <w:t>’</w:t>
      </w:r>
      <w:r w:rsidRPr="004C693B">
        <w:t xml:space="preserve">un élément relèvent en grande partie de la compétence des </w:t>
      </w:r>
      <w:r w:rsidRPr="004C693B">
        <w:lastRenderedPageBreak/>
        <w:t xml:space="preserve">communautés, groupes et individus concernés. </w:t>
      </w:r>
      <w:r w:rsidR="00044A4F" w:rsidRPr="004C693B">
        <w:t>Pour cette raison, les États parties devraient impliquer les communautés, les groupes et les individus tout au long du processus de proposition d</w:t>
      </w:r>
      <w:r w:rsidR="00FB39FB">
        <w:t>’</w:t>
      </w:r>
      <w:r w:rsidR="00044A4F" w:rsidRPr="004C693B">
        <w:t>inscription, en particulier dans la planification et la mise en œuvre des mesures de sauvegarde proposées.</w:t>
      </w:r>
    </w:p>
    <w:p w14:paraId="524D681D" w14:textId="28650D26" w:rsidR="00AB3BB2" w:rsidRPr="004C693B" w:rsidRDefault="00AB3BB2" w:rsidP="005A1117">
      <w:pPr>
        <w:pStyle w:val="COMPara"/>
        <w:numPr>
          <w:ilvl w:val="0"/>
          <w:numId w:val="12"/>
        </w:numPr>
        <w:ind w:left="567" w:hanging="567"/>
        <w:jc w:val="both"/>
      </w:pPr>
      <w:r w:rsidRPr="004C693B">
        <w:rPr>
          <w:b/>
        </w:rPr>
        <w:t xml:space="preserve">Consentement </w:t>
      </w:r>
      <w:r w:rsidR="00AA22E6">
        <w:rPr>
          <w:b/>
        </w:rPr>
        <w:t xml:space="preserve">libre, </w:t>
      </w:r>
      <w:r w:rsidRPr="004C693B">
        <w:rPr>
          <w:b/>
        </w:rPr>
        <w:t>préalable et éclairé</w:t>
      </w:r>
      <w:r w:rsidRPr="004C693B">
        <w:rPr>
          <w:bCs/>
        </w:rPr>
        <w:t xml:space="preserve">. </w:t>
      </w:r>
      <w:r w:rsidRPr="004C693B">
        <w:t xml:space="preserve">Le consentement </w:t>
      </w:r>
      <w:r w:rsidR="00AA22E6">
        <w:t xml:space="preserve">libre, </w:t>
      </w:r>
      <w:r w:rsidRPr="004C693B">
        <w:t>préalable et éclairé des communautés concernées est également indispensable à une évaluation équitable des dossiers. Toutefois, l</w:t>
      </w:r>
      <w:r w:rsidR="00FB39FB">
        <w:t>’</w:t>
      </w:r>
      <w:r w:rsidRPr="004C693B">
        <w:t>Organe d</w:t>
      </w:r>
      <w:r w:rsidR="00FB39FB">
        <w:t>’</w:t>
      </w:r>
      <w:r w:rsidRPr="004C693B">
        <w:t>évaluation a soulevé plusieurs questions au cours de ce cycle :</w:t>
      </w:r>
    </w:p>
    <w:p w14:paraId="058155D5" w14:textId="4822B87B" w:rsidR="00552E92" w:rsidRPr="004C693B" w:rsidRDefault="00552E92" w:rsidP="005A1117">
      <w:pPr>
        <w:pStyle w:val="COMPara"/>
        <w:numPr>
          <w:ilvl w:val="0"/>
          <w:numId w:val="18"/>
        </w:numPr>
        <w:ind w:hanging="630"/>
        <w:jc w:val="both"/>
      </w:pPr>
      <w:r w:rsidRPr="004C693B">
        <w:t>Les communautés, groupes et individus devraient être dûment informés des listes particulières pour lesquelles des candidatures ou des propositions sont formulées.</w:t>
      </w:r>
    </w:p>
    <w:p w14:paraId="1A09743D" w14:textId="707BD319" w:rsidR="00552E92" w:rsidRPr="004C693B" w:rsidRDefault="00AB3BB2" w:rsidP="005A1117">
      <w:pPr>
        <w:pStyle w:val="COMPara"/>
        <w:numPr>
          <w:ilvl w:val="0"/>
          <w:numId w:val="18"/>
        </w:numPr>
        <w:ind w:hanging="630"/>
        <w:jc w:val="both"/>
      </w:pPr>
      <w:r w:rsidRPr="004C693B">
        <w:t>Dans certains cas, l</w:t>
      </w:r>
      <w:r w:rsidR="00FB39FB">
        <w:t>’</w:t>
      </w:r>
      <w:r w:rsidRPr="004C693B">
        <w:t>Organe d</w:t>
      </w:r>
      <w:r w:rsidR="00FB39FB">
        <w:t>’</w:t>
      </w:r>
      <w:r w:rsidRPr="004C693B">
        <w:t>évaluation a jugé difficile d</w:t>
      </w:r>
      <w:r w:rsidR="00FB39FB">
        <w:t>’</w:t>
      </w:r>
      <w:r w:rsidRPr="004C693B">
        <w:t>identifier la relation ou le rôle des signataires en ce qui concerne l</w:t>
      </w:r>
      <w:r w:rsidR="00FB39FB">
        <w:t>’</w:t>
      </w:r>
      <w:r w:rsidRPr="004C693B">
        <w:t>élément proposé.</w:t>
      </w:r>
    </w:p>
    <w:p w14:paraId="7B1556B6" w14:textId="40840C5C" w:rsidR="00552E92" w:rsidRPr="004C693B" w:rsidRDefault="00552E92" w:rsidP="005A1117">
      <w:pPr>
        <w:pStyle w:val="COMPara"/>
        <w:numPr>
          <w:ilvl w:val="0"/>
          <w:numId w:val="18"/>
        </w:numPr>
        <w:ind w:hanging="630"/>
        <w:jc w:val="both"/>
      </w:pPr>
      <w:r w:rsidRPr="004C693B">
        <w:t xml:space="preserve">Dans certains dossiers, les lettres de consentement fournies étaient </w:t>
      </w:r>
      <w:r w:rsidR="00AA22E6">
        <w:t>obsolètes</w:t>
      </w:r>
      <w:r w:rsidRPr="004C693B">
        <w:t>. L</w:t>
      </w:r>
      <w:r w:rsidR="00FB39FB">
        <w:t>’</w:t>
      </w:r>
      <w:r w:rsidRPr="004C693B">
        <w:t>Organe d</w:t>
      </w:r>
      <w:r w:rsidR="00FB39FB">
        <w:t>’</w:t>
      </w:r>
      <w:r w:rsidRPr="004C693B">
        <w:t>évaluation souligne l</w:t>
      </w:r>
      <w:r w:rsidR="00FB39FB">
        <w:t>’</w:t>
      </w:r>
      <w:r w:rsidRPr="004C693B">
        <w:t xml:space="preserve">importance de fournir des lettres de consentement à jour lors </w:t>
      </w:r>
      <w:r w:rsidR="00AA22E6">
        <w:t>de la re-soumission ou l’extension</w:t>
      </w:r>
      <w:r w:rsidRPr="004C693B">
        <w:t xml:space="preserve"> d</w:t>
      </w:r>
      <w:r w:rsidR="00FB39FB">
        <w:t>’</w:t>
      </w:r>
      <w:r w:rsidRPr="004C693B">
        <w:t>un dossier, tout en assurant la participation la plus large possible des communautés respectives.</w:t>
      </w:r>
    </w:p>
    <w:p w14:paraId="13417140" w14:textId="2A1F87C2" w:rsidR="00552E92" w:rsidRPr="004C693B" w:rsidRDefault="00552E92" w:rsidP="005A1117">
      <w:pPr>
        <w:pStyle w:val="COMPara"/>
        <w:numPr>
          <w:ilvl w:val="0"/>
          <w:numId w:val="18"/>
        </w:numPr>
        <w:ind w:hanging="630"/>
        <w:jc w:val="both"/>
      </w:pPr>
      <w:r w:rsidRPr="004C693B">
        <w:t>L</w:t>
      </w:r>
      <w:r w:rsidR="00FB39FB">
        <w:t>’</w:t>
      </w:r>
      <w:r w:rsidRPr="004C693B">
        <w:t xml:space="preserve">usage de lettres de consentement </w:t>
      </w:r>
      <w:r w:rsidR="00AA22E6">
        <w:t>standardi</w:t>
      </w:r>
      <w:r w:rsidR="00AA22E6" w:rsidRPr="004C693B">
        <w:t xml:space="preserve">sées </w:t>
      </w:r>
      <w:r w:rsidRPr="004C693B">
        <w:t>n</w:t>
      </w:r>
      <w:r w:rsidR="00FB39FB">
        <w:t>’</w:t>
      </w:r>
      <w:r w:rsidRPr="004C693B">
        <w:t>est pas recommandé, car il ne suggère pas qu</w:t>
      </w:r>
      <w:r w:rsidR="00FB39FB">
        <w:t>’</w:t>
      </w:r>
      <w:r w:rsidRPr="004C693B">
        <w:t xml:space="preserve">une approche participative a été adoptée pour obtenir le consentement </w:t>
      </w:r>
      <w:r w:rsidR="00AA22E6">
        <w:t xml:space="preserve">libre, </w:t>
      </w:r>
      <w:r w:rsidRPr="004C693B">
        <w:t>préalable et éclairé des communautés, groupes et individus concernés.</w:t>
      </w:r>
    </w:p>
    <w:p w14:paraId="2290DAC8" w14:textId="3C5F8748" w:rsidR="00552E92" w:rsidRPr="004C693B" w:rsidRDefault="00552E92" w:rsidP="005A1117">
      <w:pPr>
        <w:pStyle w:val="COMPara"/>
        <w:numPr>
          <w:ilvl w:val="0"/>
          <w:numId w:val="18"/>
        </w:numPr>
        <w:ind w:hanging="630"/>
        <w:jc w:val="both"/>
      </w:pPr>
      <w:r w:rsidRPr="004C693B">
        <w:t>Dans plusieurs cas, les lettres de consentement présentées semblaient être l</w:t>
      </w:r>
      <w:r w:rsidR="00FB39FB">
        <w:t>’</w:t>
      </w:r>
      <w:r w:rsidRPr="004C693B">
        <w:t>œuvre d</w:t>
      </w:r>
      <w:r w:rsidR="00FB39FB">
        <w:t>’</w:t>
      </w:r>
      <w:r w:rsidRPr="004C693B">
        <w:t xml:space="preserve">experts. </w:t>
      </w:r>
      <w:r w:rsidR="00AA22E6">
        <w:t>L</w:t>
      </w:r>
      <w:r w:rsidRPr="004C693B">
        <w:t>es États parties</w:t>
      </w:r>
      <w:r w:rsidR="00AA22E6">
        <w:t xml:space="preserve"> devraient</w:t>
      </w:r>
      <w:r w:rsidRPr="004C693B">
        <w:t xml:space="preserve"> s</w:t>
      </w:r>
      <w:r w:rsidR="00FB39FB">
        <w:t>’</w:t>
      </w:r>
      <w:r w:rsidRPr="004C693B">
        <w:t>efforce</w:t>
      </w:r>
      <w:r w:rsidR="00AA22E6">
        <w:t>r</w:t>
      </w:r>
      <w:r w:rsidRPr="004C693B">
        <w:t xml:space="preserve"> d</w:t>
      </w:r>
      <w:r w:rsidR="00FB39FB">
        <w:t>’</w:t>
      </w:r>
      <w:r w:rsidRPr="004C693B">
        <w:t>obtenir le consentement de toutes les communautés, groupes et individus concernés, indépendamment de la capacité d</w:t>
      </w:r>
      <w:r w:rsidR="00FB39FB">
        <w:t>’</w:t>
      </w:r>
      <w:r w:rsidRPr="004C693B">
        <w:t>expertise. De même, si un élément est pratiqué ou utilisé par les femmes, il est convenu de s</w:t>
      </w:r>
      <w:r w:rsidR="00FB39FB">
        <w:t>’</w:t>
      </w:r>
      <w:r w:rsidRPr="004C693B">
        <w:t>attendre à ce que celles-ci expriment également leur consentement à cet égard.</w:t>
      </w:r>
    </w:p>
    <w:p w14:paraId="563EE86D" w14:textId="0DCFC439" w:rsidR="00796810" w:rsidRPr="004C693B" w:rsidRDefault="00B344E9" w:rsidP="005A1117">
      <w:pPr>
        <w:pStyle w:val="COMPara"/>
        <w:numPr>
          <w:ilvl w:val="0"/>
          <w:numId w:val="12"/>
        </w:numPr>
        <w:ind w:left="567" w:hanging="567"/>
        <w:jc w:val="both"/>
        <w:rPr>
          <w:b/>
          <w:bCs/>
        </w:rPr>
      </w:pPr>
      <w:r w:rsidRPr="004C693B">
        <w:rPr>
          <w:b/>
        </w:rPr>
        <w:t>Problématiques concernant les critères R.5/U.5</w:t>
      </w:r>
      <w:r w:rsidRPr="004C693B">
        <w:rPr>
          <w:bCs/>
        </w:rPr>
        <w:t>.</w:t>
      </w:r>
      <w:r w:rsidRPr="004C693B">
        <w:rPr>
          <w:b/>
        </w:rPr>
        <w:t xml:space="preserve"> </w:t>
      </w:r>
      <w:r w:rsidRPr="004C693B">
        <w:t>Comme spécifié dans les articles 10 et 11, les inventaires constituent une mesure de sauvegarde essentielle. L</w:t>
      </w:r>
      <w:r w:rsidR="00FB39FB">
        <w:t>’</w:t>
      </w:r>
      <w:r w:rsidRPr="004C693B">
        <w:t>Organe d</w:t>
      </w:r>
      <w:r w:rsidR="00FB39FB">
        <w:t>’</w:t>
      </w:r>
      <w:r w:rsidRPr="004C693B">
        <w:t>évaluation n</w:t>
      </w:r>
      <w:r w:rsidR="00FB39FB">
        <w:t>’</w:t>
      </w:r>
      <w:r w:rsidRPr="004C693B">
        <w:t>a donc pas pris en considération les politiques ou déclarations dont l</w:t>
      </w:r>
      <w:r w:rsidR="00FB39FB">
        <w:t>’</w:t>
      </w:r>
      <w:r w:rsidRPr="004C693B">
        <w:t>intention était de nommer un élément d</w:t>
      </w:r>
      <w:r w:rsidR="00FB39FB">
        <w:t>’</w:t>
      </w:r>
      <w:r w:rsidRPr="004C693B">
        <w:t>un inventaire comme des inventaires en soi. En outre, certains dossiers faisaient référence à des inventaires multiples, ce qui rend parfois difficile le fait de déterminer si l</w:t>
      </w:r>
      <w:r w:rsidR="00FB39FB">
        <w:t>’</w:t>
      </w:r>
      <w:r w:rsidRPr="004C693B">
        <w:t>élément a été répertorié sur un ou plusieurs inventaires. Les États parties sont encouragés à être précis et à expliquer clairement l</w:t>
      </w:r>
      <w:r w:rsidR="00FB39FB">
        <w:t>’</w:t>
      </w:r>
      <w:r w:rsidRPr="004C693B">
        <w:t>inventaire dans lequel un élément est inclus. L</w:t>
      </w:r>
      <w:r w:rsidR="00FB39FB">
        <w:t>’</w:t>
      </w:r>
      <w:r w:rsidRPr="004C693B">
        <w:t>Organe d</w:t>
      </w:r>
      <w:r w:rsidR="00FB39FB">
        <w:t>’</w:t>
      </w:r>
      <w:r w:rsidRPr="004C693B">
        <w:t>évaluation a également été guidé, dans ses examens, par la compréhension du fait qu</w:t>
      </w:r>
      <w:r w:rsidR="00FB39FB">
        <w:t>’</w:t>
      </w:r>
      <w:r w:rsidRPr="004C693B">
        <w:t>une variété d</w:t>
      </w:r>
      <w:r w:rsidR="00FB39FB">
        <w:t>’</w:t>
      </w:r>
      <w:r w:rsidRPr="004C693B">
        <w:t>inventaires peut exister et que certains d</w:t>
      </w:r>
      <w:r w:rsidR="00FB39FB">
        <w:t>’</w:t>
      </w:r>
      <w:r w:rsidRPr="004C693B">
        <w:t>entre eux peuvent encore être en cours de progression. Toutefois, l</w:t>
      </w:r>
      <w:r w:rsidR="00FB39FB">
        <w:t>’</w:t>
      </w:r>
      <w:r w:rsidRPr="004C693B">
        <w:t xml:space="preserve">élément proposé doit déjà avoir été inclus dans un inventaire au moment du dépôt de candidature. </w:t>
      </w:r>
      <w:r w:rsidR="00AA22E6">
        <w:t>D’</w:t>
      </w:r>
      <w:r w:rsidRPr="004C693B">
        <w:t xml:space="preserve">autres questions </w:t>
      </w:r>
      <w:r w:rsidR="00AA22E6">
        <w:t xml:space="preserve">ont été </w:t>
      </w:r>
      <w:r w:rsidRPr="004C693B">
        <w:t>soulevées par l</w:t>
      </w:r>
      <w:r w:rsidR="00FB39FB">
        <w:t>’</w:t>
      </w:r>
      <w:r w:rsidRPr="004C693B">
        <w:t>Organe d</w:t>
      </w:r>
      <w:r w:rsidR="00FB39FB">
        <w:t>’</w:t>
      </w:r>
      <w:r w:rsidRPr="004C693B">
        <w:t xml:space="preserve">évaluation, </w:t>
      </w:r>
      <w:r w:rsidR="00AA22E6">
        <w:t xml:space="preserve">parmi lesquelles </w:t>
      </w:r>
      <w:r w:rsidRPr="004C693B">
        <w:t>:</w:t>
      </w:r>
    </w:p>
    <w:p w14:paraId="725549E5" w14:textId="6A49CA82" w:rsidR="00AC2A16" w:rsidRPr="004C693B" w:rsidRDefault="00987C9C" w:rsidP="006F54A8">
      <w:pPr>
        <w:pStyle w:val="COMPara"/>
        <w:numPr>
          <w:ilvl w:val="0"/>
          <w:numId w:val="19"/>
        </w:numPr>
        <w:ind w:hanging="630"/>
        <w:jc w:val="both"/>
      </w:pPr>
      <w:r w:rsidRPr="004C693B">
        <w:t>Étant donné l</w:t>
      </w:r>
      <w:r w:rsidR="00FB39FB">
        <w:t>’</w:t>
      </w:r>
      <w:r w:rsidRPr="004C693B">
        <w:t>importance de l</w:t>
      </w:r>
      <w:r w:rsidR="00FB39FB">
        <w:t>’</w:t>
      </w:r>
      <w:r w:rsidRPr="004C693B">
        <w:t>actualisation des inventaires dans le contexte du critère R.5/U.5, l</w:t>
      </w:r>
      <w:r w:rsidR="00FB39FB">
        <w:t>’</w:t>
      </w:r>
      <w:r w:rsidRPr="004C693B">
        <w:t>Organe d</w:t>
      </w:r>
      <w:r w:rsidR="00FB39FB">
        <w:t>’</w:t>
      </w:r>
      <w:r w:rsidRPr="004C693B">
        <w:t>évaluation a adopté la même approche que lors des cycles précédents, en rédigeant un commentaire dans la décision plutôt qu</w:t>
      </w:r>
      <w:r w:rsidR="00FB39FB">
        <w:t>’</w:t>
      </w:r>
      <w:r w:rsidRPr="004C693B">
        <w:t>en renvoyant un dossier uniquement sur la base : a) d</w:t>
      </w:r>
      <w:r w:rsidR="00FB39FB">
        <w:t>’</w:t>
      </w:r>
      <w:r w:rsidRPr="004C693B">
        <w:t>une réponse insatisfaisante concernant la mise à jour des inventaires ; b) de l</w:t>
      </w:r>
      <w:r w:rsidR="00FB39FB">
        <w:t>’</w:t>
      </w:r>
      <w:r w:rsidRPr="004C693B">
        <w:t>absence d</w:t>
      </w:r>
      <w:r w:rsidR="00FB39FB">
        <w:t>’</w:t>
      </w:r>
      <w:r w:rsidRPr="004C693B">
        <w:t>informations sur la périodicité. Dans les cas où une mise à jour prévue était mentionnée, l</w:t>
      </w:r>
      <w:r w:rsidR="00FB39FB">
        <w:t>’</w:t>
      </w:r>
      <w:r w:rsidRPr="004C693B">
        <w:t>Organe d</w:t>
      </w:r>
      <w:r w:rsidR="00FB39FB">
        <w:t>’</w:t>
      </w:r>
      <w:r w:rsidRPr="004C693B">
        <w:t>évaluation a sollicité une explication sur la façon dont cette mise à jour serait effectuée.</w:t>
      </w:r>
    </w:p>
    <w:p w14:paraId="233164B1" w14:textId="379B9563" w:rsidR="0077604A" w:rsidRPr="004C693B" w:rsidRDefault="00C60130" w:rsidP="006F54A8">
      <w:pPr>
        <w:pStyle w:val="COMPara"/>
        <w:numPr>
          <w:ilvl w:val="0"/>
          <w:numId w:val="19"/>
        </w:numPr>
        <w:ind w:hanging="630"/>
        <w:jc w:val="both"/>
      </w:pPr>
      <w:r w:rsidRPr="004C693B">
        <w:t>Dans certains dossiers, le rôle joué par les communautés, groupes et individus dans l</w:t>
      </w:r>
      <w:r w:rsidR="00FB39FB">
        <w:t>’</w:t>
      </w:r>
      <w:r w:rsidRPr="004C693B">
        <w:t>établissement des inventaires n</w:t>
      </w:r>
      <w:r w:rsidR="00FB39FB">
        <w:t>’</w:t>
      </w:r>
      <w:r w:rsidRPr="004C693B">
        <w:t>a pas été clairement expliqué. Une explication insuffisante ou inexistante crée un doute quant au rôle des communautés, groupes et individus concernés par l</w:t>
      </w:r>
      <w:r w:rsidR="00FB39FB">
        <w:t>’</w:t>
      </w:r>
      <w:r w:rsidRPr="004C693B">
        <w:t xml:space="preserve">élément. Les États parties sont encouragés à assurer la participation </w:t>
      </w:r>
      <w:r w:rsidR="00AA22E6">
        <w:t>des communautés</w:t>
      </w:r>
      <w:r w:rsidR="00AA22E6" w:rsidRPr="004C693B">
        <w:t xml:space="preserve"> </w:t>
      </w:r>
      <w:r w:rsidRPr="004C693B">
        <w:t>et à fournir des explications claires à ce sujet.</w:t>
      </w:r>
    </w:p>
    <w:p w14:paraId="172324F5" w14:textId="3DAE6AED" w:rsidR="00D11A86" w:rsidRPr="004C693B" w:rsidRDefault="0077604A" w:rsidP="006F54A8">
      <w:pPr>
        <w:pStyle w:val="COMPara"/>
        <w:numPr>
          <w:ilvl w:val="0"/>
          <w:numId w:val="19"/>
        </w:numPr>
        <w:ind w:hanging="630"/>
        <w:jc w:val="both"/>
      </w:pPr>
      <w:r w:rsidRPr="004C693B">
        <w:t xml:space="preserve">Dans plusieurs dossiers de candidature, il était courant que les États parties fournissent des hyperliens renvoyant à des informations sur leur inventaire. Cependant, dans certains </w:t>
      </w:r>
      <w:r w:rsidRPr="004C693B">
        <w:lastRenderedPageBreak/>
        <w:t>cas, ces hyperliens n</w:t>
      </w:r>
      <w:r w:rsidR="00FB39FB">
        <w:t>’</w:t>
      </w:r>
      <w:r w:rsidRPr="004C693B">
        <w:t>étaient plus fonctionnels ni accessibles. Les États Parties sont encouragés à veiller à ce que les hyperliens soient à jour dans la perspective de l</w:t>
      </w:r>
      <w:r w:rsidR="00FB39FB">
        <w:t>’</w:t>
      </w:r>
      <w:r w:rsidRPr="004C693B">
        <w:t>évaluation des dossiers.</w:t>
      </w:r>
    </w:p>
    <w:p w14:paraId="0FB03201" w14:textId="2BA174B3" w:rsidR="00987C9C" w:rsidRPr="004C693B" w:rsidRDefault="00D11A86" w:rsidP="006F54A8">
      <w:pPr>
        <w:pStyle w:val="COMPara"/>
        <w:numPr>
          <w:ilvl w:val="0"/>
          <w:numId w:val="19"/>
        </w:numPr>
        <w:ind w:hanging="630"/>
        <w:jc w:val="both"/>
        <w:rPr>
          <w:b/>
          <w:bCs/>
        </w:rPr>
      </w:pPr>
      <w:r w:rsidRPr="004C693B">
        <w:t>S</w:t>
      </w:r>
      <w:r w:rsidR="00FB39FB">
        <w:t>’</w:t>
      </w:r>
      <w:r w:rsidRPr="004C693B">
        <w:t>agissant des critères R.4/U.4 et R.5/U.5,</w:t>
      </w:r>
      <w:r w:rsidRPr="004C693B">
        <w:rPr>
          <w:b/>
        </w:rPr>
        <w:t xml:space="preserve"> </w:t>
      </w:r>
      <w:r w:rsidRPr="004C693B">
        <w:t>l</w:t>
      </w:r>
      <w:r w:rsidR="00FB39FB">
        <w:t>’</w:t>
      </w:r>
      <w:r w:rsidRPr="004C693B">
        <w:t>Organe d</w:t>
      </w:r>
      <w:r w:rsidR="00FB39FB">
        <w:t>’</w:t>
      </w:r>
      <w:r w:rsidRPr="004C693B">
        <w:t>évaluation a noté que, dans certains cas, la participation des communautés, groupes et individus à l</w:t>
      </w:r>
      <w:r w:rsidR="00FB39FB">
        <w:t>’</w:t>
      </w:r>
      <w:r w:rsidRPr="004C693B">
        <w:t>inscription d</w:t>
      </w:r>
      <w:r w:rsidR="00FB39FB">
        <w:t>’</w:t>
      </w:r>
      <w:r w:rsidRPr="004C693B">
        <w:t>un élément de l</w:t>
      </w:r>
      <w:r w:rsidR="00FB39FB">
        <w:t>’</w:t>
      </w:r>
      <w:r w:rsidRPr="004C693B">
        <w:t>inventaire national avait été confondue avec l</w:t>
      </w:r>
      <w:r w:rsidR="00FB39FB">
        <w:t>’</w:t>
      </w:r>
      <w:r w:rsidRPr="004C693B">
        <w:t>inscription de l</w:t>
      </w:r>
      <w:r w:rsidR="00FB39FB">
        <w:t>’</w:t>
      </w:r>
      <w:r w:rsidRPr="004C693B">
        <w:t>élément sur les listes de la Convention.</w:t>
      </w:r>
    </w:p>
    <w:p w14:paraId="3C2889F3" w14:textId="57EFFB37" w:rsidR="00303941" w:rsidRPr="004C693B" w:rsidRDefault="00303941" w:rsidP="005A1117">
      <w:pPr>
        <w:pStyle w:val="COMPara"/>
        <w:numPr>
          <w:ilvl w:val="0"/>
          <w:numId w:val="12"/>
        </w:numPr>
        <w:ind w:left="567" w:hanging="567"/>
        <w:jc w:val="both"/>
        <w:rPr>
          <w:b/>
          <w:bCs/>
        </w:rPr>
      </w:pPr>
      <w:r w:rsidRPr="004C693B">
        <w:rPr>
          <w:b/>
        </w:rPr>
        <w:t>Respect des pratiques coutumières</w:t>
      </w:r>
      <w:r w:rsidRPr="004C693B">
        <w:rPr>
          <w:bCs/>
        </w:rPr>
        <w:t>.</w:t>
      </w:r>
      <w:r w:rsidRPr="004C693B">
        <w:rPr>
          <w:b/>
        </w:rPr>
        <w:t xml:space="preserve"> </w:t>
      </w:r>
      <w:r w:rsidRPr="004C693B">
        <w:t xml:space="preserve">Il est rappelé </w:t>
      </w:r>
      <w:r w:rsidRPr="004C693B">
        <w:rPr>
          <w:bCs/>
        </w:rPr>
        <w:t>aux</w:t>
      </w:r>
      <w:r w:rsidRPr="004C693B">
        <w:t xml:space="preserve"> États parties que les pratiques coutumières susceptibles de restreindre l</w:t>
      </w:r>
      <w:r w:rsidR="00FB39FB">
        <w:t>’</w:t>
      </w:r>
      <w:r w:rsidRPr="004C693B">
        <w:t>accès à certaines parties de l</w:t>
      </w:r>
      <w:r w:rsidR="00FB39FB">
        <w:t>’</w:t>
      </w:r>
      <w:r w:rsidRPr="004C693B">
        <w:t>élément doivent être respectées.</w:t>
      </w:r>
    </w:p>
    <w:p w14:paraId="6787DB77" w14:textId="1E6AA574" w:rsidR="00303941" w:rsidRPr="004C693B" w:rsidRDefault="00303941" w:rsidP="005A1117">
      <w:pPr>
        <w:pStyle w:val="COMPara"/>
        <w:numPr>
          <w:ilvl w:val="0"/>
          <w:numId w:val="12"/>
        </w:numPr>
        <w:ind w:left="567" w:hanging="567"/>
        <w:jc w:val="both"/>
        <w:rPr>
          <w:b/>
          <w:bCs/>
        </w:rPr>
      </w:pPr>
      <w:r w:rsidRPr="004C693B">
        <w:rPr>
          <w:b/>
        </w:rPr>
        <w:t>Candidatures à la Liste du patrimoine</w:t>
      </w:r>
      <w:r w:rsidR="00AA22E6">
        <w:rPr>
          <w:b/>
        </w:rPr>
        <w:t xml:space="preserve"> culturel</w:t>
      </w:r>
      <w:r w:rsidRPr="004C693B">
        <w:rPr>
          <w:b/>
        </w:rPr>
        <w:t xml:space="preserve"> immatériel nécessitant une sauvegarde urgente lorsque la viabilité ne semble pas menacée</w:t>
      </w:r>
      <w:r w:rsidRPr="004C693B">
        <w:rPr>
          <w:bCs/>
        </w:rPr>
        <w:t xml:space="preserve">. </w:t>
      </w:r>
      <w:r w:rsidRPr="004C693B">
        <w:t>Deux dossiers du cycle 2021 semblent avoir opté pour une candidature à la Liste du patrimoine</w:t>
      </w:r>
      <w:r w:rsidR="00AA22E6">
        <w:t xml:space="preserve"> culturel</w:t>
      </w:r>
      <w:r w:rsidRPr="004C693B">
        <w:t xml:space="preserve"> immatériel nécessitant une sauvegarde urgente plutôt qu</w:t>
      </w:r>
      <w:r w:rsidR="00FB39FB">
        <w:t>’</w:t>
      </w:r>
      <w:r w:rsidRPr="004C693B">
        <w:t>à la Liste représentative du patrimoine culturel immatériel de l</w:t>
      </w:r>
      <w:r w:rsidR="00FB39FB">
        <w:t>’</w:t>
      </w:r>
      <w:r w:rsidRPr="004C693B">
        <w:t>humanité, alors même que l</w:t>
      </w:r>
      <w:r w:rsidR="00FB39FB">
        <w:t>’</w:t>
      </w:r>
      <w:r w:rsidRPr="004C693B">
        <w:t>élément concerné n</w:t>
      </w:r>
      <w:r w:rsidR="00FB39FB">
        <w:t>’</w:t>
      </w:r>
      <w:r w:rsidRPr="004C693B">
        <w:t xml:space="preserve">avait pas été clairement présenté comme nécessitant une sauvegarde urgente. </w:t>
      </w:r>
      <w:r w:rsidR="00AA22E6">
        <w:t>L</w:t>
      </w:r>
      <w:r w:rsidRPr="004C693B">
        <w:t xml:space="preserve">es États parties </w:t>
      </w:r>
      <w:r w:rsidR="00AA22E6">
        <w:t xml:space="preserve">devraient </w:t>
      </w:r>
      <w:r w:rsidRPr="004C693B">
        <w:t>réfléchi</w:t>
      </w:r>
      <w:r w:rsidR="00AA22E6">
        <w:t>r</w:t>
      </w:r>
      <w:r w:rsidRPr="004C693B">
        <w:t xml:space="preserve"> soigneusement à la liste qui répond le mieux aux besoins de sauvegarde de l</w:t>
      </w:r>
      <w:r w:rsidR="00FB39FB">
        <w:t>’</w:t>
      </w:r>
      <w:r w:rsidRPr="004C693B">
        <w:t>élément. Étant donné qu</w:t>
      </w:r>
      <w:r w:rsidR="00FB39FB">
        <w:t>’</w:t>
      </w:r>
      <w:r w:rsidRPr="004C693B">
        <w:t>il n</w:t>
      </w:r>
      <w:r w:rsidR="00FB39FB">
        <w:t>’</w:t>
      </w:r>
      <w:r w:rsidRPr="004C693B">
        <w:t>existe aucune disposition permettant à l</w:t>
      </w:r>
      <w:r w:rsidR="00FB39FB">
        <w:t>’</w:t>
      </w:r>
      <w:r w:rsidRPr="004C693B">
        <w:t>Organe d</w:t>
      </w:r>
      <w:r w:rsidR="00FB39FB">
        <w:t>’</w:t>
      </w:r>
      <w:r w:rsidRPr="004C693B">
        <w:t>évaluation de recommander l</w:t>
      </w:r>
      <w:r w:rsidR="00FB39FB">
        <w:t>’</w:t>
      </w:r>
      <w:r w:rsidRPr="004C693B">
        <w:t>inscription d</w:t>
      </w:r>
      <w:r w:rsidR="00FB39FB">
        <w:t>’</w:t>
      </w:r>
      <w:r w:rsidRPr="004C693B">
        <w:t>un élément sur une liste spécifique, l</w:t>
      </w:r>
      <w:r w:rsidR="00FB39FB">
        <w:t>’</w:t>
      </w:r>
      <w:r w:rsidRPr="004C693B">
        <w:t>Organe d</w:t>
      </w:r>
      <w:r w:rsidR="00FB39FB">
        <w:t>’</w:t>
      </w:r>
      <w:r w:rsidRPr="004C693B">
        <w:t xml:space="preserve">évaluation a accepté de faire part, dans son projet de recommandation, du fait que la candidature pourrait être </w:t>
      </w:r>
      <w:r w:rsidR="00AA22E6">
        <w:t xml:space="preserve">plus </w:t>
      </w:r>
      <w:r w:rsidRPr="004C693B">
        <w:t>appropriée pour la Liste représentative du patrimoine culturel immatériel de l</w:t>
      </w:r>
      <w:r w:rsidR="00FB39FB">
        <w:t>’</w:t>
      </w:r>
      <w:r w:rsidRPr="004C693B">
        <w:t>humanité.</w:t>
      </w:r>
    </w:p>
    <w:p w14:paraId="18807FED" w14:textId="585317E0" w:rsidR="00303941" w:rsidRPr="004C693B" w:rsidRDefault="00303941" w:rsidP="005A1117">
      <w:pPr>
        <w:pStyle w:val="COMPara"/>
        <w:numPr>
          <w:ilvl w:val="0"/>
          <w:numId w:val="12"/>
        </w:numPr>
        <w:ind w:left="567" w:hanging="567"/>
        <w:jc w:val="both"/>
      </w:pPr>
      <w:r w:rsidRPr="004C693B">
        <w:rPr>
          <w:b/>
          <w:bCs/>
        </w:rPr>
        <w:t>Différents objectifs et critères de la Liste représentative du patrimoine culturel immatériel de l</w:t>
      </w:r>
      <w:r w:rsidR="00FB39FB">
        <w:rPr>
          <w:b/>
          <w:bCs/>
        </w:rPr>
        <w:t>’</w:t>
      </w:r>
      <w:r w:rsidRPr="004C693B">
        <w:rPr>
          <w:b/>
          <w:bCs/>
        </w:rPr>
        <w:t>humanité et de la Liste du patrimoine culturel immatériel nécessitant une sauvegarde urgente</w:t>
      </w:r>
      <w:r w:rsidRPr="004C693B">
        <w:t>. Après avoir examiné les différents objectifs et critères de la Liste représentative du patrimoine culturel immatériel de l</w:t>
      </w:r>
      <w:r w:rsidR="00FB39FB">
        <w:t>’</w:t>
      </w:r>
      <w:r w:rsidRPr="004C693B">
        <w:t xml:space="preserve">humanité et de la Liste </w:t>
      </w:r>
      <w:r w:rsidR="00D65711" w:rsidRPr="00B1188E">
        <w:t>du patrimoine culturel immatériel nécessitant une</w:t>
      </w:r>
      <w:r w:rsidR="00D65711" w:rsidRPr="000B3F0D">
        <w:rPr>
          <w:b/>
          <w:bCs/>
        </w:rPr>
        <w:t xml:space="preserve"> </w:t>
      </w:r>
      <w:r w:rsidRPr="004C693B">
        <w:t>sauvegarde urgente, les membres de l</w:t>
      </w:r>
      <w:r w:rsidR="00FB39FB">
        <w:t>’</w:t>
      </w:r>
      <w:r w:rsidRPr="004C693B">
        <w:t>Organe d</w:t>
      </w:r>
      <w:r w:rsidR="00FB39FB">
        <w:t>’</w:t>
      </w:r>
      <w:r w:rsidRPr="004C693B">
        <w:t>évaluation en sont venus à la conclusion que la conformité vis-à-vis de chaque critère devrait être déterminée selon ses mérites propres. Un élément en danger ne peut pas, a priori, être exclu de la Liste représentative du patrimoine culturel immatériel de l</w:t>
      </w:r>
      <w:r w:rsidR="00FB39FB">
        <w:t>’</w:t>
      </w:r>
      <w:r w:rsidRPr="004C693B">
        <w:t>humanité, même si, dans certains cas, l</w:t>
      </w:r>
      <w:r w:rsidR="00FB39FB">
        <w:t>’</w:t>
      </w:r>
      <w:r w:rsidRPr="004C693B">
        <w:t>Organe d</w:t>
      </w:r>
      <w:r w:rsidR="00FB39FB">
        <w:t>’</w:t>
      </w:r>
      <w:r w:rsidRPr="004C693B">
        <w:t>évaluation a estimé qu</w:t>
      </w:r>
      <w:r w:rsidR="00FB39FB">
        <w:t>’</w:t>
      </w:r>
      <w:r w:rsidRPr="004C693B">
        <w:t xml:space="preserve">une </w:t>
      </w:r>
      <w:r w:rsidR="00D65711">
        <w:t>candidature à</w:t>
      </w:r>
      <w:r w:rsidRPr="004C693B">
        <w:t xml:space="preserve"> la Liste du patrimoine </w:t>
      </w:r>
      <w:r w:rsidR="00D65711">
        <w:t xml:space="preserve">culturel </w:t>
      </w:r>
      <w:r w:rsidRPr="004C693B">
        <w:t>immatériel nécessitant une sauvegarde urgente aurait été plus appropriée. Le même cas s</w:t>
      </w:r>
      <w:r w:rsidR="00FB39FB">
        <w:t>’</w:t>
      </w:r>
      <w:r w:rsidRPr="004C693B">
        <w:t>est produit dans le cas de certains éléments pour lesquels le statut d</w:t>
      </w:r>
      <w:r w:rsidR="00FB39FB">
        <w:t>’</w:t>
      </w:r>
      <w:r w:rsidRPr="004C693B">
        <w:t>espèce menacée ne semblait pas être appuyé par le texte du dossier de candidature. Toutefois, l</w:t>
      </w:r>
      <w:r w:rsidR="00FB39FB">
        <w:t>’</w:t>
      </w:r>
      <w:r w:rsidRPr="004C693B">
        <w:t>Organe d</w:t>
      </w:r>
      <w:r w:rsidR="00FB39FB">
        <w:t>’</w:t>
      </w:r>
      <w:r w:rsidRPr="004C693B">
        <w:t>évaluation a reconnu qu</w:t>
      </w:r>
      <w:r w:rsidR="00FB39FB">
        <w:t>’</w:t>
      </w:r>
      <w:r w:rsidRPr="004C693B">
        <w:t>il relevait du droit souverain de chaque État partie soumettant le projet de décision de désigner un élément en vue d</w:t>
      </w:r>
      <w:r w:rsidR="00FB39FB">
        <w:t>’</w:t>
      </w:r>
      <w:r w:rsidRPr="004C693B">
        <w:t>une liste particulière, sous réserve que l</w:t>
      </w:r>
      <w:r w:rsidR="00FB39FB">
        <w:t>’</w:t>
      </w:r>
      <w:r w:rsidRPr="004C693B">
        <w:t>élément satisfasse à l</w:t>
      </w:r>
      <w:r w:rsidR="00FB39FB">
        <w:t>’</w:t>
      </w:r>
      <w:r w:rsidRPr="004C693B">
        <w:t>ensemble des critères requis.</w:t>
      </w:r>
    </w:p>
    <w:p w14:paraId="05DD71C0" w14:textId="06C7CF95" w:rsidR="00E31AFC" w:rsidRPr="004C693B" w:rsidRDefault="00E31AFC" w:rsidP="00B1188E">
      <w:pPr>
        <w:pStyle w:val="COMPara"/>
        <w:keepNext/>
        <w:numPr>
          <w:ilvl w:val="0"/>
          <w:numId w:val="2"/>
        </w:numPr>
        <w:spacing w:before="240"/>
        <w:ind w:left="567" w:hanging="567"/>
        <w:jc w:val="both"/>
        <w:rPr>
          <w:b/>
        </w:rPr>
      </w:pPr>
      <w:r w:rsidRPr="004C693B">
        <w:rPr>
          <w:b/>
        </w:rPr>
        <w:t>Vue d</w:t>
      </w:r>
      <w:r w:rsidR="00FB39FB">
        <w:rPr>
          <w:b/>
        </w:rPr>
        <w:t>’</w:t>
      </w:r>
      <w:r w:rsidRPr="004C693B">
        <w:rPr>
          <w:b/>
        </w:rPr>
        <w:t>ensemble des problèmes récurrents durant le cycle 2021</w:t>
      </w:r>
    </w:p>
    <w:p w14:paraId="1B6186AE" w14:textId="74707D63" w:rsidR="00E31AFC" w:rsidRPr="004C693B" w:rsidRDefault="00E31AFC" w:rsidP="005A1117">
      <w:pPr>
        <w:pStyle w:val="COMPara"/>
        <w:numPr>
          <w:ilvl w:val="0"/>
          <w:numId w:val="12"/>
        </w:numPr>
        <w:ind w:left="567" w:hanging="567"/>
        <w:jc w:val="both"/>
      </w:pPr>
      <w:r w:rsidRPr="004C693B">
        <w:rPr>
          <w:b/>
        </w:rPr>
        <w:t>Aspects positifs</w:t>
      </w:r>
      <w:r w:rsidR="00463067" w:rsidRPr="004C693B">
        <w:rPr>
          <w:bCs/>
        </w:rPr>
        <w:t>.</w:t>
      </w:r>
      <w:r w:rsidRPr="004C693B">
        <w:rPr>
          <w:rFonts w:asciiTheme="minorBidi" w:hAnsiTheme="minorBidi"/>
          <w:b/>
        </w:rPr>
        <w:t xml:space="preserve"> </w:t>
      </w:r>
      <w:r w:rsidRPr="004C693B">
        <w:rPr>
          <w:rFonts w:asciiTheme="minorBidi" w:hAnsiTheme="minorBidi"/>
        </w:rPr>
        <w:t xml:space="preserve">Sur la base de son évaluation des </w:t>
      </w:r>
      <w:r w:rsidR="006E001E" w:rsidRPr="004C693B">
        <w:rPr>
          <w:rFonts w:asciiTheme="minorBidi" w:hAnsiTheme="minorBidi"/>
        </w:rPr>
        <w:t>soixante</w:t>
      </w:r>
      <w:r w:rsidRPr="004C693B">
        <w:rPr>
          <w:rFonts w:asciiTheme="minorBidi" w:hAnsiTheme="minorBidi"/>
        </w:rPr>
        <w:t xml:space="preserve"> dossiers du présent cycle, l</w:t>
      </w:r>
      <w:r w:rsidR="00FB39FB">
        <w:rPr>
          <w:rFonts w:asciiTheme="minorBidi" w:hAnsiTheme="minorBidi"/>
        </w:rPr>
        <w:t>’</w:t>
      </w:r>
      <w:r w:rsidRPr="004C693B">
        <w:rPr>
          <w:rFonts w:asciiTheme="minorBidi" w:hAnsiTheme="minorBidi"/>
        </w:rPr>
        <w:t>Organe d</w:t>
      </w:r>
      <w:r w:rsidR="00FB39FB">
        <w:rPr>
          <w:rFonts w:asciiTheme="minorBidi" w:hAnsiTheme="minorBidi"/>
        </w:rPr>
        <w:t>’</w:t>
      </w:r>
      <w:r w:rsidRPr="004C693B">
        <w:rPr>
          <w:rFonts w:asciiTheme="minorBidi" w:hAnsiTheme="minorBidi"/>
        </w:rPr>
        <w:t xml:space="preserve">évaluation tient à souligner plusieurs aspects positifs déjà relevés dans les décisions et documents des travaux antérieurs du Comité. </w:t>
      </w:r>
      <w:r w:rsidRPr="004C693B">
        <w:t>Ces</w:t>
      </w:r>
      <w:r w:rsidRPr="004C693B">
        <w:rPr>
          <w:rFonts w:asciiTheme="minorBidi" w:hAnsiTheme="minorBidi"/>
        </w:rPr>
        <w:t xml:space="preserve"> dispositions se déclinent comme suit :</w:t>
      </w:r>
    </w:p>
    <w:tbl>
      <w:tblPr>
        <w:tblStyle w:val="TableGrid"/>
        <w:tblW w:w="9418" w:type="dxa"/>
        <w:tblInd w:w="567" w:type="dxa"/>
        <w:tblLook w:val="04A0" w:firstRow="1" w:lastRow="0" w:firstColumn="1" w:lastColumn="0" w:noHBand="0" w:noVBand="1"/>
      </w:tblPr>
      <w:tblGrid>
        <w:gridCol w:w="4819"/>
        <w:gridCol w:w="4599"/>
      </w:tblGrid>
      <w:tr w:rsidR="00E31AFC" w:rsidRPr="004C693B" w14:paraId="7D8A0BF2" w14:textId="77777777" w:rsidTr="00DF0DE0">
        <w:tc>
          <w:tcPr>
            <w:tcW w:w="4819" w:type="dxa"/>
            <w:shd w:val="clear" w:color="auto" w:fill="auto"/>
            <w:vAlign w:val="center"/>
          </w:tcPr>
          <w:p w14:paraId="07786FF8" w14:textId="77777777" w:rsidR="00E31AFC" w:rsidRPr="004C693B" w:rsidRDefault="00E31AFC" w:rsidP="00B1188E">
            <w:pPr>
              <w:pStyle w:val="COMPara"/>
              <w:keepNext/>
              <w:jc w:val="center"/>
              <w:rPr>
                <w:rFonts w:asciiTheme="minorBidi" w:hAnsiTheme="minorBidi" w:cstheme="minorBidi"/>
                <w:b/>
                <w:sz w:val="22"/>
                <w:szCs w:val="22"/>
              </w:rPr>
            </w:pPr>
            <w:r w:rsidRPr="004C693B">
              <w:rPr>
                <w:rFonts w:asciiTheme="minorBidi" w:hAnsiTheme="minorBidi"/>
                <w:b/>
              </w:rPr>
              <w:lastRenderedPageBreak/>
              <w:t>Problèmes</w:t>
            </w:r>
          </w:p>
        </w:tc>
        <w:tc>
          <w:tcPr>
            <w:tcW w:w="4599" w:type="dxa"/>
            <w:vAlign w:val="center"/>
          </w:tcPr>
          <w:p w14:paraId="326C3DC2" w14:textId="77777777" w:rsidR="00E31AFC" w:rsidRPr="004C693B" w:rsidRDefault="00E31AFC" w:rsidP="00B1188E">
            <w:pPr>
              <w:pStyle w:val="COMPara"/>
              <w:keepNext/>
              <w:jc w:val="center"/>
              <w:rPr>
                <w:rFonts w:asciiTheme="minorBidi" w:hAnsiTheme="minorBidi" w:cstheme="minorBidi"/>
                <w:b/>
                <w:sz w:val="22"/>
                <w:szCs w:val="22"/>
              </w:rPr>
            </w:pPr>
            <w:r w:rsidRPr="004C693B">
              <w:rPr>
                <w:rFonts w:asciiTheme="minorBidi" w:hAnsiTheme="minorBidi"/>
                <w:b/>
              </w:rPr>
              <w:t>Décisions ou documents de référence les plus récents du Comité</w:t>
            </w:r>
          </w:p>
        </w:tc>
      </w:tr>
      <w:tr w:rsidR="00E31AFC" w:rsidRPr="004C693B" w14:paraId="6C09A4B4" w14:textId="77777777" w:rsidTr="00DF0DE0">
        <w:tc>
          <w:tcPr>
            <w:tcW w:w="4819" w:type="dxa"/>
          </w:tcPr>
          <w:p w14:paraId="33F94644" w14:textId="1A873C06" w:rsidR="00E31AFC" w:rsidRPr="004C693B" w:rsidRDefault="00E31AFC" w:rsidP="00B1188E">
            <w:pPr>
              <w:pStyle w:val="COMPara"/>
              <w:keepNext/>
              <w:rPr>
                <w:rFonts w:asciiTheme="minorBidi" w:hAnsiTheme="minorBidi" w:cstheme="minorBidi"/>
                <w:sz w:val="22"/>
                <w:szCs w:val="22"/>
              </w:rPr>
            </w:pPr>
            <w:r w:rsidRPr="004C693B">
              <w:rPr>
                <w:rFonts w:asciiTheme="minorBidi" w:hAnsiTheme="minorBidi"/>
              </w:rPr>
              <w:t>Avantages de l</w:t>
            </w:r>
            <w:r w:rsidR="00FB39FB">
              <w:rPr>
                <w:rFonts w:asciiTheme="minorBidi" w:hAnsiTheme="minorBidi"/>
              </w:rPr>
              <w:t>’</w:t>
            </w:r>
            <w:r w:rsidRPr="004C693B">
              <w:rPr>
                <w:rFonts w:asciiTheme="minorBidi" w:hAnsiTheme="minorBidi"/>
              </w:rPr>
              <w:t xml:space="preserve">option </w:t>
            </w:r>
            <w:r w:rsidR="00303941" w:rsidRPr="004C693B">
              <w:rPr>
                <w:rFonts w:asciiTheme="minorBidi" w:hAnsiTheme="minorBidi"/>
              </w:rPr>
              <w:t>de renvoi</w:t>
            </w:r>
          </w:p>
        </w:tc>
        <w:tc>
          <w:tcPr>
            <w:tcW w:w="4599" w:type="dxa"/>
          </w:tcPr>
          <w:p w14:paraId="7D096236" w14:textId="65DE088A" w:rsidR="00E31AFC" w:rsidRPr="004C693B" w:rsidRDefault="007F1FB2" w:rsidP="00B1188E">
            <w:pPr>
              <w:pStyle w:val="COMPara"/>
              <w:keepNext/>
              <w:jc w:val="both"/>
              <w:rPr>
                <w:rFonts w:asciiTheme="minorBidi" w:hAnsiTheme="minorBidi" w:cstheme="minorBidi"/>
                <w:sz w:val="22"/>
                <w:szCs w:val="22"/>
              </w:rPr>
            </w:pPr>
            <w:hyperlink r:id="rId27" w:history="1">
              <w:r w:rsidR="000823F6" w:rsidRPr="004C693B">
                <w:rPr>
                  <w:rStyle w:val="Hyperlink"/>
                  <w:rFonts w:asciiTheme="minorBidi" w:hAnsiTheme="minorBidi"/>
                </w:rPr>
                <w:t>Décision 12.COM</w:t>
              </w:r>
              <w:r w:rsidR="0008437D" w:rsidRPr="004C693B">
                <w:rPr>
                  <w:rStyle w:val="Hyperlink"/>
                  <w:rFonts w:asciiTheme="minorBidi" w:hAnsiTheme="minorBidi"/>
                </w:rPr>
                <w:t> </w:t>
              </w:r>
              <w:r w:rsidR="000823F6" w:rsidRPr="004C693B">
                <w:rPr>
                  <w:rStyle w:val="Hyperlink"/>
                  <w:rFonts w:asciiTheme="minorBidi" w:hAnsiTheme="minorBidi"/>
                </w:rPr>
                <w:t>11</w:t>
              </w:r>
            </w:hyperlink>
            <w:r w:rsidR="000823F6" w:rsidRPr="004C693B">
              <w:rPr>
                <w:rFonts w:asciiTheme="minorBidi" w:hAnsiTheme="minorBidi"/>
                <w:sz w:val="22"/>
                <w:szCs w:val="22"/>
              </w:rPr>
              <w:t xml:space="preserve"> (paragraphe 7)</w:t>
            </w:r>
          </w:p>
        </w:tc>
      </w:tr>
      <w:tr w:rsidR="00A9579A" w:rsidRPr="004C693B" w14:paraId="0D32E6DC" w14:textId="77777777" w:rsidTr="00DF0DE0">
        <w:tc>
          <w:tcPr>
            <w:tcW w:w="4819" w:type="dxa"/>
          </w:tcPr>
          <w:p w14:paraId="08FA6679" w14:textId="2B84E10D" w:rsidR="00A9579A" w:rsidRPr="004C693B" w:rsidRDefault="00A9579A" w:rsidP="00B1188E">
            <w:pPr>
              <w:pStyle w:val="COMPara"/>
              <w:keepNext/>
              <w:snapToGrid w:val="0"/>
              <w:rPr>
                <w:rFonts w:asciiTheme="minorBidi" w:hAnsiTheme="minorBidi" w:cstheme="minorBidi"/>
              </w:rPr>
            </w:pPr>
            <w:r w:rsidRPr="004C693B">
              <w:rPr>
                <w:rFonts w:asciiTheme="minorBidi" w:hAnsiTheme="minorBidi"/>
              </w:rPr>
              <w:t>Avantages de la procédure de dialogue</w:t>
            </w:r>
          </w:p>
        </w:tc>
        <w:tc>
          <w:tcPr>
            <w:tcW w:w="4599" w:type="dxa"/>
          </w:tcPr>
          <w:p w14:paraId="0939E5D6" w14:textId="4FDFF28B" w:rsidR="00A9579A" w:rsidRPr="004C693B" w:rsidRDefault="007F1FB2" w:rsidP="00B1188E">
            <w:pPr>
              <w:pStyle w:val="COMPara"/>
              <w:keepNext/>
              <w:jc w:val="both"/>
            </w:pPr>
            <w:hyperlink r:id="rId28" w:history="1">
              <w:r w:rsidR="000823F6" w:rsidRPr="004C693B">
                <w:rPr>
                  <w:rStyle w:val="Hyperlink"/>
                </w:rPr>
                <w:t>Décision 15.COM</w:t>
              </w:r>
              <w:r w:rsidR="0008437D" w:rsidRPr="004C693B">
                <w:rPr>
                  <w:rStyle w:val="Hyperlink"/>
                </w:rPr>
                <w:t> </w:t>
              </w:r>
              <w:r w:rsidR="000823F6" w:rsidRPr="004C693B">
                <w:rPr>
                  <w:rStyle w:val="Hyperlink"/>
                </w:rPr>
                <w:t>8</w:t>
              </w:r>
            </w:hyperlink>
            <w:r w:rsidR="000823F6" w:rsidRPr="004C693B">
              <w:rPr>
                <w:sz w:val="22"/>
                <w:szCs w:val="22"/>
              </w:rPr>
              <w:t xml:space="preserve"> (paragraphe 5)</w:t>
            </w:r>
          </w:p>
        </w:tc>
      </w:tr>
      <w:tr w:rsidR="00E31AFC" w:rsidRPr="004C693B" w14:paraId="745D2975" w14:textId="77777777" w:rsidTr="00DF0DE0">
        <w:tc>
          <w:tcPr>
            <w:tcW w:w="4819" w:type="dxa"/>
          </w:tcPr>
          <w:p w14:paraId="49008D98" w14:textId="7C5D50D0" w:rsidR="00E31AFC" w:rsidRPr="004C693B" w:rsidRDefault="00E31AFC" w:rsidP="00B1188E">
            <w:pPr>
              <w:pStyle w:val="COMPara"/>
              <w:keepNext/>
              <w:rPr>
                <w:rFonts w:asciiTheme="minorBidi" w:hAnsiTheme="minorBidi" w:cstheme="minorBidi"/>
                <w:sz w:val="22"/>
                <w:szCs w:val="22"/>
              </w:rPr>
            </w:pPr>
            <w:r w:rsidRPr="004C693B">
              <w:rPr>
                <w:rFonts w:asciiTheme="minorBidi" w:hAnsiTheme="minorBidi"/>
              </w:rPr>
              <w:t xml:space="preserve">Importance des candidatures </w:t>
            </w:r>
            <w:r w:rsidR="004462E4" w:rsidRPr="004C693B">
              <w:rPr>
                <w:rFonts w:asciiTheme="minorBidi" w:hAnsiTheme="minorBidi"/>
              </w:rPr>
              <w:t xml:space="preserve">multinationales </w:t>
            </w:r>
            <w:r w:rsidRPr="004C693B">
              <w:rPr>
                <w:rFonts w:asciiTheme="minorBidi" w:hAnsiTheme="minorBidi"/>
              </w:rPr>
              <w:t>et nécessité d</w:t>
            </w:r>
            <w:r w:rsidR="00FB39FB">
              <w:rPr>
                <w:rFonts w:asciiTheme="minorBidi" w:hAnsiTheme="minorBidi"/>
              </w:rPr>
              <w:t>’</w:t>
            </w:r>
            <w:r w:rsidRPr="004C693B">
              <w:rPr>
                <w:rFonts w:asciiTheme="minorBidi" w:hAnsiTheme="minorBidi"/>
              </w:rPr>
              <w:t xml:space="preserve">encourager davantage les </w:t>
            </w:r>
            <w:r w:rsidR="00D65711">
              <w:rPr>
                <w:rFonts w:asciiTheme="minorBidi" w:hAnsiTheme="minorBidi"/>
              </w:rPr>
              <w:t xml:space="preserve">candidatures </w:t>
            </w:r>
            <w:r w:rsidRPr="004C693B">
              <w:rPr>
                <w:rFonts w:asciiTheme="minorBidi" w:hAnsiTheme="minorBidi"/>
              </w:rPr>
              <w:t>d</w:t>
            </w:r>
            <w:r w:rsidR="00D65711">
              <w:rPr>
                <w:rFonts w:asciiTheme="minorBidi" w:hAnsiTheme="minorBidi"/>
              </w:rPr>
              <w:t>u</w:t>
            </w:r>
            <w:r w:rsidRPr="004C693B">
              <w:rPr>
                <w:rFonts w:asciiTheme="minorBidi" w:hAnsiTheme="minorBidi"/>
              </w:rPr>
              <w:t xml:space="preserve"> patrimoine culturel immatériel partagé</w:t>
            </w:r>
          </w:p>
        </w:tc>
        <w:tc>
          <w:tcPr>
            <w:tcW w:w="4599" w:type="dxa"/>
          </w:tcPr>
          <w:p w14:paraId="3544D1F7" w14:textId="1C60E6BF" w:rsidR="00E31AFC" w:rsidRPr="004C693B" w:rsidRDefault="007F1FB2" w:rsidP="00B1188E">
            <w:pPr>
              <w:pStyle w:val="COMPara"/>
              <w:keepNext/>
              <w:jc w:val="both"/>
              <w:rPr>
                <w:rFonts w:asciiTheme="minorBidi" w:hAnsiTheme="minorBidi" w:cstheme="minorBidi"/>
                <w:sz w:val="22"/>
                <w:szCs w:val="22"/>
              </w:rPr>
            </w:pPr>
            <w:hyperlink r:id="rId29" w:history="1">
              <w:r w:rsidR="000823F6" w:rsidRPr="004C693B">
                <w:rPr>
                  <w:rStyle w:val="Hyperlink"/>
                  <w:rFonts w:asciiTheme="minorBidi" w:hAnsiTheme="minorBidi"/>
                </w:rPr>
                <w:t>Décision 12.COM 11</w:t>
              </w:r>
            </w:hyperlink>
            <w:r w:rsidR="000823F6" w:rsidRPr="004C693B">
              <w:rPr>
                <w:rFonts w:asciiTheme="minorBidi" w:hAnsiTheme="minorBidi"/>
                <w:sz w:val="22"/>
                <w:szCs w:val="22"/>
              </w:rPr>
              <w:t xml:space="preserve"> (paragraphe 10)</w:t>
            </w:r>
          </w:p>
          <w:p w14:paraId="2C37D117" w14:textId="0FBD3786" w:rsidR="00E31AFC" w:rsidRPr="004C693B" w:rsidRDefault="007F1FB2" w:rsidP="00B1188E">
            <w:pPr>
              <w:pStyle w:val="COMPara"/>
              <w:keepNext/>
              <w:jc w:val="both"/>
              <w:rPr>
                <w:rFonts w:asciiTheme="minorBidi" w:hAnsiTheme="minorBidi" w:cstheme="minorBidi"/>
                <w:sz w:val="22"/>
                <w:szCs w:val="22"/>
              </w:rPr>
            </w:pPr>
            <w:hyperlink r:id="rId30" w:history="1">
              <w:r w:rsidR="000823F6" w:rsidRPr="004C693B">
                <w:rPr>
                  <w:rStyle w:val="Hyperlink"/>
                  <w:rFonts w:asciiTheme="minorBidi" w:hAnsiTheme="minorBidi"/>
                </w:rPr>
                <w:t>Décision 14.COM</w:t>
              </w:r>
              <w:r w:rsidR="0008437D" w:rsidRPr="004C693B">
                <w:rPr>
                  <w:rStyle w:val="Hyperlink"/>
                  <w:rFonts w:asciiTheme="minorBidi" w:hAnsiTheme="minorBidi"/>
                </w:rPr>
                <w:t> </w:t>
              </w:r>
              <w:r w:rsidR="000823F6" w:rsidRPr="004C693B">
                <w:rPr>
                  <w:rStyle w:val="Hyperlink"/>
                  <w:rFonts w:asciiTheme="minorBidi" w:hAnsiTheme="minorBidi"/>
                </w:rPr>
                <w:t>10</w:t>
              </w:r>
            </w:hyperlink>
            <w:r w:rsidR="000823F6" w:rsidRPr="004C693B">
              <w:rPr>
                <w:rFonts w:asciiTheme="minorBidi" w:hAnsiTheme="minorBidi"/>
                <w:sz w:val="22"/>
                <w:szCs w:val="22"/>
              </w:rPr>
              <w:t xml:space="preserve"> (paragraphe 11)</w:t>
            </w:r>
          </w:p>
        </w:tc>
      </w:tr>
      <w:tr w:rsidR="00E31AFC" w:rsidRPr="004C693B" w14:paraId="21C27308" w14:textId="77777777" w:rsidTr="00DF0DE0">
        <w:tc>
          <w:tcPr>
            <w:tcW w:w="4819" w:type="dxa"/>
          </w:tcPr>
          <w:p w14:paraId="350C5FFF" w14:textId="22F22883" w:rsidR="00E31AFC" w:rsidRPr="004C693B" w:rsidRDefault="00E31AFC" w:rsidP="00B1188E">
            <w:pPr>
              <w:pStyle w:val="COMPara"/>
              <w:keepNext/>
              <w:rPr>
                <w:rFonts w:asciiTheme="minorBidi" w:hAnsiTheme="minorBidi" w:cstheme="minorBidi"/>
                <w:sz w:val="22"/>
                <w:szCs w:val="22"/>
              </w:rPr>
            </w:pPr>
            <w:r w:rsidRPr="004C693B">
              <w:rPr>
                <w:rFonts w:asciiTheme="minorBidi" w:hAnsiTheme="minorBidi"/>
              </w:rPr>
              <w:t xml:space="preserve">Contribution de la sauvegarde du patrimoine culturel immatériel </w:t>
            </w:r>
            <w:r w:rsidR="00D65711">
              <w:rPr>
                <w:rFonts w:asciiTheme="minorBidi" w:hAnsiTheme="minorBidi"/>
              </w:rPr>
              <w:t>au</w:t>
            </w:r>
            <w:r w:rsidRPr="004C693B">
              <w:rPr>
                <w:rFonts w:asciiTheme="minorBidi" w:hAnsiTheme="minorBidi"/>
              </w:rPr>
              <w:t xml:space="preserve"> développement durable</w:t>
            </w:r>
          </w:p>
        </w:tc>
        <w:tc>
          <w:tcPr>
            <w:tcW w:w="4599" w:type="dxa"/>
          </w:tcPr>
          <w:p w14:paraId="36CB8218" w14:textId="22AD092F" w:rsidR="00E31AFC" w:rsidRPr="004C693B" w:rsidRDefault="007F1FB2" w:rsidP="00B1188E">
            <w:pPr>
              <w:pStyle w:val="COMPara"/>
              <w:keepNext/>
              <w:jc w:val="both"/>
              <w:rPr>
                <w:rFonts w:asciiTheme="minorBidi" w:hAnsiTheme="minorBidi" w:cstheme="minorBidi"/>
                <w:sz w:val="22"/>
                <w:szCs w:val="22"/>
              </w:rPr>
            </w:pPr>
            <w:hyperlink r:id="rId31" w:history="1">
              <w:r w:rsidR="000823F6" w:rsidRPr="004C693B">
                <w:rPr>
                  <w:rStyle w:val="Hyperlink"/>
                  <w:rFonts w:asciiTheme="minorBidi" w:hAnsiTheme="minorBidi"/>
                </w:rPr>
                <w:t>Décision 11.COM 10</w:t>
              </w:r>
            </w:hyperlink>
            <w:r w:rsidR="000823F6" w:rsidRPr="004C693B">
              <w:rPr>
                <w:rFonts w:asciiTheme="minorBidi" w:hAnsiTheme="minorBidi"/>
                <w:sz w:val="22"/>
                <w:szCs w:val="22"/>
              </w:rPr>
              <w:t xml:space="preserve"> (paragraphe 21)</w:t>
            </w:r>
          </w:p>
          <w:p w14:paraId="384A9EFF" w14:textId="1A00FF4D" w:rsidR="00E31AFC" w:rsidRPr="004C693B" w:rsidRDefault="007F1FB2" w:rsidP="00B1188E">
            <w:pPr>
              <w:pStyle w:val="COMPara"/>
              <w:keepNext/>
              <w:jc w:val="both"/>
              <w:rPr>
                <w:rFonts w:asciiTheme="minorBidi" w:hAnsiTheme="minorBidi" w:cstheme="minorBidi"/>
                <w:sz w:val="22"/>
                <w:szCs w:val="22"/>
              </w:rPr>
            </w:pPr>
            <w:hyperlink r:id="rId32" w:history="1">
              <w:r w:rsidR="000823F6" w:rsidRPr="004C693B">
                <w:rPr>
                  <w:rStyle w:val="Hyperlink"/>
                  <w:rFonts w:asciiTheme="minorBidi" w:hAnsiTheme="minorBidi"/>
                </w:rPr>
                <w:t>Décision 14.COM</w:t>
              </w:r>
              <w:r w:rsidR="0008437D" w:rsidRPr="004C693B">
                <w:rPr>
                  <w:rStyle w:val="Hyperlink"/>
                  <w:rFonts w:asciiTheme="minorBidi" w:hAnsiTheme="minorBidi"/>
                </w:rPr>
                <w:t> </w:t>
              </w:r>
              <w:r w:rsidR="000823F6" w:rsidRPr="004C693B">
                <w:rPr>
                  <w:rStyle w:val="Hyperlink"/>
                  <w:rFonts w:asciiTheme="minorBidi" w:hAnsiTheme="minorBidi"/>
                </w:rPr>
                <w:t>10</w:t>
              </w:r>
            </w:hyperlink>
            <w:r w:rsidR="000823F6" w:rsidRPr="004C693B">
              <w:rPr>
                <w:rFonts w:asciiTheme="minorBidi" w:hAnsiTheme="minorBidi"/>
                <w:sz w:val="22"/>
                <w:szCs w:val="22"/>
              </w:rPr>
              <w:t xml:space="preserve"> (paragraphe 12)</w:t>
            </w:r>
          </w:p>
        </w:tc>
      </w:tr>
      <w:tr w:rsidR="00E31AFC" w:rsidRPr="004C693B" w14:paraId="391B6B54" w14:textId="77777777" w:rsidTr="00DF0DE0">
        <w:tc>
          <w:tcPr>
            <w:tcW w:w="4819" w:type="dxa"/>
          </w:tcPr>
          <w:p w14:paraId="3BC3BDF1" w14:textId="3F08E143" w:rsidR="00E31AFC" w:rsidRPr="004C693B" w:rsidRDefault="00E31AFC" w:rsidP="00B1188E">
            <w:pPr>
              <w:pStyle w:val="COMPara"/>
              <w:keepNext/>
              <w:rPr>
                <w:rFonts w:asciiTheme="minorBidi" w:hAnsiTheme="minorBidi" w:cstheme="minorBidi"/>
                <w:sz w:val="22"/>
                <w:szCs w:val="22"/>
              </w:rPr>
            </w:pPr>
            <w:r w:rsidRPr="004C693B">
              <w:rPr>
                <w:rFonts w:asciiTheme="minorBidi" w:hAnsiTheme="minorBidi"/>
              </w:rPr>
              <w:t>Progrès réalisés grâce à l</w:t>
            </w:r>
            <w:r w:rsidR="00FB39FB">
              <w:rPr>
                <w:rFonts w:asciiTheme="minorBidi" w:hAnsiTheme="minorBidi"/>
              </w:rPr>
              <w:t>’</w:t>
            </w:r>
            <w:r w:rsidRPr="004C693B">
              <w:rPr>
                <w:rFonts w:asciiTheme="minorBidi" w:hAnsiTheme="minorBidi"/>
              </w:rPr>
              <w:t>utilisation des formulaires ICH-01 et ICH-02 contenant une section 5 révisée</w:t>
            </w:r>
          </w:p>
        </w:tc>
        <w:tc>
          <w:tcPr>
            <w:tcW w:w="4599" w:type="dxa"/>
          </w:tcPr>
          <w:p w14:paraId="5F5A9DB1" w14:textId="7569DD69" w:rsidR="00E31AFC" w:rsidRPr="004C693B" w:rsidRDefault="007F1FB2" w:rsidP="00B1188E">
            <w:pPr>
              <w:pStyle w:val="COMPara"/>
              <w:keepNext/>
              <w:jc w:val="both"/>
              <w:rPr>
                <w:rFonts w:asciiTheme="minorBidi" w:hAnsiTheme="minorBidi" w:cstheme="minorBidi"/>
                <w:sz w:val="22"/>
                <w:szCs w:val="22"/>
              </w:rPr>
            </w:pPr>
            <w:hyperlink r:id="rId33" w:history="1">
              <w:r w:rsidR="000823F6" w:rsidRPr="004C693B">
                <w:rPr>
                  <w:rStyle w:val="Hyperlink"/>
                  <w:rFonts w:asciiTheme="minorBidi" w:hAnsiTheme="minorBidi"/>
                </w:rPr>
                <w:t>Décision 13.COM</w:t>
              </w:r>
              <w:r w:rsidR="0008437D" w:rsidRPr="004C693B">
                <w:rPr>
                  <w:rStyle w:val="Hyperlink"/>
                  <w:rFonts w:asciiTheme="minorBidi" w:hAnsiTheme="minorBidi"/>
                </w:rPr>
                <w:t> </w:t>
              </w:r>
              <w:r w:rsidR="000823F6" w:rsidRPr="004C693B">
                <w:rPr>
                  <w:rStyle w:val="Hyperlink"/>
                  <w:rFonts w:asciiTheme="minorBidi" w:hAnsiTheme="minorBidi"/>
                </w:rPr>
                <w:t>10</w:t>
              </w:r>
            </w:hyperlink>
            <w:r w:rsidR="000823F6" w:rsidRPr="004C693B">
              <w:rPr>
                <w:rFonts w:asciiTheme="minorBidi" w:hAnsiTheme="minorBidi"/>
                <w:sz w:val="22"/>
                <w:szCs w:val="22"/>
              </w:rPr>
              <w:t xml:space="preserve"> (paragraphe 7)</w:t>
            </w:r>
          </w:p>
          <w:p w14:paraId="326072A8" w14:textId="77777777" w:rsidR="00E31AFC" w:rsidRPr="004C693B" w:rsidRDefault="00E31AFC" w:rsidP="00B1188E">
            <w:pPr>
              <w:pStyle w:val="COMPara"/>
              <w:keepNext/>
              <w:jc w:val="both"/>
              <w:rPr>
                <w:rFonts w:asciiTheme="minorBidi" w:hAnsiTheme="minorBidi" w:cstheme="minorBidi"/>
                <w:sz w:val="22"/>
                <w:szCs w:val="22"/>
              </w:rPr>
            </w:pPr>
          </w:p>
        </w:tc>
      </w:tr>
    </w:tbl>
    <w:p w14:paraId="1FBB330F" w14:textId="5D51BD3D" w:rsidR="00E31AFC" w:rsidRPr="004C693B" w:rsidRDefault="00E31AFC" w:rsidP="00B1188E">
      <w:pPr>
        <w:pStyle w:val="COMPara"/>
        <w:numPr>
          <w:ilvl w:val="0"/>
          <w:numId w:val="12"/>
        </w:numPr>
        <w:spacing w:before="240"/>
        <w:ind w:left="567" w:hanging="567"/>
        <w:jc w:val="both"/>
        <w:rPr>
          <w:b/>
          <w:bCs/>
        </w:rPr>
      </w:pPr>
      <w:r w:rsidRPr="004C693B">
        <w:rPr>
          <w:b/>
        </w:rPr>
        <w:t>Défis récurrents</w:t>
      </w:r>
      <w:r w:rsidR="00463067" w:rsidRPr="004C693B">
        <w:rPr>
          <w:bCs/>
        </w:rPr>
        <w:t>.</w:t>
      </w:r>
      <w:r w:rsidRPr="004C693B">
        <w:rPr>
          <w:b/>
        </w:rPr>
        <w:t xml:space="preserve"> </w:t>
      </w:r>
      <w:r w:rsidRPr="004C693B">
        <w:rPr>
          <w:rFonts w:asciiTheme="minorBidi" w:hAnsiTheme="minorBidi"/>
        </w:rPr>
        <w:t>L</w:t>
      </w:r>
      <w:r w:rsidR="00FB39FB">
        <w:rPr>
          <w:rFonts w:asciiTheme="minorBidi" w:hAnsiTheme="minorBidi"/>
        </w:rPr>
        <w:t>’</w:t>
      </w:r>
      <w:r w:rsidRPr="004C693B">
        <w:rPr>
          <w:rFonts w:asciiTheme="minorBidi" w:hAnsiTheme="minorBidi"/>
        </w:rPr>
        <w:t>Organe d</w:t>
      </w:r>
      <w:r w:rsidR="00FB39FB">
        <w:rPr>
          <w:rFonts w:asciiTheme="minorBidi" w:hAnsiTheme="minorBidi"/>
        </w:rPr>
        <w:t>’</w:t>
      </w:r>
      <w:r w:rsidRPr="004C693B">
        <w:rPr>
          <w:rFonts w:asciiTheme="minorBidi" w:hAnsiTheme="minorBidi"/>
        </w:rPr>
        <w:t>évaluation tient également à souligner le fait qu</w:t>
      </w:r>
      <w:r w:rsidR="00FB39FB">
        <w:rPr>
          <w:rFonts w:asciiTheme="minorBidi" w:hAnsiTheme="minorBidi"/>
        </w:rPr>
        <w:t>’</w:t>
      </w:r>
      <w:r w:rsidRPr="004C693B">
        <w:rPr>
          <w:rFonts w:asciiTheme="minorBidi" w:hAnsiTheme="minorBidi"/>
        </w:rPr>
        <w:t xml:space="preserve">il a identifié plusieurs défis auxquels sont </w:t>
      </w:r>
      <w:r w:rsidRPr="004C693B">
        <w:rPr>
          <w:bCs/>
        </w:rPr>
        <w:t>confrontés</w:t>
      </w:r>
      <w:r w:rsidRPr="004C693B">
        <w:rPr>
          <w:rFonts w:asciiTheme="minorBidi" w:hAnsiTheme="minorBidi"/>
        </w:rPr>
        <w:t xml:space="preserve"> les États soumissionnaires, auxquels les décisions et documents de travail antérieurs du Comité avaient déjà fait référence à plusieurs </w:t>
      </w:r>
      <w:r w:rsidR="009D6363" w:rsidRPr="004C693B">
        <w:rPr>
          <w:rFonts w:asciiTheme="minorBidi" w:hAnsiTheme="minorBidi"/>
        </w:rPr>
        <w:t>reprises :</w:t>
      </w:r>
    </w:p>
    <w:tbl>
      <w:tblPr>
        <w:tblStyle w:val="TableGrid"/>
        <w:tblW w:w="9418" w:type="dxa"/>
        <w:tblInd w:w="567" w:type="dxa"/>
        <w:tblLook w:val="04A0" w:firstRow="1" w:lastRow="0" w:firstColumn="1" w:lastColumn="0" w:noHBand="0" w:noVBand="1"/>
      </w:tblPr>
      <w:tblGrid>
        <w:gridCol w:w="4828"/>
        <w:gridCol w:w="4590"/>
      </w:tblGrid>
      <w:tr w:rsidR="00E31AFC" w:rsidRPr="004C693B" w14:paraId="39F04A6B" w14:textId="77777777" w:rsidTr="00DF0DE0">
        <w:trPr>
          <w:cantSplit/>
        </w:trPr>
        <w:tc>
          <w:tcPr>
            <w:tcW w:w="4828" w:type="dxa"/>
            <w:shd w:val="clear" w:color="auto" w:fill="auto"/>
            <w:vAlign w:val="center"/>
          </w:tcPr>
          <w:p w14:paraId="6BA27906" w14:textId="77777777" w:rsidR="00E31AFC" w:rsidRPr="004C693B" w:rsidRDefault="00E31AFC" w:rsidP="00F60640">
            <w:pPr>
              <w:pStyle w:val="COMPara"/>
              <w:keepNext/>
              <w:jc w:val="center"/>
              <w:rPr>
                <w:rFonts w:asciiTheme="minorBidi" w:hAnsiTheme="minorBidi" w:cstheme="minorBidi"/>
                <w:b/>
                <w:sz w:val="22"/>
                <w:szCs w:val="22"/>
              </w:rPr>
            </w:pPr>
            <w:r w:rsidRPr="004C693B">
              <w:rPr>
                <w:rFonts w:asciiTheme="minorBidi" w:hAnsiTheme="minorBidi"/>
                <w:b/>
              </w:rPr>
              <w:t>Problèmes</w:t>
            </w:r>
          </w:p>
        </w:tc>
        <w:tc>
          <w:tcPr>
            <w:tcW w:w="4590" w:type="dxa"/>
            <w:vAlign w:val="center"/>
          </w:tcPr>
          <w:p w14:paraId="5309CC52" w14:textId="77777777" w:rsidR="00E31AFC" w:rsidRPr="004C693B" w:rsidRDefault="00E31AFC" w:rsidP="00F60640">
            <w:pPr>
              <w:pStyle w:val="COMPara"/>
              <w:jc w:val="center"/>
              <w:rPr>
                <w:rFonts w:asciiTheme="minorBidi" w:hAnsiTheme="minorBidi" w:cstheme="minorBidi"/>
                <w:b/>
                <w:sz w:val="22"/>
                <w:szCs w:val="22"/>
              </w:rPr>
            </w:pPr>
            <w:r w:rsidRPr="004C693B">
              <w:rPr>
                <w:rFonts w:asciiTheme="minorBidi" w:hAnsiTheme="minorBidi"/>
                <w:b/>
              </w:rPr>
              <w:t>Décisions ou documents de référence les plus récents du Comité</w:t>
            </w:r>
          </w:p>
        </w:tc>
      </w:tr>
      <w:tr w:rsidR="00E31AFC" w:rsidRPr="004C693B" w14:paraId="02345EF2" w14:textId="77777777" w:rsidTr="00DF0DE0">
        <w:trPr>
          <w:cantSplit/>
        </w:trPr>
        <w:tc>
          <w:tcPr>
            <w:tcW w:w="4828" w:type="dxa"/>
          </w:tcPr>
          <w:p w14:paraId="5263C289" w14:textId="23D5BC81" w:rsidR="00E31AFC" w:rsidRPr="004C693B" w:rsidRDefault="00E31AFC" w:rsidP="00F60640">
            <w:pPr>
              <w:pStyle w:val="COMPara"/>
              <w:rPr>
                <w:rFonts w:asciiTheme="minorBidi" w:hAnsiTheme="minorBidi" w:cstheme="minorBidi"/>
                <w:sz w:val="22"/>
                <w:szCs w:val="22"/>
              </w:rPr>
            </w:pPr>
            <w:r w:rsidRPr="004C693B">
              <w:rPr>
                <w:rFonts w:asciiTheme="minorBidi" w:hAnsiTheme="minorBidi"/>
              </w:rPr>
              <w:t>Usage d</w:t>
            </w:r>
            <w:r w:rsidR="00FB39FB">
              <w:rPr>
                <w:rFonts w:asciiTheme="minorBidi" w:hAnsiTheme="minorBidi"/>
              </w:rPr>
              <w:t>’</w:t>
            </w:r>
            <w:r w:rsidRPr="004C693B">
              <w:rPr>
                <w:rFonts w:asciiTheme="minorBidi" w:hAnsiTheme="minorBidi"/>
              </w:rPr>
              <w:t>expressions ou de termes de vocabulaire inappropriés, qui ne sont pas conformes à la Convention dans les dossiers de candidature et les titres des éléments</w:t>
            </w:r>
          </w:p>
        </w:tc>
        <w:tc>
          <w:tcPr>
            <w:tcW w:w="4590" w:type="dxa"/>
          </w:tcPr>
          <w:p w14:paraId="582AEF8A" w14:textId="575CA289" w:rsidR="00E31AFC" w:rsidRPr="004C693B" w:rsidRDefault="007F1FB2" w:rsidP="00F60640">
            <w:pPr>
              <w:pStyle w:val="COMPara"/>
              <w:jc w:val="both"/>
              <w:rPr>
                <w:rFonts w:asciiTheme="minorBidi" w:hAnsiTheme="minorBidi" w:cstheme="minorBidi"/>
                <w:sz w:val="22"/>
                <w:szCs w:val="22"/>
              </w:rPr>
            </w:pPr>
            <w:hyperlink r:id="rId34" w:history="1">
              <w:r w:rsidR="000823F6" w:rsidRPr="004C693B">
                <w:rPr>
                  <w:rStyle w:val="Hyperlink"/>
                  <w:rFonts w:asciiTheme="minorBidi" w:hAnsiTheme="minorBidi"/>
                </w:rPr>
                <w:t>Décision 12.COM 11</w:t>
              </w:r>
            </w:hyperlink>
            <w:r w:rsidR="000823F6" w:rsidRPr="004C693B">
              <w:rPr>
                <w:rFonts w:asciiTheme="minorBidi" w:hAnsiTheme="minorBidi"/>
                <w:sz w:val="22"/>
                <w:szCs w:val="22"/>
              </w:rPr>
              <w:t xml:space="preserve"> (paragraphe 6)</w:t>
            </w:r>
          </w:p>
        </w:tc>
      </w:tr>
      <w:tr w:rsidR="00E31AFC" w:rsidRPr="004C693B" w14:paraId="1E4D3C37" w14:textId="77777777" w:rsidTr="00DF0DE0">
        <w:trPr>
          <w:cantSplit/>
        </w:trPr>
        <w:tc>
          <w:tcPr>
            <w:tcW w:w="4828" w:type="dxa"/>
          </w:tcPr>
          <w:p w14:paraId="2E2B2D47" w14:textId="59AD778E" w:rsidR="00E31AFC" w:rsidRPr="004C693B" w:rsidRDefault="00E31AFC" w:rsidP="00F60640">
            <w:pPr>
              <w:pStyle w:val="COMPara"/>
              <w:rPr>
                <w:rFonts w:asciiTheme="minorBidi" w:hAnsiTheme="minorBidi" w:cstheme="minorBidi"/>
                <w:sz w:val="22"/>
                <w:szCs w:val="22"/>
              </w:rPr>
            </w:pPr>
            <w:r w:rsidRPr="004C693B">
              <w:rPr>
                <w:rFonts w:asciiTheme="minorBidi" w:hAnsiTheme="minorBidi"/>
              </w:rPr>
              <w:t>Manque de cohérence entre les informations fournies dans le cadre de différents critères d</w:t>
            </w:r>
            <w:r w:rsidR="00FB39FB">
              <w:rPr>
                <w:rFonts w:asciiTheme="minorBidi" w:hAnsiTheme="minorBidi"/>
              </w:rPr>
              <w:t>’</w:t>
            </w:r>
            <w:r w:rsidRPr="004C693B">
              <w:rPr>
                <w:rFonts w:asciiTheme="minorBidi" w:hAnsiTheme="minorBidi"/>
              </w:rPr>
              <w:t>inscription dans les dossiers soumis</w:t>
            </w:r>
          </w:p>
        </w:tc>
        <w:tc>
          <w:tcPr>
            <w:tcW w:w="4590" w:type="dxa"/>
          </w:tcPr>
          <w:p w14:paraId="4974BB96" w14:textId="17D45922" w:rsidR="00E31AFC" w:rsidRPr="004C693B" w:rsidRDefault="007F1FB2" w:rsidP="00F60640">
            <w:pPr>
              <w:pStyle w:val="COMPara"/>
              <w:jc w:val="both"/>
              <w:rPr>
                <w:rFonts w:asciiTheme="minorBidi" w:hAnsiTheme="minorBidi" w:cstheme="minorBidi"/>
                <w:sz w:val="22"/>
                <w:szCs w:val="22"/>
              </w:rPr>
            </w:pPr>
            <w:hyperlink r:id="rId35" w:history="1">
              <w:r w:rsidR="000823F6" w:rsidRPr="004C693B">
                <w:rPr>
                  <w:rStyle w:val="Hyperlink"/>
                  <w:rFonts w:asciiTheme="minorBidi" w:hAnsiTheme="minorBidi"/>
                </w:rPr>
                <w:t>Décision 11.COM 10</w:t>
              </w:r>
            </w:hyperlink>
            <w:r w:rsidR="000823F6" w:rsidRPr="004C693B">
              <w:rPr>
                <w:rFonts w:asciiTheme="minorBidi" w:hAnsiTheme="minorBidi"/>
                <w:sz w:val="22"/>
                <w:szCs w:val="22"/>
              </w:rPr>
              <w:t xml:space="preserve"> (paragraphe 14)</w:t>
            </w:r>
          </w:p>
        </w:tc>
      </w:tr>
      <w:tr w:rsidR="00E31AFC" w:rsidRPr="004C693B" w14:paraId="0AEF8E0B" w14:textId="77777777" w:rsidTr="00DF0DE0">
        <w:trPr>
          <w:cantSplit/>
        </w:trPr>
        <w:tc>
          <w:tcPr>
            <w:tcW w:w="4828" w:type="dxa"/>
          </w:tcPr>
          <w:p w14:paraId="140BD1D7" w14:textId="6ED0627E" w:rsidR="00E31AFC" w:rsidRPr="004C693B" w:rsidRDefault="00E31AFC" w:rsidP="00F60640">
            <w:pPr>
              <w:pStyle w:val="COMPara"/>
              <w:rPr>
                <w:rFonts w:asciiTheme="minorBidi" w:hAnsiTheme="minorBidi" w:cstheme="minorBidi"/>
                <w:sz w:val="22"/>
                <w:szCs w:val="22"/>
              </w:rPr>
            </w:pPr>
            <w:r w:rsidRPr="004C693B">
              <w:rPr>
                <w:rFonts w:asciiTheme="minorBidi" w:hAnsiTheme="minorBidi"/>
              </w:rPr>
              <w:t>Importance de fournir une identification et une définition claires de l</w:t>
            </w:r>
            <w:r w:rsidR="00FB39FB">
              <w:rPr>
                <w:rFonts w:asciiTheme="minorBidi" w:hAnsiTheme="minorBidi"/>
              </w:rPr>
              <w:t>’</w:t>
            </w:r>
            <w:r w:rsidRPr="004C693B">
              <w:rPr>
                <w:rFonts w:asciiTheme="minorBidi" w:hAnsiTheme="minorBidi"/>
              </w:rPr>
              <w:t>élément</w:t>
            </w:r>
          </w:p>
        </w:tc>
        <w:tc>
          <w:tcPr>
            <w:tcW w:w="4590" w:type="dxa"/>
          </w:tcPr>
          <w:p w14:paraId="0C073100" w14:textId="5559AD2A" w:rsidR="00E31AFC" w:rsidRPr="004C693B" w:rsidRDefault="007F1FB2" w:rsidP="00AD02F1">
            <w:pPr>
              <w:pStyle w:val="COMPara"/>
              <w:jc w:val="both"/>
              <w:rPr>
                <w:rFonts w:asciiTheme="minorBidi" w:hAnsiTheme="minorBidi" w:cstheme="minorBidi"/>
                <w:sz w:val="22"/>
                <w:szCs w:val="22"/>
              </w:rPr>
            </w:pPr>
            <w:hyperlink r:id="rId36" w:history="1">
              <w:r w:rsidR="000823F6" w:rsidRPr="004C693B">
                <w:rPr>
                  <w:rStyle w:val="Hyperlink"/>
                  <w:rFonts w:asciiTheme="minorBidi" w:hAnsiTheme="minorBidi"/>
                </w:rPr>
                <w:t>Décision 14.COM 10</w:t>
              </w:r>
            </w:hyperlink>
            <w:r w:rsidR="000823F6" w:rsidRPr="004C693B">
              <w:rPr>
                <w:rFonts w:asciiTheme="minorBidi" w:hAnsiTheme="minorBidi"/>
                <w:sz w:val="22"/>
                <w:szCs w:val="22"/>
              </w:rPr>
              <w:t xml:space="preserve"> (paragraphe 8)</w:t>
            </w:r>
          </w:p>
        </w:tc>
      </w:tr>
      <w:tr w:rsidR="00E31AFC" w:rsidRPr="004C693B" w14:paraId="56858E29" w14:textId="77777777" w:rsidTr="00DF0DE0">
        <w:trPr>
          <w:cantSplit/>
        </w:trPr>
        <w:tc>
          <w:tcPr>
            <w:tcW w:w="4828" w:type="dxa"/>
          </w:tcPr>
          <w:p w14:paraId="2328E296" w14:textId="77777777" w:rsidR="00E31AFC" w:rsidRPr="004C693B" w:rsidRDefault="00E31AFC" w:rsidP="00F60640">
            <w:pPr>
              <w:pStyle w:val="COMPara"/>
              <w:rPr>
                <w:rFonts w:asciiTheme="minorBidi" w:hAnsiTheme="minorBidi" w:cstheme="minorBidi"/>
                <w:sz w:val="22"/>
                <w:szCs w:val="22"/>
              </w:rPr>
            </w:pPr>
            <w:r w:rsidRPr="004C693B">
              <w:rPr>
                <w:rFonts w:asciiTheme="minorBidi" w:hAnsiTheme="minorBidi"/>
              </w:rPr>
              <w:t>Défis liés au critère R.2</w:t>
            </w:r>
          </w:p>
        </w:tc>
        <w:tc>
          <w:tcPr>
            <w:tcW w:w="4590" w:type="dxa"/>
          </w:tcPr>
          <w:p w14:paraId="1ABCC2B0" w14:textId="6C54FF4B" w:rsidR="00E31AFC" w:rsidRPr="004C693B" w:rsidRDefault="007F1FB2" w:rsidP="00AD02F1">
            <w:pPr>
              <w:pStyle w:val="COMPara"/>
              <w:jc w:val="both"/>
              <w:rPr>
                <w:rFonts w:asciiTheme="minorBidi" w:hAnsiTheme="minorBidi" w:cstheme="minorBidi"/>
                <w:sz w:val="22"/>
                <w:szCs w:val="22"/>
              </w:rPr>
            </w:pPr>
            <w:hyperlink r:id="rId37" w:history="1">
              <w:r w:rsidR="000823F6" w:rsidRPr="004C693B">
                <w:rPr>
                  <w:rStyle w:val="Hyperlink"/>
                  <w:rFonts w:asciiTheme="minorBidi" w:hAnsiTheme="minorBidi"/>
                </w:rPr>
                <w:t>Décision 14.COM 10</w:t>
              </w:r>
            </w:hyperlink>
            <w:r w:rsidR="000823F6" w:rsidRPr="004C693B">
              <w:rPr>
                <w:rFonts w:asciiTheme="minorBidi" w:hAnsiTheme="minorBidi"/>
                <w:sz w:val="22"/>
                <w:szCs w:val="22"/>
              </w:rPr>
              <w:t xml:space="preserve"> (paragraphe 9)</w:t>
            </w:r>
          </w:p>
        </w:tc>
      </w:tr>
      <w:tr w:rsidR="00E31AFC" w:rsidRPr="004C693B" w14:paraId="049CF0B4" w14:textId="77777777" w:rsidTr="00DF0DE0">
        <w:trPr>
          <w:cantSplit/>
        </w:trPr>
        <w:tc>
          <w:tcPr>
            <w:tcW w:w="4828" w:type="dxa"/>
          </w:tcPr>
          <w:p w14:paraId="5CABABE3" w14:textId="4B5F68CB" w:rsidR="00E31AFC" w:rsidRPr="004C693B" w:rsidRDefault="00E31AFC" w:rsidP="00F60640">
            <w:pPr>
              <w:pStyle w:val="COMPara"/>
              <w:rPr>
                <w:rFonts w:asciiTheme="minorBidi" w:hAnsiTheme="minorBidi" w:cstheme="minorBidi"/>
                <w:sz w:val="22"/>
                <w:szCs w:val="22"/>
              </w:rPr>
            </w:pPr>
            <w:r w:rsidRPr="004C693B">
              <w:rPr>
                <w:rFonts w:asciiTheme="minorBidi" w:hAnsiTheme="minorBidi"/>
              </w:rPr>
              <w:t>Manque d</w:t>
            </w:r>
            <w:r w:rsidR="00FB39FB">
              <w:rPr>
                <w:rFonts w:asciiTheme="minorBidi" w:hAnsiTheme="minorBidi"/>
              </w:rPr>
              <w:t>’</w:t>
            </w:r>
            <w:r w:rsidRPr="004C693B">
              <w:rPr>
                <w:rFonts w:asciiTheme="minorBidi" w:hAnsiTheme="minorBidi"/>
              </w:rPr>
              <w:t>attention aux considérations relatives au genre et à la diversité des rôles de genre dans la mise en place et la sauvegarde du patrimoine culturel immatériel</w:t>
            </w:r>
          </w:p>
        </w:tc>
        <w:tc>
          <w:tcPr>
            <w:tcW w:w="4590" w:type="dxa"/>
          </w:tcPr>
          <w:p w14:paraId="40EDFA02" w14:textId="20EBB58A" w:rsidR="00E31AFC" w:rsidRPr="004C693B" w:rsidRDefault="007F1FB2" w:rsidP="00F60640">
            <w:pPr>
              <w:pStyle w:val="COMPara"/>
              <w:jc w:val="both"/>
              <w:rPr>
                <w:rFonts w:asciiTheme="minorBidi" w:hAnsiTheme="minorBidi" w:cstheme="minorBidi"/>
                <w:sz w:val="22"/>
                <w:szCs w:val="22"/>
              </w:rPr>
            </w:pPr>
            <w:hyperlink r:id="rId38" w:history="1">
              <w:r w:rsidR="000823F6" w:rsidRPr="004C693B">
                <w:rPr>
                  <w:rStyle w:val="Hyperlink"/>
                  <w:rFonts w:asciiTheme="minorBidi" w:hAnsiTheme="minorBidi"/>
                </w:rPr>
                <w:t>Décision 8.COM 8</w:t>
              </w:r>
            </w:hyperlink>
            <w:r w:rsidR="000823F6" w:rsidRPr="004C693B">
              <w:rPr>
                <w:rFonts w:asciiTheme="minorBidi" w:hAnsiTheme="minorBidi"/>
                <w:sz w:val="22"/>
                <w:szCs w:val="22"/>
              </w:rPr>
              <w:t xml:space="preserve"> (paragraphe 8)</w:t>
            </w:r>
          </w:p>
        </w:tc>
      </w:tr>
      <w:tr w:rsidR="00E31AFC" w:rsidRPr="004C693B" w14:paraId="60A57924" w14:textId="77777777" w:rsidTr="00DF0DE0">
        <w:trPr>
          <w:cantSplit/>
        </w:trPr>
        <w:tc>
          <w:tcPr>
            <w:tcW w:w="4828" w:type="dxa"/>
          </w:tcPr>
          <w:p w14:paraId="13CAD1EE" w14:textId="264418AD" w:rsidR="00E31AFC" w:rsidRPr="004C693B" w:rsidRDefault="00E31AFC" w:rsidP="00F60640">
            <w:pPr>
              <w:pStyle w:val="COMPara"/>
              <w:rPr>
                <w:rFonts w:asciiTheme="minorBidi" w:hAnsiTheme="minorBidi" w:cstheme="minorBidi"/>
                <w:sz w:val="22"/>
                <w:szCs w:val="22"/>
              </w:rPr>
            </w:pPr>
            <w:r w:rsidRPr="004C693B">
              <w:rPr>
                <w:rFonts w:asciiTheme="minorBidi" w:hAnsiTheme="minorBidi"/>
              </w:rPr>
              <w:t>Impacts néfastes possibles liés à la commercialisation et à l</w:t>
            </w:r>
            <w:r w:rsidR="00FB39FB">
              <w:rPr>
                <w:rFonts w:asciiTheme="minorBidi" w:hAnsiTheme="minorBidi"/>
              </w:rPr>
              <w:t>’</w:t>
            </w:r>
            <w:r w:rsidRPr="004C693B">
              <w:rPr>
                <w:rFonts w:asciiTheme="minorBidi" w:hAnsiTheme="minorBidi"/>
              </w:rPr>
              <w:t>intensification du tourisme</w:t>
            </w:r>
          </w:p>
        </w:tc>
        <w:tc>
          <w:tcPr>
            <w:tcW w:w="4590" w:type="dxa"/>
          </w:tcPr>
          <w:p w14:paraId="66E45533" w14:textId="0DA03498" w:rsidR="00E31AFC" w:rsidRPr="004C693B" w:rsidRDefault="007F1FB2" w:rsidP="00F60640">
            <w:pPr>
              <w:pStyle w:val="COMPara"/>
              <w:jc w:val="both"/>
              <w:rPr>
                <w:rFonts w:asciiTheme="minorBidi" w:hAnsiTheme="minorBidi" w:cstheme="minorBidi"/>
                <w:sz w:val="22"/>
                <w:szCs w:val="22"/>
              </w:rPr>
            </w:pPr>
            <w:hyperlink r:id="rId39" w:history="1">
              <w:r w:rsidR="000823F6" w:rsidRPr="004C693B">
                <w:rPr>
                  <w:rStyle w:val="Hyperlink"/>
                  <w:rFonts w:asciiTheme="minorBidi" w:hAnsiTheme="minorBidi"/>
                </w:rPr>
                <w:t>Décision 12.COM 11</w:t>
              </w:r>
            </w:hyperlink>
            <w:r w:rsidR="000823F6" w:rsidRPr="004C693B">
              <w:rPr>
                <w:rFonts w:asciiTheme="minorBidi" w:hAnsiTheme="minorBidi"/>
                <w:sz w:val="22"/>
                <w:szCs w:val="22"/>
              </w:rPr>
              <w:t xml:space="preserve"> (paragraphe 13)</w:t>
            </w:r>
          </w:p>
        </w:tc>
      </w:tr>
      <w:tr w:rsidR="00E31AFC" w:rsidRPr="004C693B" w14:paraId="6397635F" w14:textId="77777777" w:rsidTr="00DF0DE0">
        <w:trPr>
          <w:cantSplit/>
        </w:trPr>
        <w:tc>
          <w:tcPr>
            <w:tcW w:w="4828" w:type="dxa"/>
          </w:tcPr>
          <w:p w14:paraId="47253E55" w14:textId="1D737207" w:rsidR="00E31AFC" w:rsidRPr="004C693B" w:rsidRDefault="00E31AFC" w:rsidP="00F60640">
            <w:pPr>
              <w:pStyle w:val="COMPara"/>
              <w:rPr>
                <w:rFonts w:asciiTheme="minorBidi" w:hAnsiTheme="minorBidi" w:cstheme="minorBidi"/>
                <w:sz w:val="22"/>
                <w:szCs w:val="22"/>
              </w:rPr>
            </w:pPr>
            <w:r w:rsidRPr="004C693B">
              <w:rPr>
                <w:rFonts w:asciiTheme="minorBidi" w:hAnsiTheme="minorBidi"/>
              </w:rPr>
              <w:t>Risque de décontextualisation potentielle et de mise en danger d</w:t>
            </w:r>
            <w:r w:rsidR="00FB39FB">
              <w:rPr>
                <w:rFonts w:asciiTheme="minorBidi" w:hAnsiTheme="minorBidi"/>
              </w:rPr>
              <w:t>’</w:t>
            </w:r>
            <w:r w:rsidRPr="004C693B">
              <w:rPr>
                <w:rFonts w:asciiTheme="minorBidi" w:hAnsiTheme="minorBidi"/>
              </w:rPr>
              <w:t xml:space="preserve">un élément en raison de la </w:t>
            </w:r>
            <w:r w:rsidR="0003693B" w:rsidRPr="004C693B">
              <w:rPr>
                <w:rFonts w:asciiTheme="minorBidi" w:hAnsiTheme="minorBidi"/>
              </w:rPr>
              <w:t xml:space="preserve">commercialisation excessive </w:t>
            </w:r>
          </w:p>
        </w:tc>
        <w:tc>
          <w:tcPr>
            <w:tcW w:w="4590" w:type="dxa"/>
          </w:tcPr>
          <w:p w14:paraId="5CEF4E30" w14:textId="13D2D4B0" w:rsidR="00E31AFC" w:rsidRPr="004C693B" w:rsidRDefault="007F1FB2" w:rsidP="00AD02F1">
            <w:pPr>
              <w:pStyle w:val="COMPara"/>
              <w:jc w:val="both"/>
              <w:rPr>
                <w:rFonts w:asciiTheme="minorBidi" w:hAnsiTheme="minorBidi" w:cstheme="minorBidi"/>
                <w:sz w:val="22"/>
                <w:szCs w:val="22"/>
              </w:rPr>
            </w:pPr>
            <w:hyperlink r:id="rId40" w:history="1">
              <w:r w:rsidR="000823F6" w:rsidRPr="004C693B">
                <w:rPr>
                  <w:rStyle w:val="Hyperlink"/>
                  <w:rFonts w:asciiTheme="minorBidi" w:hAnsiTheme="minorBidi"/>
                </w:rPr>
                <w:t>Décision 14.COM 10</w:t>
              </w:r>
            </w:hyperlink>
            <w:r w:rsidR="000823F6" w:rsidRPr="004C693B">
              <w:rPr>
                <w:rFonts w:asciiTheme="minorBidi" w:hAnsiTheme="minorBidi"/>
                <w:sz w:val="22"/>
                <w:szCs w:val="22"/>
              </w:rPr>
              <w:t xml:space="preserve"> (paragraphe 13)</w:t>
            </w:r>
          </w:p>
        </w:tc>
      </w:tr>
      <w:tr w:rsidR="00E31AFC" w:rsidRPr="004C693B" w14:paraId="69FF5FA9" w14:textId="77777777" w:rsidTr="00DF0DE0">
        <w:trPr>
          <w:cantSplit/>
        </w:trPr>
        <w:tc>
          <w:tcPr>
            <w:tcW w:w="4828" w:type="dxa"/>
          </w:tcPr>
          <w:p w14:paraId="41CC2ED8" w14:textId="62DF0D8A" w:rsidR="00E31AFC" w:rsidRPr="004C693B" w:rsidRDefault="00E31AFC" w:rsidP="00F60640">
            <w:pPr>
              <w:pStyle w:val="COMPara"/>
              <w:rPr>
                <w:rFonts w:asciiTheme="minorBidi" w:hAnsiTheme="minorBidi" w:cstheme="minorBidi"/>
                <w:sz w:val="22"/>
                <w:szCs w:val="22"/>
              </w:rPr>
            </w:pPr>
            <w:r w:rsidRPr="004C693B">
              <w:rPr>
                <w:rFonts w:asciiTheme="minorBidi" w:hAnsiTheme="minorBidi"/>
              </w:rPr>
              <w:t>Confusion entre les inscriptions sur les listes et l</w:t>
            </w:r>
            <w:r w:rsidR="00FB39FB">
              <w:rPr>
                <w:rFonts w:asciiTheme="minorBidi" w:hAnsiTheme="minorBidi"/>
              </w:rPr>
              <w:t>’</w:t>
            </w:r>
            <w:r w:rsidRPr="004C693B">
              <w:rPr>
                <w:rFonts w:asciiTheme="minorBidi" w:hAnsiTheme="minorBidi"/>
              </w:rPr>
              <w:t>établissement d</w:t>
            </w:r>
            <w:r w:rsidR="00FB39FB">
              <w:rPr>
                <w:rFonts w:asciiTheme="minorBidi" w:hAnsiTheme="minorBidi"/>
              </w:rPr>
              <w:t>’</w:t>
            </w:r>
            <w:r w:rsidRPr="004C693B">
              <w:rPr>
                <w:rFonts w:asciiTheme="minorBidi" w:hAnsiTheme="minorBidi"/>
              </w:rPr>
              <w:t>un système de propriété</w:t>
            </w:r>
          </w:p>
        </w:tc>
        <w:tc>
          <w:tcPr>
            <w:tcW w:w="4590" w:type="dxa"/>
          </w:tcPr>
          <w:p w14:paraId="512DED8F" w14:textId="26473C9F" w:rsidR="00E31AFC" w:rsidRPr="004C693B" w:rsidRDefault="007F1FB2" w:rsidP="00F60640">
            <w:pPr>
              <w:pStyle w:val="COMPara"/>
              <w:jc w:val="both"/>
              <w:rPr>
                <w:rFonts w:asciiTheme="minorBidi" w:hAnsiTheme="minorBidi" w:cstheme="minorBidi"/>
                <w:sz w:val="22"/>
                <w:szCs w:val="22"/>
              </w:rPr>
            </w:pPr>
            <w:hyperlink r:id="rId41" w:history="1">
              <w:r w:rsidR="000823F6" w:rsidRPr="004C693B">
                <w:rPr>
                  <w:rStyle w:val="Hyperlink"/>
                  <w:rFonts w:asciiTheme="minorBidi" w:hAnsiTheme="minorBidi"/>
                </w:rPr>
                <w:t>Décision 12.COM 11</w:t>
              </w:r>
            </w:hyperlink>
            <w:r w:rsidR="000823F6" w:rsidRPr="004C693B">
              <w:rPr>
                <w:rFonts w:asciiTheme="minorBidi" w:hAnsiTheme="minorBidi"/>
                <w:sz w:val="22"/>
                <w:szCs w:val="22"/>
              </w:rPr>
              <w:t xml:space="preserve"> (paragraphe 9)</w:t>
            </w:r>
          </w:p>
        </w:tc>
      </w:tr>
      <w:tr w:rsidR="00A9579A" w:rsidRPr="004C693B" w14:paraId="20D10879" w14:textId="77777777" w:rsidTr="00DF0DE0">
        <w:trPr>
          <w:cantSplit/>
        </w:trPr>
        <w:tc>
          <w:tcPr>
            <w:tcW w:w="4828" w:type="dxa"/>
          </w:tcPr>
          <w:p w14:paraId="0F0B3761" w14:textId="71695F06" w:rsidR="00A9579A" w:rsidRPr="004C693B" w:rsidRDefault="00A9579A" w:rsidP="00F60640">
            <w:pPr>
              <w:pStyle w:val="COMPara"/>
              <w:rPr>
                <w:rFonts w:asciiTheme="minorBidi" w:hAnsiTheme="minorBidi" w:cstheme="minorBidi"/>
              </w:rPr>
            </w:pPr>
            <w:r w:rsidRPr="004C693B">
              <w:rPr>
                <w:rFonts w:asciiTheme="minorBidi" w:hAnsiTheme="minorBidi"/>
              </w:rPr>
              <w:t>Absence de mesures de sauvegarde pour surveiller l</w:t>
            </w:r>
            <w:r w:rsidR="00FB39FB">
              <w:rPr>
                <w:rFonts w:asciiTheme="minorBidi" w:hAnsiTheme="minorBidi"/>
              </w:rPr>
              <w:t>’</w:t>
            </w:r>
            <w:r w:rsidRPr="004C693B">
              <w:rPr>
                <w:rFonts w:asciiTheme="minorBidi" w:hAnsiTheme="minorBidi"/>
              </w:rPr>
              <w:t>impact de l</w:t>
            </w:r>
            <w:r w:rsidR="00FB39FB">
              <w:rPr>
                <w:rFonts w:asciiTheme="minorBidi" w:hAnsiTheme="minorBidi"/>
              </w:rPr>
              <w:t>’</w:t>
            </w:r>
            <w:r w:rsidRPr="004C693B">
              <w:rPr>
                <w:rFonts w:asciiTheme="minorBidi" w:hAnsiTheme="minorBidi"/>
              </w:rPr>
              <w:t>inscription</w:t>
            </w:r>
          </w:p>
        </w:tc>
        <w:tc>
          <w:tcPr>
            <w:tcW w:w="4590" w:type="dxa"/>
          </w:tcPr>
          <w:p w14:paraId="3C584161" w14:textId="0B31E5B5" w:rsidR="00A9579A" w:rsidRPr="004C693B" w:rsidRDefault="007F1FB2" w:rsidP="0008437D">
            <w:pPr>
              <w:pStyle w:val="COMPara"/>
              <w:jc w:val="both"/>
            </w:pPr>
            <w:hyperlink r:id="rId42" w:history="1">
              <w:r w:rsidR="000823F6" w:rsidRPr="004C693B">
                <w:rPr>
                  <w:rStyle w:val="Hyperlink"/>
                </w:rPr>
                <w:t>Décision 11.COM</w:t>
              </w:r>
              <w:r w:rsidR="0008437D" w:rsidRPr="004C693B">
                <w:rPr>
                  <w:rStyle w:val="Hyperlink"/>
                </w:rPr>
                <w:t> </w:t>
              </w:r>
              <w:r w:rsidR="000823F6" w:rsidRPr="004C693B">
                <w:rPr>
                  <w:rStyle w:val="Hyperlink"/>
                </w:rPr>
                <w:t>10</w:t>
              </w:r>
            </w:hyperlink>
            <w:r w:rsidR="000823F6" w:rsidRPr="004C693B">
              <w:rPr>
                <w:sz w:val="22"/>
                <w:szCs w:val="22"/>
              </w:rPr>
              <w:t xml:space="preserve"> (paragraphe 18)</w:t>
            </w:r>
          </w:p>
        </w:tc>
      </w:tr>
      <w:tr w:rsidR="00E31AFC" w:rsidRPr="004C693B" w14:paraId="78CD3C80" w14:textId="77777777" w:rsidTr="00DF0DE0">
        <w:trPr>
          <w:cantSplit/>
        </w:trPr>
        <w:tc>
          <w:tcPr>
            <w:tcW w:w="4828" w:type="dxa"/>
          </w:tcPr>
          <w:p w14:paraId="0505D900" w14:textId="33C68D68" w:rsidR="00E31AFC" w:rsidRPr="004C693B" w:rsidRDefault="00E31AFC" w:rsidP="00F60640">
            <w:pPr>
              <w:pStyle w:val="COMPara"/>
              <w:rPr>
                <w:rFonts w:asciiTheme="minorBidi" w:hAnsiTheme="minorBidi" w:cstheme="minorBidi"/>
                <w:sz w:val="22"/>
                <w:szCs w:val="22"/>
              </w:rPr>
            </w:pPr>
            <w:r w:rsidRPr="004C693B">
              <w:rPr>
                <w:rFonts w:asciiTheme="minorBidi" w:hAnsiTheme="minorBidi"/>
              </w:rPr>
              <w:t>Préoccupations liées à une approche descendante et centralisée dans l</w:t>
            </w:r>
            <w:r w:rsidR="00FB39FB">
              <w:rPr>
                <w:rFonts w:asciiTheme="minorBidi" w:hAnsiTheme="minorBidi"/>
              </w:rPr>
              <w:t>’</w:t>
            </w:r>
            <w:r w:rsidRPr="004C693B">
              <w:rPr>
                <w:rFonts w:asciiTheme="minorBidi" w:hAnsiTheme="minorBidi"/>
              </w:rPr>
              <w:t>élaboration des plans de sauvegarde et la préparation des candidatures</w:t>
            </w:r>
          </w:p>
        </w:tc>
        <w:tc>
          <w:tcPr>
            <w:tcW w:w="4590" w:type="dxa"/>
          </w:tcPr>
          <w:p w14:paraId="4C62791D" w14:textId="5EF767C4" w:rsidR="00E31AFC" w:rsidRPr="004C693B" w:rsidRDefault="007F1FB2" w:rsidP="00F60640">
            <w:pPr>
              <w:pStyle w:val="COMPara"/>
              <w:jc w:val="both"/>
              <w:rPr>
                <w:rFonts w:asciiTheme="minorBidi" w:hAnsiTheme="minorBidi" w:cstheme="minorBidi"/>
                <w:sz w:val="22"/>
                <w:szCs w:val="22"/>
              </w:rPr>
            </w:pPr>
            <w:hyperlink r:id="rId43" w:history="1">
              <w:r w:rsidR="000823F6" w:rsidRPr="004C693B">
                <w:rPr>
                  <w:rStyle w:val="Hyperlink"/>
                  <w:rFonts w:asciiTheme="minorBidi" w:hAnsiTheme="minorBidi"/>
                </w:rPr>
                <w:t>Décision 14.COM</w:t>
              </w:r>
              <w:r w:rsidR="0008437D" w:rsidRPr="004C693B">
                <w:rPr>
                  <w:rStyle w:val="Hyperlink"/>
                  <w:rFonts w:asciiTheme="minorBidi" w:hAnsiTheme="minorBidi"/>
                </w:rPr>
                <w:t> </w:t>
              </w:r>
              <w:r w:rsidR="000823F6" w:rsidRPr="004C693B">
                <w:rPr>
                  <w:rStyle w:val="Hyperlink"/>
                  <w:rFonts w:asciiTheme="minorBidi" w:hAnsiTheme="minorBidi"/>
                </w:rPr>
                <w:t>10</w:t>
              </w:r>
            </w:hyperlink>
            <w:r w:rsidR="000823F6" w:rsidRPr="004C693B">
              <w:rPr>
                <w:rFonts w:asciiTheme="minorBidi" w:hAnsiTheme="minorBidi"/>
                <w:sz w:val="22"/>
                <w:szCs w:val="22"/>
              </w:rPr>
              <w:t xml:space="preserve"> (paragraphe 15)</w:t>
            </w:r>
          </w:p>
        </w:tc>
      </w:tr>
      <w:tr w:rsidR="00E31AFC" w:rsidRPr="004C693B" w14:paraId="33D93200" w14:textId="77777777" w:rsidTr="00DF0DE0">
        <w:tc>
          <w:tcPr>
            <w:tcW w:w="4828" w:type="dxa"/>
          </w:tcPr>
          <w:p w14:paraId="7496FB13" w14:textId="632B99C8" w:rsidR="00E31AFC" w:rsidRPr="004C693B" w:rsidRDefault="00E31AFC" w:rsidP="00F60640">
            <w:pPr>
              <w:pStyle w:val="COMPara"/>
              <w:rPr>
                <w:rFonts w:asciiTheme="minorBidi" w:hAnsiTheme="minorBidi" w:cstheme="minorBidi"/>
                <w:sz w:val="22"/>
                <w:szCs w:val="22"/>
              </w:rPr>
            </w:pPr>
            <w:r w:rsidRPr="004C693B">
              <w:rPr>
                <w:rFonts w:asciiTheme="minorBidi" w:hAnsiTheme="minorBidi"/>
              </w:rPr>
              <w:t xml:space="preserve">Importance de supports audiovisuels pour démontrer le consentement des communautés et </w:t>
            </w:r>
            <w:r w:rsidRPr="004C693B">
              <w:rPr>
                <w:rFonts w:asciiTheme="minorBidi" w:hAnsiTheme="minorBidi"/>
              </w:rPr>
              <w:lastRenderedPageBreak/>
              <w:t>illustrer les valeurs socio-culturelles d</w:t>
            </w:r>
            <w:r w:rsidR="00FB39FB">
              <w:rPr>
                <w:rFonts w:asciiTheme="minorBidi" w:hAnsiTheme="minorBidi"/>
              </w:rPr>
              <w:t>’</w:t>
            </w:r>
            <w:r w:rsidRPr="004C693B">
              <w:rPr>
                <w:rFonts w:asciiTheme="minorBidi" w:hAnsiTheme="minorBidi"/>
              </w:rPr>
              <w:t>un élément sans contredire le reste du dossier</w:t>
            </w:r>
          </w:p>
        </w:tc>
        <w:tc>
          <w:tcPr>
            <w:tcW w:w="4590" w:type="dxa"/>
          </w:tcPr>
          <w:p w14:paraId="5F2AFC6A" w14:textId="4FAA1A35" w:rsidR="00E31AFC" w:rsidRPr="004C693B" w:rsidRDefault="007F1FB2" w:rsidP="00F60640">
            <w:pPr>
              <w:pStyle w:val="COMPara"/>
              <w:rPr>
                <w:rFonts w:asciiTheme="minorBidi" w:hAnsiTheme="minorBidi" w:cstheme="minorBidi"/>
                <w:sz w:val="22"/>
                <w:szCs w:val="22"/>
              </w:rPr>
            </w:pPr>
            <w:hyperlink r:id="rId44" w:history="1">
              <w:r w:rsidR="000823F6" w:rsidRPr="004C693B">
                <w:rPr>
                  <w:rStyle w:val="Hyperlink"/>
                  <w:rFonts w:asciiTheme="minorBidi" w:hAnsiTheme="minorBidi"/>
                </w:rPr>
                <w:t>Décision 8.COM</w:t>
              </w:r>
              <w:r w:rsidR="0008437D" w:rsidRPr="004C693B">
                <w:rPr>
                  <w:rStyle w:val="Hyperlink"/>
                  <w:rFonts w:asciiTheme="minorBidi" w:hAnsiTheme="minorBidi"/>
                </w:rPr>
                <w:t> </w:t>
              </w:r>
              <w:r w:rsidR="000823F6" w:rsidRPr="004C693B">
                <w:rPr>
                  <w:rStyle w:val="Hyperlink"/>
                  <w:rFonts w:asciiTheme="minorBidi" w:hAnsiTheme="minorBidi"/>
                </w:rPr>
                <w:t>8</w:t>
              </w:r>
            </w:hyperlink>
            <w:r w:rsidR="000823F6" w:rsidRPr="004C693B">
              <w:rPr>
                <w:rFonts w:asciiTheme="minorBidi" w:hAnsiTheme="minorBidi"/>
                <w:sz w:val="22"/>
                <w:szCs w:val="22"/>
              </w:rPr>
              <w:t xml:space="preserve"> (paragraphe 16)</w:t>
            </w:r>
          </w:p>
          <w:p w14:paraId="0F2259BC" w14:textId="2881D33B" w:rsidR="00E31AFC" w:rsidRPr="004C693B" w:rsidRDefault="007F1FB2" w:rsidP="00F60640">
            <w:pPr>
              <w:pStyle w:val="COMPara"/>
              <w:rPr>
                <w:rFonts w:asciiTheme="minorBidi" w:hAnsiTheme="minorBidi" w:cstheme="minorBidi"/>
                <w:sz w:val="22"/>
                <w:szCs w:val="22"/>
              </w:rPr>
            </w:pPr>
            <w:hyperlink r:id="rId45" w:history="1">
              <w:r w:rsidR="000823F6" w:rsidRPr="004C693B">
                <w:rPr>
                  <w:rStyle w:val="Hyperlink"/>
                  <w:rFonts w:asciiTheme="minorBidi" w:hAnsiTheme="minorBidi"/>
                </w:rPr>
                <w:t>Document ITH/17/12.COM/11</w:t>
              </w:r>
            </w:hyperlink>
            <w:r w:rsidR="000823F6" w:rsidRPr="004C693B">
              <w:rPr>
                <w:rFonts w:asciiTheme="minorBidi" w:hAnsiTheme="minorBidi"/>
                <w:sz w:val="22"/>
                <w:szCs w:val="22"/>
              </w:rPr>
              <w:t xml:space="preserve"> (paragraphe 26)</w:t>
            </w:r>
          </w:p>
        </w:tc>
      </w:tr>
      <w:tr w:rsidR="00E31AFC" w:rsidRPr="004C693B" w14:paraId="57D05BF7" w14:textId="77777777" w:rsidTr="00DF0DE0">
        <w:tc>
          <w:tcPr>
            <w:tcW w:w="4828" w:type="dxa"/>
          </w:tcPr>
          <w:p w14:paraId="2E600663" w14:textId="1AB7870B" w:rsidR="00E31AFC" w:rsidRPr="004C693B" w:rsidRDefault="00E31AFC" w:rsidP="00F60640">
            <w:pPr>
              <w:pStyle w:val="COMPara"/>
              <w:rPr>
                <w:rFonts w:asciiTheme="minorBidi" w:hAnsiTheme="minorBidi" w:cstheme="minorBidi"/>
                <w:sz w:val="22"/>
                <w:szCs w:val="22"/>
              </w:rPr>
            </w:pPr>
            <w:r w:rsidRPr="004C693B">
              <w:rPr>
                <w:rFonts w:asciiTheme="minorBidi" w:hAnsiTheme="minorBidi"/>
              </w:rPr>
              <w:t xml:space="preserve">Confusion entre les différents buts et critères de la Convention de 2003 et les autres programmes et </w:t>
            </w:r>
            <w:r w:rsidR="00AD02F1" w:rsidRPr="004C693B">
              <w:rPr>
                <w:rFonts w:asciiTheme="minorBidi" w:hAnsiTheme="minorBidi"/>
              </w:rPr>
              <w:t>C</w:t>
            </w:r>
            <w:r w:rsidRPr="004C693B">
              <w:rPr>
                <w:rFonts w:asciiTheme="minorBidi" w:hAnsiTheme="minorBidi"/>
              </w:rPr>
              <w:t>onventions de l</w:t>
            </w:r>
            <w:r w:rsidR="00FB39FB">
              <w:rPr>
                <w:rFonts w:asciiTheme="minorBidi" w:hAnsiTheme="minorBidi"/>
              </w:rPr>
              <w:t>’</w:t>
            </w:r>
            <w:r w:rsidRPr="004C693B">
              <w:rPr>
                <w:rFonts w:asciiTheme="minorBidi" w:hAnsiTheme="minorBidi"/>
              </w:rPr>
              <w:t>UNESCO</w:t>
            </w:r>
          </w:p>
        </w:tc>
        <w:tc>
          <w:tcPr>
            <w:tcW w:w="4590" w:type="dxa"/>
          </w:tcPr>
          <w:p w14:paraId="34E1DC62" w14:textId="124C5331" w:rsidR="00E31AFC" w:rsidRPr="004C693B" w:rsidRDefault="007F1FB2" w:rsidP="00F60640">
            <w:pPr>
              <w:pStyle w:val="COMPara"/>
              <w:jc w:val="both"/>
              <w:rPr>
                <w:rFonts w:asciiTheme="minorBidi" w:hAnsiTheme="minorBidi" w:cstheme="minorBidi"/>
                <w:sz w:val="22"/>
                <w:szCs w:val="22"/>
              </w:rPr>
            </w:pPr>
            <w:hyperlink r:id="rId46" w:history="1">
              <w:r w:rsidR="000823F6" w:rsidRPr="004C693B">
                <w:rPr>
                  <w:rStyle w:val="Hyperlink"/>
                  <w:rFonts w:asciiTheme="minorBidi" w:hAnsiTheme="minorBidi"/>
                </w:rPr>
                <w:t>Décision 13.COM</w:t>
              </w:r>
              <w:r w:rsidR="0008437D" w:rsidRPr="004C693B">
                <w:rPr>
                  <w:rStyle w:val="Hyperlink"/>
                  <w:rFonts w:asciiTheme="minorBidi" w:hAnsiTheme="minorBidi"/>
                </w:rPr>
                <w:t> </w:t>
              </w:r>
              <w:r w:rsidR="000823F6" w:rsidRPr="004C693B">
                <w:rPr>
                  <w:rStyle w:val="Hyperlink"/>
                  <w:rFonts w:asciiTheme="minorBidi" w:hAnsiTheme="minorBidi"/>
                </w:rPr>
                <w:t>10</w:t>
              </w:r>
            </w:hyperlink>
            <w:r w:rsidR="000823F6" w:rsidRPr="004C693B">
              <w:rPr>
                <w:rFonts w:asciiTheme="minorBidi" w:hAnsiTheme="minorBidi"/>
                <w:sz w:val="22"/>
                <w:szCs w:val="22"/>
              </w:rPr>
              <w:t xml:space="preserve"> (paragraphe 9)</w:t>
            </w:r>
          </w:p>
        </w:tc>
      </w:tr>
      <w:tr w:rsidR="00E31AFC" w:rsidRPr="004C693B" w14:paraId="1FC849F2" w14:textId="77777777" w:rsidTr="00DF0DE0">
        <w:tc>
          <w:tcPr>
            <w:tcW w:w="4828" w:type="dxa"/>
          </w:tcPr>
          <w:p w14:paraId="6F64EDB1" w14:textId="77777777" w:rsidR="00E31AFC" w:rsidRPr="004C693B" w:rsidRDefault="00E31AFC" w:rsidP="00F60640">
            <w:pPr>
              <w:pStyle w:val="COMPara"/>
              <w:rPr>
                <w:rFonts w:asciiTheme="minorBidi" w:hAnsiTheme="minorBidi" w:cstheme="minorBidi"/>
                <w:sz w:val="22"/>
                <w:szCs w:val="22"/>
              </w:rPr>
            </w:pPr>
            <w:r w:rsidRPr="004C693B">
              <w:rPr>
                <w:rFonts w:asciiTheme="minorBidi" w:hAnsiTheme="minorBidi"/>
              </w:rPr>
              <w:t>Incertitudes concernant la représentativité des communautés</w:t>
            </w:r>
          </w:p>
        </w:tc>
        <w:tc>
          <w:tcPr>
            <w:tcW w:w="4590" w:type="dxa"/>
          </w:tcPr>
          <w:p w14:paraId="0DFF8CC6" w14:textId="0D7ACA3B" w:rsidR="00E31AFC" w:rsidRPr="004C693B" w:rsidRDefault="007F1FB2" w:rsidP="0008437D">
            <w:pPr>
              <w:pStyle w:val="COMPara"/>
              <w:jc w:val="both"/>
              <w:rPr>
                <w:rFonts w:asciiTheme="minorBidi" w:hAnsiTheme="minorBidi" w:cstheme="minorBidi"/>
                <w:sz w:val="22"/>
                <w:szCs w:val="22"/>
              </w:rPr>
            </w:pPr>
            <w:hyperlink r:id="rId47" w:history="1">
              <w:r w:rsidR="000823F6" w:rsidRPr="004C693B">
                <w:rPr>
                  <w:rStyle w:val="Hyperlink"/>
                  <w:rFonts w:asciiTheme="minorBidi" w:hAnsiTheme="minorBidi"/>
                </w:rPr>
                <w:t>Décision 13.COM</w:t>
              </w:r>
              <w:r w:rsidR="0008437D" w:rsidRPr="004C693B">
                <w:rPr>
                  <w:rStyle w:val="Hyperlink"/>
                  <w:rFonts w:asciiTheme="minorBidi" w:hAnsiTheme="minorBidi"/>
                </w:rPr>
                <w:t> </w:t>
              </w:r>
              <w:r w:rsidR="000823F6" w:rsidRPr="004C693B">
                <w:rPr>
                  <w:rStyle w:val="Hyperlink"/>
                  <w:rFonts w:asciiTheme="minorBidi" w:hAnsiTheme="minorBidi"/>
                </w:rPr>
                <w:t>10</w:t>
              </w:r>
            </w:hyperlink>
            <w:r w:rsidR="000823F6" w:rsidRPr="004C693B">
              <w:rPr>
                <w:rFonts w:asciiTheme="minorBidi" w:hAnsiTheme="minorBidi"/>
                <w:sz w:val="22"/>
                <w:szCs w:val="22"/>
              </w:rPr>
              <w:t xml:space="preserve"> (paragraphe 12)</w:t>
            </w:r>
          </w:p>
        </w:tc>
      </w:tr>
      <w:tr w:rsidR="00A9579A" w:rsidRPr="004C693B" w14:paraId="7507DCAA" w14:textId="77777777" w:rsidTr="00DF0DE0">
        <w:tc>
          <w:tcPr>
            <w:tcW w:w="4828" w:type="dxa"/>
            <w:shd w:val="clear" w:color="auto" w:fill="FFFFFF" w:themeFill="background1"/>
          </w:tcPr>
          <w:p w14:paraId="68FBCC5C" w14:textId="0DC46E5E" w:rsidR="00A9579A" w:rsidRPr="004C693B" w:rsidRDefault="00A9579A" w:rsidP="00F60640">
            <w:pPr>
              <w:pStyle w:val="COMPara"/>
              <w:rPr>
                <w:rFonts w:asciiTheme="minorBidi" w:hAnsiTheme="minorBidi" w:cstheme="minorBidi"/>
                <w:color w:val="FFFFFF" w:themeColor="background1"/>
              </w:rPr>
            </w:pPr>
            <w:r w:rsidRPr="004C693B">
              <w:rPr>
                <w:rFonts w:asciiTheme="minorBidi" w:hAnsiTheme="minorBidi"/>
              </w:rPr>
              <w:t>Préoccupations concernant la participation des communautés à l</w:t>
            </w:r>
            <w:r w:rsidR="00FB39FB">
              <w:rPr>
                <w:rFonts w:asciiTheme="minorBidi" w:hAnsiTheme="minorBidi"/>
              </w:rPr>
              <w:t>’</w:t>
            </w:r>
            <w:r w:rsidRPr="004C693B">
              <w:rPr>
                <w:rFonts w:asciiTheme="minorBidi" w:hAnsiTheme="minorBidi"/>
              </w:rPr>
              <w:t xml:space="preserve">élaboration et la mise en œuvre de mesures de sauvegarde </w:t>
            </w:r>
          </w:p>
        </w:tc>
        <w:tc>
          <w:tcPr>
            <w:tcW w:w="4590" w:type="dxa"/>
            <w:shd w:val="clear" w:color="auto" w:fill="FFFFFF" w:themeFill="background1"/>
          </w:tcPr>
          <w:p w14:paraId="1EDBE5B4" w14:textId="68ABB4A7" w:rsidR="00A9579A" w:rsidRPr="004C693B" w:rsidRDefault="007F1FB2" w:rsidP="00F60640">
            <w:pPr>
              <w:pStyle w:val="COMPara"/>
              <w:jc w:val="both"/>
            </w:pPr>
            <w:hyperlink r:id="rId48" w:history="1">
              <w:r w:rsidR="000823F6" w:rsidRPr="004C693B">
                <w:rPr>
                  <w:rStyle w:val="Hyperlink"/>
                </w:rPr>
                <w:t>Décision 11.COM</w:t>
              </w:r>
              <w:r w:rsidR="0008437D" w:rsidRPr="004C693B">
                <w:rPr>
                  <w:rStyle w:val="Hyperlink"/>
                </w:rPr>
                <w:t> </w:t>
              </w:r>
              <w:r w:rsidR="000823F6" w:rsidRPr="004C693B">
                <w:rPr>
                  <w:rStyle w:val="Hyperlink"/>
                </w:rPr>
                <w:t>10</w:t>
              </w:r>
            </w:hyperlink>
            <w:r w:rsidR="000823F6" w:rsidRPr="004C693B">
              <w:rPr>
                <w:sz w:val="22"/>
                <w:szCs w:val="22"/>
              </w:rPr>
              <w:t xml:space="preserve"> (paragraphe 19)</w:t>
            </w:r>
          </w:p>
        </w:tc>
      </w:tr>
      <w:tr w:rsidR="00796810" w:rsidRPr="004C693B" w14:paraId="229A0632" w14:textId="77777777" w:rsidTr="00DF0DE0">
        <w:tc>
          <w:tcPr>
            <w:tcW w:w="4828" w:type="dxa"/>
          </w:tcPr>
          <w:p w14:paraId="5EF3E2F8" w14:textId="389614BB" w:rsidR="00796810" w:rsidRPr="004C693B" w:rsidRDefault="00796810" w:rsidP="00F60640">
            <w:pPr>
              <w:pStyle w:val="COMPara"/>
              <w:rPr>
                <w:rFonts w:asciiTheme="minorBidi" w:hAnsiTheme="minorBidi" w:cstheme="minorBidi"/>
              </w:rPr>
            </w:pPr>
            <w:r w:rsidRPr="004C693B">
              <w:rPr>
                <w:rFonts w:asciiTheme="minorBidi" w:hAnsiTheme="minorBidi"/>
              </w:rPr>
              <w:t xml:space="preserve">Participation </w:t>
            </w:r>
            <w:r w:rsidR="00D65711">
              <w:rPr>
                <w:rFonts w:asciiTheme="minorBidi" w:hAnsiTheme="minorBidi"/>
              </w:rPr>
              <w:t>des communautés</w:t>
            </w:r>
            <w:r w:rsidR="00D65711" w:rsidRPr="004C693B">
              <w:rPr>
                <w:rFonts w:asciiTheme="minorBidi" w:hAnsiTheme="minorBidi"/>
              </w:rPr>
              <w:t xml:space="preserve"> </w:t>
            </w:r>
            <w:r w:rsidRPr="004C693B">
              <w:rPr>
                <w:rFonts w:asciiTheme="minorBidi" w:hAnsiTheme="minorBidi"/>
              </w:rPr>
              <w:t>à l</w:t>
            </w:r>
            <w:r w:rsidR="00FB39FB">
              <w:rPr>
                <w:rFonts w:asciiTheme="minorBidi" w:hAnsiTheme="minorBidi"/>
              </w:rPr>
              <w:t>’</w:t>
            </w:r>
            <w:r w:rsidRPr="004C693B">
              <w:rPr>
                <w:rFonts w:asciiTheme="minorBidi" w:hAnsiTheme="minorBidi"/>
              </w:rPr>
              <w:t xml:space="preserve">établissement des </w:t>
            </w:r>
            <w:r w:rsidR="00D65711">
              <w:rPr>
                <w:rFonts w:asciiTheme="minorBidi" w:hAnsiTheme="minorBidi"/>
              </w:rPr>
              <w:t>inventaires</w:t>
            </w:r>
          </w:p>
        </w:tc>
        <w:tc>
          <w:tcPr>
            <w:tcW w:w="4590" w:type="dxa"/>
          </w:tcPr>
          <w:p w14:paraId="4D572101" w14:textId="56C2B64B" w:rsidR="00796810" w:rsidRPr="004C693B" w:rsidRDefault="007F1FB2" w:rsidP="00F60640">
            <w:pPr>
              <w:pStyle w:val="COMPara"/>
              <w:jc w:val="both"/>
            </w:pPr>
            <w:hyperlink r:id="rId49" w:history="1">
              <w:r w:rsidR="000823F6" w:rsidRPr="004C693B">
                <w:rPr>
                  <w:rStyle w:val="Hyperlink"/>
                </w:rPr>
                <w:t>Décision 13.COM</w:t>
              </w:r>
              <w:r w:rsidR="0008437D" w:rsidRPr="004C693B">
                <w:rPr>
                  <w:rStyle w:val="Hyperlink"/>
                </w:rPr>
                <w:t> </w:t>
              </w:r>
              <w:r w:rsidR="000823F6" w:rsidRPr="004C693B">
                <w:rPr>
                  <w:rStyle w:val="Hyperlink"/>
                </w:rPr>
                <w:t>10</w:t>
              </w:r>
            </w:hyperlink>
            <w:r w:rsidR="000823F6" w:rsidRPr="004C693B">
              <w:rPr>
                <w:sz w:val="22"/>
                <w:szCs w:val="22"/>
              </w:rPr>
              <w:t xml:space="preserve"> (paragraphe 12)</w:t>
            </w:r>
          </w:p>
        </w:tc>
      </w:tr>
      <w:tr w:rsidR="00E31AFC" w:rsidRPr="004C693B" w14:paraId="3A0C6BF8" w14:textId="77777777" w:rsidTr="00DF0DE0">
        <w:tc>
          <w:tcPr>
            <w:tcW w:w="4828" w:type="dxa"/>
          </w:tcPr>
          <w:p w14:paraId="61C97D5D" w14:textId="70A61130" w:rsidR="00E31AFC" w:rsidRPr="004C693B" w:rsidRDefault="00E31AFC" w:rsidP="00F60640">
            <w:pPr>
              <w:pStyle w:val="COMPara"/>
              <w:rPr>
                <w:rFonts w:asciiTheme="minorBidi" w:hAnsiTheme="minorBidi" w:cstheme="minorBidi"/>
                <w:sz w:val="22"/>
                <w:szCs w:val="22"/>
              </w:rPr>
            </w:pPr>
            <w:r w:rsidRPr="004C693B">
              <w:rPr>
                <w:rFonts w:asciiTheme="minorBidi" w:hAnsiTheme="minorBidi"/>
              </w:rPr>
              <w:t>Préoccupations concernant l</w:t>
            </w:r>
            <w:r w:rsidR="00FB39FB">
              <w:rPr>
                <w:rFonts w:asciiTheme="minorBidi" w:hAnsiTheme="minorBidi"/>
              </w:rPr>
              <w:t>’</w:t>
            </w:r>
            <w:r w:rsidRPr="004C693B">
              <w:rPr>
                <w:rFonts w:asciiTheme="minorBidi" w:hAnsiTheme="minorBidi"/>
              </w:rPr>
              <w:t>élaboration et la mise à jour des inventaires</w:t>
            </w:r>
          </w:p>
        </w:tc>
        <w:tc>
          <w:tcPr>
            <w:tcW w:w="4590" w:type="dxa"/>
          </w:tcPr>
          <w:p w14:paraId="09DB3853" w14:textId="3081D2C4" w:rsidR="00E31AFC" w:rsidRPr="004C693B" w:rsidRDefault="007F1FB2" w:rsidP="00F60640">
            <w:pPr>
              <w:pStyle w:val="COMPara"/>
              <w:jc w:val="both"/>
              <w:rPr>
                <w:rFonts w:asciiTheme="minorBidi" w:hAnsiTheme="minorBidi" w:cstheme="minorBidi"/>
                <w:sz w:val="22"/>
                <w:szCs w:val="22"/>
              </w:rPr>
            </w:pPr>
            <w:hyperlink r:id="rId50" w:history="1">
              <w:r w:rsidR="000823F6" w:rsidRPr="004C693B">
                <w:rPr>
                  <w:rStyle w:val="Hyperlink"/>
                  <w:rFonts w:asciiTheme="minorBidi" w:hAnsiTheme="minorBidi"/>
                </w:rPr>
                <w:t>Décision 14.COM</w:t>
              </w:r>
              <w:r w:rsidR="0008437D" w:rsidRPr="004C693B">
                <w:rPr>
                  <w:rStyle w:val="Hyperlink"/>
                  <w:rFonts w:asciiTheme="minorBidi" w:hAnsiTheme="minorBidi"/>
                </w:rPr>
                <w:t> </w:t>
              </w:r>
              <w:r w:rsidR="000823F6" w:rsidRPr="004C693B">
                <w:rPr>
                  <w:rStyle w:val="Hyperlink"/>
                  <w:rFonts w:asciiTheme="minorBidi" w:hAnsiTheme="minorBidi"/>
                </w:rPr>
                <w:t>10</w:t>
              </w:r>
            </w:hyperlink>
            <w:r w:rsidR="000823F6" w:rsidRPr="004C693B">
              <w:rPr>
                <w:rFonts w:asciiTheme="minorBidi" w:hAnsiTheme="minorBidi"/>
                <w:sz w:val="22"/>
                <w:szCs w:val="22"/>
              </w:rPr>
              <w:t xml:space="preserve"> (paragraphe 10)</w:t>
            </w:r>
          </w:p>
        </w:tc>
      </w:tr>
    </w:tbl>
    <w:p w14:paraId="7B8A0822" w14:textId="77777777" w:rsidR="00E31AFC" w:rsidRPr="004C693B" w:rsidRDefault="00E31AFC" w:rsidP="00E81059">
      <w:pPr>
        <w:pStyle w:val="COMPara"/>
        <w:keepNext/>
        <w:numPr>
          <w:ilvl w:val="0"/>
          <w:numId w:val="2"/>
        </w:numPr>
        <w:spacing w:before="360"/>
        <w:ind w:left="567" w:hanging="567"/>
        <w:jc w:val="both"/>
        <w:rPr>
          <w:rFonts w:eastAsia="SimSun"/>
          <w:b/>
          <w:snapToGrid/>
        </w:rPr>
      </w:pPr>
      <w:r w:rsidRPr="004C693B">
        <w:rPr>
          <w:b/>
        </w:rPr>
        <w:t>Projet de décision</w:t>
      </w:r>
    </w:p>
    <w:p w14:paraId="7EA1D422" w14:textId="77777777" w:rsidR="00303941" w:rsidRPr="004C693B" w:rsidRDefault="00303941" w:rsidP="00EB2382">
      <w:pPr>
        <w:pStyle w:val="COMPara"/>
        <w:numPr>
          <w:ilvl w:val="0"/>
          <w:numId w:val="12"/>
        </w:numPr>
        <w:ind w:left="567" w:hanging="567"/>
        <w:jc w:val="both"/>
      </w:pPr>
      <w:r w:rsidRPr="004C693B">
        <w:t xml:space="preserve">Le Comité </w:t>
      </w:r>
      <w:r w:rsidRPr="004C693B">
        <w:rPr>
          <w:bCs/>
        </w:rPr>
        <w:t>souhaitera</w:t>
      </w:r>
      <w:r w:rsidRPr="004C693B">
        <w:t xml:space="preserve"> peut-être adopter la décision suivante :</w:t>
      </w:r>
    </w:p>
    <w:p w14:paraId="35868104" w14:textId="708EA604" w:rsidR="00754350" w:rsidRPr="004C693B" w:rsidRDefault="00754350" w:rsidP="00754350">
      <w:pPr>
        <w:pStyle w:val="COMTitleDecision"/>
      </w:pPr>
      <w:r w:rsidRPr="004C693B">
        <w:t>PROJET DE DÉCISION 16.COM 8</w:t>
      </w:r>
    </w:p>
    <w:p w14:paraId="2B83CFAE" w14:textId="7C7DE0B7" w:rsidR="00EB2382" w:rsidRPr="004C693B" w:rsidRDefault="00EB2382" w:rsidP="00EB2382">
      <w:pPr>
        <w:pStyle w:val="COMPreambulaDecisions"/>
      </w:pPr>
      <w:r w:rsidRPr="004C693B">
        <w:t>Le Comité,</w:t>
      </w:r>
    </w:p>
    <w:p w14:paraId="041049C7" w14:textId="238C4AEB" w:rsidR="00754350" w:rsidRPr="004C693B" w:rsidRDefault="00303941" w:rsidP="00463067">
      <w:pPr>
        <w:pStyle w:val="ListParagraph"/>
        <w:numPr>
          <w:ilvl w:val="0"/>
          <w:numId w:val="3"/>
        </w:numPr>
        <w:spacing w:after="120" w:line="240" w:lineRule="auto"/>
        <w:ind w:left="1134" w:hanging="567"/>
        <w:contextualSpacing w:val="0"/>
        <w:jc w:val="both"/>
        <w:rPr>
          <w:rFonts w:ascii="Arial" w:hAnsi="Arial" w:cs="Arial"/>
        </w:rPr>
      </w:pPr>
      <w:r w:rsidRPr="004C693B">
        <w:rPr>
          <w:rFonts w:ascii="Arial" w:hAnsi="Arial"/>
          <w:u w:val="single"/>
        </w:rPr>
        <w:t>Ayant examiné</w:t>
      </w:r>
      <w:r w:rsidR="00754350" w:rsidRPr="004C693B">
        <w:rPr>
          <w:rFonts w:ascii="Arial" w:hAnsi="Arial"/>
        </w:rPr>
        <w:t xml:space="preserve"> </w:t>
      </w:r>
      <w:bookmarkStart w:id="1" w:name="_Hlk55575924"/>
      <w:r w:rsidR="00D65711">
        <w:rPr>
          <w:rFonts w:ascii="Arial" w:hAnsi="Arial"/>
        </w:rPr>
        <w:t xml:space="preserve">les documents </w:t>
      </w:r>
      <w:r w:rsidR="00754350" w:rsidRPr="004C693B">
        <w:rPr>
          <w:rFonts w:ascii="Arial" w:hAnsi="Arial"/>
        </w:rPr>
        <w:t xml:space="preserve">LHE/21/16.COM/8, </w:t>
      </w:r>
      <w:hyperlink r:id="rId51" w:history="1">
        <w:r w:rsidR="00754350" w:rsidRPr="004C693B">
          <w:rPr>
            <w:rStyle w:val="Hyperlink"/>
            <w:rFonts w:ascii="Arial" w:hAnsi="Arial"/>
          </w:rPr>
          <w:t>LHE/21/16.COM/8.a</w:t>
        </w:r>
      </w:hyperlink>
      <w:r w:rsidR="00754350" w:rsidRPr="004C693B">
        <w:rPr>
          <w:rFonts w:ascii="Arial" w:hAnsi="Arial"/>
        </w:rPr>
        <w:t xml:space="preserve">, </w:t>
      </w:r>
      <w:hyperlink r:id="rId52" w:history="1">
        <w:r w:rsidR="00754350" w:rsidRPr="004C693B">
          <w:rPr>
            <w:rStyle w:val="Hyperlink"/>
            <w:rFonts w:ascii="Arial" w:hAnsi="Arial"/>
          </w:rPr>
          <w:t>LHE/21/16.COM/8.b</w:t>
        </w:r>
      </w:hyperlink>
      <w:r w:rsidR="00754350" w:rsidRPr="004C693B">
        <w:rPr>
          <w:rFonts w:ascii="Arial" w:hAnsi="Arial"/>
        </w:rPr>
        <w:t xml:space="preserve">, </w:t>
      </w:r>
      <w:hyperlink r:id="rId53" w:history="1">
        <w:r w:rsidR="00754350" w:rsidRPr="004C693B">
          <w:rPr>
            <w:rStyle w:val="Hyperlink"/>
            <w:rFonts w:ascii="Arial" w:hAnsi="Arial"/>
          </w:rPr>
          <w:t>LHE/21/16.COM/8.c</w:t>
        </w:r>
      </w:hyperlink>
      <w:r w:rsidR="00754350" w:rsidRPr="004C693B">
        <w:rPr>
          <w:rFonts w:ascii="Arial" w:hAnsi="Arial"/>
        </w:rPr>
        <w:t xml:space="preserve"> et </w:t>
      </w:r>
      <w:bookmarkEnd w:id="1"/>
      <w:r w:rsidR="0008437D" w:rsidRPr="00B1188E">
        <w:rPr>
          <w:rFonts w:ascii="Arial" w:hAnsi="Arial"/>
        </w:rPr>
        <w:fldChar w:fldCharType="begin"/>
      </w:r>
      <w:r w:rsidR="0008437D" w:rsidRPr="004C693B">
        <w:rPr>
          <w:rFonts w:ascii="Arial" w:hAnsi="Arial"/>
        </w:rPr>
        <w:instrText xml:space="preserve"> HYPERLINK "https://ich.unesco.org/doc/src/LHE-21-16.COM-8.d-FR.docx" </w:instrText>
      </w:r>
      <w:r w:rsidR="0008437D" w:rsidRPr="00B1188E">
        <w:rPr>
          <w:rFonts w:ascii="Arial" w:hAnsi="Arial"/>
        </w:rPr>
        <w:fldChar w:fldCharType="separate"/>
      </w:r>
      <w:r w:rsidR="00754350" w:rsidRPr="004C693B">
        <w:rPr>
          <w:rStyle w:val="Hyperlink"/>
          <w:rFonts w:ascii="Arial" w:hAnsi="Arial"/>
        </w:rPr>
        <w:t>LHE/21/16.COM/8.d</w:t>
      </w:r>
      <w:r w:rsidR="0008437D" w:rsidRPr="00B1188E">
        <w:rPr>
          <w:rFonts w:ascii="Arial" w:hAnsi="Arial"/>
        </w:rPr>
        <w:fldChar w:fldCharType="end"/>
      </w:r>
      <w:r w:rsidR="00754350" w:rsidRPr="004C693B">
        <w:rPr>
          <w:rFonts w:ascii="Arial" w:hAnsi="Arial"/>
        </w:rPr>
        <w:t xml:space="preserve">, ainsi que les dossiers </w:t>
      </w:r>
      <w:r w:rsidR="00D65711">
        <w:rPr>
          <w:rFonts w:ascii="Arial" w:hAnsi="Arial"/>
        </w:rPr>
        <w:t>soumis</w:t>
      </w:r>
      <w:r w:rsidR="00D65711" w:rsidRPr="004C693B">
        <w:rPr>
          <w:rFonts w:ascii="Arial" w:hAnsi="Arial"/>
        </w:rPr>
        <w:t xml:space="preserve"> </w:t>
      </w:r>
      <w:r w:rsidR="00754350" w:rsidRPr="004C693B">
        <w:rPr>
          <w:rFonts w:ascii="Arial" w:hAnsi="Arial"/>
        </w:rPr>
        <w:t xml:space="preserve">par les États parties </w:t>
      </w:r>
      <w:r w:rsidR="00754350" w:rsidRPr="004C693B">
        <w:rPr>
          <w:rFonts w:asciiTheme="minorBidi" w:hAnsiTheme="minorBidi"/>
        </w:rPr>
        <w:t>respectifs</w:t>
      </w:r>
      <w:r w:rsidR="00754350" w:rsidRPr="004C693B">
        <w:rPr>
          <w:rFonts w:ascii="Arial" w:hAnsi="Arial"/>
        </w:rPr>
        <w:t>,</w:t>
      </w:r>
    </w:p>
    <w:p w14:paraId="7FEB0A2A" w14:textId="4F383788" w:rsidR="00754350" w:rsidRPr="004C693B" w:rsidRDefault="00754350" w:rsidP="00463067">
      <w:pPr>
        <w:pStyle w:val="ListParagraph"/>
        <w:numPr>
          <w:ilvl w:val="0"/>
          <w:numId w:val="3"/>
        </w:numPr>
        <w:spacing w:after="120" w:line="240" w:lineRule="auto"/>
        <w:ind w:left="1134" w:hanging="567"/>
        <w:contextualSpacing w:val="0"/>
        <w:jc w:val="both"/>
        <w:rPr>
          <w:rFonts w:ascii="Arial" w:hAnsi="Arial" w:cs="Arial"/>
        </w:rPr>
      </w:pPr>
      <w:r w:rsidRPr="004C693B">
        <w:rPr>
          <w:rFonts w:ascii="Arial" w:hAnsi="Arial"/>
          <w:u w:val="single"/>
        </w:rPr>
        <w:t xml:space="preserve">Rappelant </w:t>
      </w:r>
      <w:r w:rsidRPr="004C693B">
        <w:rPr>
          <w:rFonts w:ascii="Arial" w:hAnsi="Arial"/>
        </w:rPr>
        <w:t xml:space="preserve">le </w:t>
      </w:r>
      <w:r w:rsidR="00D65711">
        <w:rPr>
          <w:rFonts w:ascii="Arial" w:hAnsi="Arial"/>
        </w:rPr>
        <w:t>c</w:t>
      </w:r>
      <w:r w:rsidR="00D65711" w:rsidRPr="004C693B">
        <w:rPr>
          <w:rFonts w:ascii="Arial" w:hAnsi="Arial"/>
        </w:rPr>
        <w:t>hapitre </w:t>
      </w:r>
      <w:r w:rsidRPr="004C693B">
        <w:rPr>
          <w:rFonts w:ascii="Arial" w:hAnsi="Arial"/>
        </w:rPr>
        <w:t xml:space="preserve">I des </w:t>
      </w:r>
      <w:r w:rsidR="00D65711">
        <w:rPr>
          <w:rFonts w:ascii="Arial" w:hAnsi="Arial"/>
        </w:rPr>
        <w:t>d</w:t>
      </w:r>
      <w:r w:rsidR="00D65711" w:rsidRPr="004C693B">
        <w:rPr>
          <w:rFonts w:ascii="Arial" w:hAnsi="Arial"/>
        </w:rPr>
        <w:t xml:space="preserve">irectives </w:t>
      </w:r>
      <w:r w:rsidRPr="004C693B">
        <w:rPr>
          <w:rFonts w:ascii="Arial" w:hAnsi="Arial"/>
        </w:rPr>
        <w:t>opérationnelles,</w:t>
      </w:r>
    </w:p>
    <w:p w14:paraId="76F1FA45" w14:textId="1CAF04B6" w:rsidR="00754350" w:rsidRPr="004C693B" w:rsidRDefault="00754350" w:rsidP="00463067">
      <w:pPr>
        <w:pStyle w:val="ListParagraph"/>
        <w:numPr>
          <w:ilvl w:val="0"/>
          <w:numId w:val="3"/>
        </w:numPr>
        <w:spacing w:after="120" w:line="240" w:lineRule="auto"/>
        <w:ind w:left="1134" w:hanging="567"/>
        <w:contextualSpacing w:val="0"/>
        <w:jc w:val="both"/>
        <w:rPr>
          <w:rFonts w:ascii="Arial" w:hAnsi="Arial" w:cs="Arial"/>
        </w:rPr>
      </w:pPr>
      <w:r w:rsidRPr="004C693B">
        <w:rPr>
          <w:rFonts w:ascii="Arial" w:hAnsi="Arial"/>
          <w:u w:val="single"/>
        </w:rPr>
        <w:t>Apprécie</w:t>
      </w:r>
      <w:r w:rsidRPr="004C693B">
        <w:rPr>
          <w:rFonts w:ascii="Arial" w:hAnsi="Arial"/>
        </w:rPr>
        <w:t xml:space="preserve"> les mesures adoptées par l</w:t>
      </w:r>
      <w:r w:rsidR="00FB39FB">
        <w:rPr>
          <w:rFonts w:ascii="Arial" w:hAnsi="Arial"/>
        </w:rPr>
        <w:t>’</w:t>
      </w:r>
      <w:r w:rsidRPr="004C693B">
        <w:rPr>
          <w:rFonts w:ascii="Arial" w:hAnsi="Arial"/>
        </w:rPr>
        <w:t>Organe d</w:t>
      </w:r>
      <w:r w:rsidR="00FB39FB">
        <w:rPr>
          <w:rFonts w:ascii="Arial" w:hAnsi="Arial"/>
        </w:rPr>
        <w:t>’</w:t>
      </w:r>
      <w:r w:rsidRPr="004C693B">
        <w:rPr>
          <w:rFonts w:ascii="Arial" w:hAnsi="Arial"/>
        </w:rPr>
        <w:t>évaluation et le Secrétariat en vue d</w:t>
      </w:r>
      <w:r w:rsidR="00FB39FB">
        <w:rPr>
          <w:rFonts w:ascii="Arial" w:hAnsi="Arial"/>
        </w:rPr>
        <w:t>’</w:t>
      </w:r>
      <w:r w:rsidRPr="004C693B">
        <w:rPr>
          <w:rFonts w:ascii="Arial" w:hAnsi="Arial"/>
        </w:rPr>
        <w:t>adapter leur méthodologie de travail aux défis continus qui découlent de la tenue des réunions en ligne de l</w:t>
      </w:r>
      <w:r w:rsidR="00FB39FB">
        <w:rPr>
          <w:rFonts w:ascii="Arial" w:hAnsi="Arial"/>
        </w:rPr>
        <w:t>’</w:t>
      </w:r>
      <w:r w:rsidRPr="004C693B">
        <w:rPr>
          <w:rFonts w:ascii="Arial" w:hAnsi="Arial"/>
        </w:rPr>
        <w:t>Organe d</w:t>
      </w:r>
      <w:r w:rsidR="00FB39FB">
        <w:rPr>
          <w:rFonts w:ascii="Arial" w:hAnsi="Arial"/>
        </w:rPr>
        <w:t>’</w:t>
      </w:r>
      <w:r w:rsidRPr="004C693B">
        <w:rPr>
          <w:rFonts w:ascii="Arial" w:hAnsi="Arial"/>
        </w:rPr>
        <w:t>évaluation pour cause de pandémie de COVID-19, et continuer ainsi d</w:t>
      </w:r>
      <w:r w:rsidR="00FB39FB">
        <w:rPr>
          <w:rFonts w:ascii="Arial" w:hAnsi="Arial"/>
        </w:rPr>
        <w:t>’</w:t>
      </w:r>
      <w:r w:rsidRPr="004C693B">
        <w:rPr>
          <w:rFonts w:ascii="Arial" w:hAnsi="Arial"/>
        </w:rPr>
        <w:t xml:space="preserve">assurer un travail de </w:t>
      </w:r>
      <w:r w:rsidR="00D65711">
        <w:rPr>
          <w:rFonts w:ascii="Arial" w:hAnsi="Arial"/>
        </w:rPr>
        <w:t>grande</w:t>
      </w:r>
      <w:r w:rsidRPr="004C693B">
        <w:rPr>
          <w:rFonts w:ascii="Arial" w:hAnsi="Arial"/>
        </w:rPr>
        <w:t xml:space="preserve"> qualité ;</w:t>
      </w:r>
    </w:p>
    <w:p w14:paraId="3C1B2393" w14:textId="2EDAC65A" w:rsidR="00754350" w:rsidRPr="004C693B" w:rsidRDefault="00754350" w:rsidP="00463067">
      <w:pPr>
        <w:pStyle w:val="ListParagraph"/>
        <w:numPr>
          <w:ilvl w:val="0"/>
          <w:numId w:val="3"/>
        </w:numPr>
        <w:spacing w:after="120" w:line="240" w:lineRule="auto"/>
        <w:ind w:left="1134" w:hanging="567"/>
        <w:contextualSpacing w:val="0"/>
        <w:jc w:val="both"/>
        <w:rPr>
          <w:rFonts w:ascii="Arial" w:hAnsi="Arial" w:cs="Arial"/>
        </w:rPr>
      </w:pPr>
      <w:r w:rsidRPr="004C693B">
        <w:rPr>
          <w:rFonts w:ascii="Arial" w:hAnsi="Arial"/>
          <w:u w:val="single"/>
        </w:rPr>
        <w:t>Exprime sa satisfaction</w:t>
      </w:r>
      <w:r w:rsidRPr="004C693B">
        <w:rPr>
          <w:rFonts w:ascii="Arial" w:hAnsi="Arial"/>
        </w:rPr>
        <w:t xml:space="preserve"> à l</w:t>
      </w:r>
      <w:r w:rsidR="00FB39FB">
        <w:rPr>
          <w:rFonts w:ascii="Arial" w:hAnsi="Arial"/>
        </w:rPr>
        <w:t>’</w:t>
      </w:r>
      <w:r w:rsidRPr="004C693B">
        <w:rPr>
          <w:rFonts w:ascii="Arial" w:hAnsi="Arial"/>
        </w:rPr>
        <w:t>égard des efforts déployés par l</w:t>
      </w:r>
      <w:r w:rsidR="00FB39FB">
        <w:rPr>
          <w:rFonts w:ascii="Arial" w:hAnsi="Arial"/>
        </w:rPr>
        <w:t>’</w:t>
      </w:r>
      <w:r w:rsidRPr="004C693B">
        <w:rPr>
          <w:rFonts w:ascii="Arial" w:hAnsi="Arial"/>
        </w:rPr>
        <w:t>Organe d</w:t>
      </w:r>
      <w:r w:rsidR="00FB39FB">
        <w:rPr>
          <w:rFonts w:ascii="Arial" w:hAnsi="Arial"/>
        </w:rPr>
        <w:t>’</w:t>
      </w:r>
      <w:r w:rsidRPr="004C693B">
        <w:rPr>
          <w:rFonts w:ascii="Arial" w:hAnsi="Arial"/>
        </w:rPr>
        <w:t xml:space="preserve">évaluation en vue de traiter un nombre de dossiers en hausse durant le cycle 2021, et </w:t>
      </w:r>
      <w:r w:rsidRPr="004C693B">
        <w:rPr>
          <w:rFonts w:ascii="Arial" w:hAnsi="Arial"/>
          <w:u w:val="single"/>
        </w:rPr>
        <w:t>convient</w:t>
      </w:r>
      <w:r w:rsidRPr="004C693B">
        <w:rPr>
          <w:rFonts w:ascii="Arial" w:hAnsi="Arial"/>
        </w:rPr>
        <w:t xml:space="preserve"> que l</w:t>
      </w:r>
      <w:r w:rsidR="00FB39FB">
        <w:rPr>
          <w:rFonts w:ascii="Arial" w:hAnsi="Arial"/>
        </w:rPr>
        <w:t>’</w:t>
      </w:r>
      <w:r w:rsidRPr="004C693B">
        <w:rPr>
          <w:rFonts w:ascii="Arial" w:hAnsi="Arial"/>
        </w:rPr>
        <w:t>augmentation au-delà de ce nombre de soixante dossiers à évaluer ne saurait garantir une même qualité d</w:t>
      </w:r>
      <w:r w:rsidR="00FB39FB">
        <w:rPr>
          <w:rFonts w:ascii="Arial" w:hAnsi="Arial"/>
        </w:rPr>
        <w:t>’</w:t>
      </w:r>
      <w:r w:rsidRPr="004C693B">
        <w:rPr>
          <w:rFonts w:ascii="Arial" w:hAnsi="Arial"/>
        </w:rPr>
        <w:t>évaluation ;</w:t>
      </w:r>
    </w:p>
    <w:p w14:paraId="783097A4" w14:textId="654C178C" w:rsidR="00754350" w:rsidRPr="004C693B" w:rsidRDefault="00754350" w:rsidP="00463067">
      <w:pPr>
        <w:pStyle w:val="ListParagraph"/>
        <w:numPr>
          <w:ilvl w:val="0"/>
          <w:numId w:val="3"/>
        </w:numPr>
        <w:spacing w:after="120" w:line="240" w:lineRule="auto"/>
        <w:ind w:left="1134" w:hanging="567"/>
        <w:contextualSpacing w:val="0"/>
        <w:jc w:val="both"/>
        <w:rPr>
          <w:rFonts w:ascii="Arial" w:hAnsi="Arial" w:cs="Arial"/>
        </w:rPr>
      </w:pPr>
      <w:r w:rsidRPr="004C693B">
        <w:rPr>
          <w:rFonts w:ascii="Arial" w:hAnsi="Arial"/>
          <w:u w:val="single"/>
        </w:rPr>
        <w:t>Prend note</w:t>
      </w:r>
      <w:r w:rsidRPr="004C693B">
        <w:rPr>
          <w:rFonts w:ascii="Arial" w:hAnsi="Arial"/>
        </w:rPr>
        <w:t xml:space="preserve"> des observations et recommandations formulées par l</w:t>
      </w:r>
      <w:r w:rsidR="00FB39FB">
        <w:rPr>
          <w:rFonts w:ascii="Arial" w:hAnsi="Arial"/>
        </w:rPr>
        <w:t>’</w:t>
      </w:r>
      <w:r w:rsidRPr="004C693B">
        <w:rPr>
          <w:rFonts w:ascii="Arial" w:hAnsi="Arial"/>
        </w:rPr>
        <w:t>Organe d</w:t>
      </w:r>
      <w:r w:rsidR="00FB39FB">
        <w:rPr>
          <w:rFonts w:ascii="Arial" w:hAnsi="Arial"/>
        </w:rPr>
        <w:t>’</w:t>
      </w:r>
      <w:r w:rsidRPr="004C693B">
        <w:rPr>
          <w:rFonts w:ascii="Arial" w:hAnsi="Arial"/>
        </w:rPr>
        <w:t xml:space="preserve">évaluation concernant le cycle 2021, et </w:t>
      </w:r>
      <w:r w:rsidRPr="004C693B">
        <w:rPr>
          <w:rFonts w:ascii="Arial" w:hAnsi="Arial"/>
          <w:u w:val="single"/>
        </w:rPr>
        <w:t>reconnaît</w:t>
      </w:r>
      <w:r w:rsidRPr="004C693B">
        <w:rPr>
          <w:rFonts w:ascii="Arial" w:hAnsi="Arial"/>
        </w:rPr>
        <w:t xml:space="preserve"> que de nombreuses questions soulevées lors de décisions antérieures continuent de prévaloir durant le cycle 2021, comme résumé dans les paragraphes 76 et 77 du document </w:t>
      </w:r>
      <w:hyperlink r:id="rId54" w:history="1">
        <w:r w:rsidRPr="004C693B">
          <w:rPr>
            <w:rFonts w:ascii="Arial" w:hAnsi="Arial"/>
          </w:rPr>
          <w:t>LHE/21/16.COM/8</w:t>
        </w:r>
      </w:hyperlink>
      <w:r w:rsidRPr="004C693B">
        <w:t> </w:t>
      </w:r>
      <w:r w:rsidRPr="004C693B">
        <w:rPr>
          <w:rFonts w:ascii="Arial" w:hAnsi="Arial"/>
        </w:rPr>
        <w:t>;</w:t>
      </w:r>
    </w:p>
    <w:p w14:paraId="7B36553A" w14:textId="38D94979" w:rsidR="00754350" w:rsidRPr="004C693B" w:rsidRDefault="00754350" w:rsidP="00463067">
      <w:pPr>
        <w:pStyle w:val="ListParagraph"/>
        <w:numPr>
          <w:ilvl w:val="0"/>
          <w:numId w:val="3"/>
        </w:numPr>
        <w:spacing w:after="120" w:line="240" w:lineRule="auto"/>
        <w:ind w:left="1134" w:hanging="567"/>
        <w:contextualSpacing w:val="0"/>
        <w:jc w:val="both"/>
        <w:rPr>
          <w:rFonts w:ascii="Arial" w:hAnsi="Arial" w:cs="Arial"/>
        </w:rPr>
      </w:pPr>
      <w:r w:rsidRPr="004C693B">
        <w:rPr>
          <w:rFonts w:ascii="Arial" w:hAnsi="Arial"/>
          <w:u w:val="single"/>
        </w:rPr>
        <w:t>Prend note</w:t>
      </w:r>
      <w:r w:rsidR="00303941" w:rsidRPr="004C693B">
        <w:rPr>
          <w:rFonts w:ascii="Arial" w:hAnsi="Arial"/>
          <w:u w:val="single"/>
        </w:rPr>
        <w:t xml:space="preserve"> en outre</w:t>
      </w:r>
      <w:r w:rsidRPr="004C693B">
        <w:rPr>
          <w:rFonts w:ascii="Arial" w:hAnsi="Arial"/>
          <w:u w:val="single"/>
        </w:rPr>
        <w:t>,</w:t>
      </w:r>
      <w:r w:rsidRPr="004C693B">
        <w:rPr>
          <w:rFonts w:ascii="Arial" w:hAnsi="Arial"/>
        </w:rPr>
        <w:t xml:space="preserve"> que le processus de dialogue a été appliqué à quinze dossiers au cours de son deuxième cycle complet, et </w:t>
      </w:r>
      <w:r w:rsidRPr="004C693B">
        <w:rPr>
          <w:rFonts w:ascii="Arial" w:hAnsi="Arial"/>
          <w:u w:val="single"/>
        </w:rPr>
        <w:t>encourage</w:t>
      </w:r>
      <w:r w:rsidRPr="004C693B">
        <w:rPr>
          <w:rFonts w:ascii="Arial" w:hAnsi="Arial"/>
        </w:rPr>
        <w:t xml:space="preserve"> les futurs États soumissionnaires à faire un usage effectif de cette option pour clarifier les questions spécifiques soulevées par l</w:t>
      </w:r>
      <w:r w:rsidR="00FB39FB">
        <w:rPr>
          <w:rFonts w:ascii="Arial" w:hAnsi="Arial"/>
        </w:rPr>
        <w:t>’</w:t>
      </w:r>
      <w:r w:rsidRPr="004C693B">
        <w:rPr>
          <w:rFonts w:ascii="Arial" w:hAnsi="Arial"/>
        </w:rPr>
        <w:t>Organe d</w:t>
      </w:r>
      <w:r w:rsidR="00FB39FB">
        <w:rPr>
          <w:rFonts w:ascii="Arial" w:hAnsi="Arial"/>
        </w:rPr>
        <w:t>’</w:t>
      </w:r>
      <w:r w:rsidRPr="004C693B">
        <w:rPr>
          <w:rFonts w:ascii="Arial" w:hAnsi="Arial"/>
        </w:rPr>
        <w:t xml:space="preserve">évaluation et formuler leurs réponses conformément aux délais et </w:t>
      </w:r>
      <w:r w:rsidR="00D65711">
        <w:rPr>
          <w:rFonts w:ascii="Arial" w:hAnsi="Arial"/>
        </w:rPr>
        <w:t>aux limites du</w:t>
      </w:r>
      <w:r w:rsidR="00D65711" w:rsidRPr="004C693B">
        <w:rPr>
          <w:rFonts w:ascii="Arial" w:hAnsi="Arial"/>
        </w:rPr>
        <w:t xml:space="preserve"> </w:t>
      </w:r>
      <w:r w:rsidRPr="004C693B">
        <w:rPr>
          <w:rFonts w:ascii="Arial" w:hAnsi="Arial"/>
        </w:rPr>
        <w:t>nombre de mots indiqués ;</w:t>
      </w:r>
    </w:p>
    <w:p w14:paraId="6E708C93" w14:textId="74D1E3EA" w:rsidR="00754350" w:rsidRPr="004C693B" w:rsidRDefault="00754350" w:rsidP="00463067">
      <w:pPr>
        <w:pStyle w:val="ListParagraph"/>
        <w:numPr>
          <w:ilvl w:val="0"/>
          <w:numId w:val="3"/>
        </w:numPr>
        <w:spacing w:after="120" w:line="240" w:lineRule="auto"/>
        <w:ind w:left="1134" w:hanging="567"/>
        <w:contextualSpacing w:val="0"/>
        <w:jc w:val="both"/>
      </w:pPr>
      <w:r w:rsidRPr="004C693B">
        <w:rPr>
          <w:rFonts w:ascii="Arial" w:hAnsi="Arial"/>
          <w:u w:val="single"/>
        </w:rPr>
        <w:t>Prend note</w:t>
      </w:r>
      <w:r w:rsidR="00D65711">
        <w:rPr>
          <w:rFonts w:ascii="Arial" w:hAnsi="Arial"/>
          <w:u w:val="single"/>
        </w:rPr>
        <w:t xml:space="preserve"> </w:t>
      </w:r>
      <w:r w:rsidR="00D65711" w:rsidRPr="000B3F0D">
        <w:rPr>
          <w:rFonts w:ascii="Arial" w:hAnsi="Arial"/>
          <w:u w:val="single"/>
        </w:rPr>
        <w:t>également</w:t>
      </w:r>
      <w:r w:rsidRPr="004C693B">
        <w:rPr>
          <w:rFonts w:ascii="Arial" w:hAnsi="Arial"/>
        </w:rPr>
        <w:t xml:space="preserve"> que, pour la première fois par le biais du « mécanisme combiné », la décision a été prise d</w:t>
      </w:r>
      <w:r w:rsidR="00FB39FB">
        <w:rPr>
          <w:rFonts w:ascii="Arial" w:hAnsi="Arial"/>
        </w:rPr>
        <w:t>’</w:t>
      </w:r>
      <w:r w:rsidRPr="004C693B">
        <w:rPr>
          <w:rFonts w:ascii="Arial" w:hAnsi="Arial"/>
        </w:rPr>
        <w:t>a</w:t>
      </w:r>
      <w:r w:rsidR="00D65711">
        <w:rPr>
          <w:rFonts w:ascii="Arial" w:hAnsi="Arial"/>
        </w:rPr>
        <w:t>pprouver</w:t>
      </w:r>
      <w:r w:rsidRPr="004C693B">
        <w:rPr>
          <w:rFonts w:ascii="Arial" w:hAnsi="Arial"/>
        </w:rPr>
        <w:t xml:space="preserve"> la demande d</w:t>
      </w:r>
      <w:r w:rsidR="00FB39FB">
        <w:rPr>
          <w:rFonts w:ascii="Arial" w:hAnsi="Arial"/>
        </w:rPr>
        <w:t>’</w:t>
      </w:r>
      <w:r w:rsidR="00D65711">
        <w:rPr>
          <w:rFonts w:ascii="Arial" w:hAnsi="Arial"/>
        </w:rPr>
        <w:t>a</w:t>
      </w:r>
      <w:r w:rsidRPr="004C693B">
        <w:rPr>
          <w:rFonts w:ascii="Arial" w:hAnsi="Arial"/>
        </w:rPr>
        <w:t xml:space="preserve">ssistance internationale tout en renvoyant la candidature à la </w:t>
      </w:r>
      <w:r w:rsidR="00303941" w:rsidRPr="004C693B">
        <w:rPr>
          <w:rFonts w:ascii="Arial" w:hAnsi="Arial"/>
        </w:rPr>
        <w:t xml:space="preserve">Liste du patrimoine immatériel nécessitant une sauvegarde urgente </w:t>
      </w:r>
      <w:r w:rsidRPr="004C693B">
        <w:rPr>
          <w:rFonts w:ascii="Arial" w:hAnsi="Arial"/>
        </w:rPr>
        <w:t xml:space="preserve">à </w:t>
      </w:r>
      <w:r w:rsidRPr="00D65711">
        <w:rPr>
          <w:rFonts w:ascii="Arial" w:hAnsi="Arial"/>
        </w:rPr>
        <w:t>l</w:t>
      </w:r>
      <w:r w:rsidR="00FB39FB" w:rsidRPr="00D65711">
        <w:rPr>
          <w:rFonts w:ascii="Arial" w:hAnsi="Arial"/>
        </w:rPr>
        <w:t>’</w:t>
      </w:r>
      <w:r w:rsidRPr="00D65711">
        <w:rPr>
          <w:rFonts w:ascii="Arial" w:hAnsi="Arial"/>
        </w:rPr>
        <w:t xml:space="preserve">État </w:t>
      </w:r>
      <w:r w:rsidRPr="00B1188E">
        <w:rPr>
          <w:rFonts w:asciiTheme="minorBidi" w:hAnsiTheme="minorBidi"/>
        </w:rPr>
        <w:t>soumissionnaire</w:t>
      </w:r>
      <w:r w:rsidRPr="004C693B">
        <w:rPr>
          <w:rFonts w:ascii="Arial" w:hAnsi="Arial"/>
        </w:rPr>
        <w:t xml:space="preserve">, et </w:t>
      </w:r>
      <w:r w:rsidRPr="004C693B">
        <w:rPr>
          <w:rFonts w:ascii="Arial" w:hAnsi="Arial"/>
          <w:u w:val="single"/>
        </w:rPr>
        <w:t>affirme</w:t>
      </w:r>
      <w:r w:rsidRPr="004C693B">
        <w:rPr>
          <w:rFonts w:ascii="Arial" w:hAnsi="Arial"/>
        </w:rPr>
        <w:t xml:space="preserve"> qu</w:t>
      </w:r>
      <w:r w:rsidR="00FB39FB">
        <w:rPr>
          <w:rFonts w:ascii="Arial" w:hAnsi="Arial"/>
        </w:rPr>
        <w:t>’</w:t>
      </w:r>
      <w:r w:rsidRPr="004C693B">
        <w:rPr>
          <w:rFonts w:ascii="Arial" w:hAnsi="Arial"/>
        </w:rPr>
        <w:t xml:space="preserve">une telle décision est conforme </w:t>
      </w:r>
      <w:r w:rsidR="00D65711">
        <w:rPr>
          <w:rFonts w:ascii="Arial" w:hAnsi="Arial"/>
        </w:rPr>
        <w:t>à l’objectif</w:t>
      </w:r>
      <w:r w:rsidRPr="004C693B">
        <w:rPr>
          <w:rFonts w:ascii="Arial" w:hAnsi="Arial"/>
        </w:rPr>
        <w:t xml:space="preserve"> de</w:t>
      </w:r>
      <w:r w:rsidR="00D65711">
        <w:rPr>
          <w:rFonts w:ascii="Arial" w:hAnsi="Arial"/>
        </w:rPr>
        <w:t>s mécanismes d’inscription</w:t>
      </w:r>
      <w:r w:rsidRPr="004C693B">
        <w:rPr>
          <w:rFonts w:ascii="Arial" w:hAnsi="Arial"/>
        </w:rPr>
        <w:t> ;</w:t>
      </w:r>
    </w:p>
    <w:p w14:paraId="6ECDE301" w14:textId="32137736" w:rsidR="00754350" w:rsidRPr="004C693B" w:rsidRDefault="00754350" w:rsidP="00463067">
      <w:pPr>
        <w:pStyle w:val="ListParagraph"/>
        <w:numPr>
          <w:ilvl w:val="0"/>
          <w:numId w:val="3"/>
        </w:numPr>
        <w:spacing w:after="120" w:line="240" w:lineRule="auto"/>
        <w:ind w:left="1134" w:hanging="567"/>
        <w:contextualSpacing w:val="0"/>
        <w:jc w:val="both"/>
        <w:rPr>
          <w:rFonts w:ascii="Arial" w:hAnsi="Arial" w:cs="Arial"/>
        </w:rPr>
      </w:pPr>
      <w:r w:rsidRPr="004C693B">
        <w:rPr>
          <w:rFonts w:ascii="Arial" w:hAnsi="Arial"/>
          <w:u w:val="single"/>
        </w:rPr>
        <w:lastRenderedPageBreak/>
        <w:t>Félicite</w:t>
      </w:r>
      <w:r w:rsidRPr="00B1188E">
        <w:rPr>
          <w:rFonts w:ascii="Arial" w:hAnsi="Arial"/>
        </w:rPr>
        <w:t xml:space="preserve"> les</w:t>
      </w:r>
      <w:r w:rsidRPr="00D65711">
        <w:rPr>
          <w:rFonts w:ascii="Arial" w:hAnsi="Arial"/>
        </w:rPr>
        <w:t xml:space="preserve"> </w:t>
      </w:r>
      <w:r w:rsidRPr="004C693B">
        <w:rPr>
          <w:rFonts w:ascii="Arial" w:hAnsi="Arial"/>
        </w:rPr>
        <w:t>États soumissionnaires ayant présenté des candidatures susceptibles de servir d</w:t>
      </w:r>
      <w:r w:rsidR="00FB39FB">
        <w:rPr>
          <w:rFonts w:ascii="Arial" w:hAnsi="Arial"/>
        </w:rPr>
        <w:t>’</w:t>
      </w:r>
      <w:r w:rsidRPr="004C693B">
        <w:rPr>
          <w:rFonts w:ascii="Arial" w:hAnsi="Arial"/>
        </w:rPr>
        <w:t xml:space="preserve">exemples pour de futures </w:t>
      </w:r>
      <w:r w:rsidR="00B904E1">
        <w:rPr>
          <w:rFonts w:ascii="Arial" w:hAnsi="Arial"/>
        </w:rPr>
        <w:t>candidatures</w:t>
      </w:r>
      <w:r w:rsidRPr="004C693B">
        <w:rPr>
          <w:rFonts w:ascii="Arial" w:hAnsi="Arial"/>
        </w:rPr>
        <w:t xml:space="preserve">, et </w:t>
      </w:r>
      <w:r w:rsidRPr="004C693B">
        <w:rPr>
          <w:rFonts w:ascii="Arial" w:hAnsi="Arial"/>
          <w:u w:val="single"/>
        </w:rPr>
        <w:t>note avec satisfaction</w:t>
      </w:r>
      <w:r w:rsidRPr="004C693B">
        <w:rPr>
          <w:rFonts w:ascii="Arial" w:hAnsi="Arial"/>
        </w:rPr>
        <w:t xml:space="preserve"> qu</w:t>
      </w:r>
      <w:r w:rsidR="00FB39FB">
        <w:rPr>
          <w:rFonts w:ascii="Arial" w:hAnsi="Arial"/>
        </w:rPr>
        <w:t>’</w:t>
      </w:r>
      <w:r w:rsidRPr="004C693B">
        <w:rPr>
          <w:rFonts w:ascii="Arial" w:hAnsi="Arial"/>
        </w:rPr>
        <w:t>un certain nombre de ces dossiers concernaient la sauvegarde du patrimoine vivant des populations minoritaires, marginalisées ou autochtones, et démontraient par ailleurs les liens entre le patrimoine vivant et le développement durable dans plusieurs domaines importants tels que l</w:t>
      </w:r>
      <w:r w:rsidR="00FB39FB">
        <w:rPr>
          <w:rFonts w:ascii="Arial" w:hAnsi="Arial"/>
        </w:rPr>
        <w:t>’</w:t>
      </w:r>
      <w:r w:rsidRPr="004C693B">
        <w:rPr>
          <w:rFonts w:ascii="Arial" w:hAnsi="Arial"/>
        </w:rPr>
        <w:t>éducation, l</w:t>
      </w:r>
      <w:r w:rsidR="00FB39FB">
        <w:rPr>
          <w:rFonts w:ascii="Arial" w:hAnsi="Arial"/>
        </w:rPr>
        <w:t>’</w:t>
      </w:r>
      <w:r w:rsidRPr="004C693B">
        <w:rPr>
          <w:rFonts w:ascii="Arial" w:hAnsi="Arial"/>
        </w:rPr>
        <w:t>environnement et l</w:t>
      </w:r>
      <w:r w:rsidR="00B904E1">
        <w:rPr>
          <w:rFonts w:ascii="Arial" w:hAnsi="Arial"/>
        </w:rPr>
        <w:t>e genre</w:t>
      </w:r>
      <w:r w:rsidRPr="004C693B">
        <w:rPr>
          <w:rFonts w:ascii="Arial" w:hAnsi="Arial"/>
        </w:rPr>
        <w:t> ;</w:t>
      </w:r>
    </w:p>
    <w:p w14:paraId="325537D5" w14:textId="08AA0E00" w:rsidR="00D352C6" w:rsidRPr="004C693B" w:rsidRDefault="00303941" w:rsidP="00463067">
      <w:pPr>
        <w:pStyle w:val="ListParagraph"/>
        <w:numPr>
          <w:ilvl w:val="0"/>
          <w:numId w:val="3"/>
        </w:numPr>
        <w:spacing w:after="120" w:line="240" w:lineRule="auto"/>
        <w:ind w:left="1134" w:hanging="567"/>
        <w:contextualSpacing w:val="0"/>
        <w:jc w:val="both"/>
        <w:rPr>
          <w:rFonts w:ascii="Arial" w:hAnsi="Arial" w:cs="Arial"/>
        </w:rPr>
      </w:pPr>
      <w:r w:rsidRPr="004C693B">
        <w:rPr>
          <w:rFonts w:ascii="Arial" w:hAnsi="Arial"/>
          <w:u w:val="single"/>
        </w:rPr>
        <w:t>Salue</w:t>
      </w:r>
      <w:r w:rsidR="00754350" w:rsidRPr="004C693B">
        <w:rPr>
          <w:rFonts w:ascii="Arial" w:hAnsi="Arial"/>
        </w:rPr>
        <w:t xml:space="preserve"> la hausse du nombre de propositions </w:t>
      </w:r>
      <w:r w:rsidR="00B904E1">
        <w:rPr>
          <w:rFonts w:ascii="Arial" w:hAnsi="Arial"/>
        </w:rPr>
        <w:t>pour le</w:t>
      </w:r>
      <w:r w:rsidR="00754350" w:rsidRPr="004C693B">
        <w:rPr>
          <w:rFonts w:ascii="Arial" w:hAnsi="Arial"/>
        </w:rPr>
        <w:t xml:space="preserve"> Registre de bonnes pratiques de </w:t>
      </w:r>
      <w:r w:rsidR="00754350" w:rsidRPr="004C693B">
        <w:rPr>
          <w:rFonts w:ascii="Arial" w:hAnsi="Arial" w:cs="Arial"/>
        </w:rPr>
        <w:t>sauvegarde, ce qui reflète une plus grande diversité et une plus grande représentativité géographique</w:t>
      </w:r>
      <w:r w:rsidR="00B904E1">
        <w:rPr>
          <w:rFonts w:ascii="Arial" w:hAnsi="Arial" w:cs="Arial"/>
        </w:rPr>
        <w:t>s</w:t>
      </w:r>
      <w:r w:rsidR="00126810" w:rsidRPr="004C693B">
        <w:rPr>
          <w:rFonts w:ascii="Arial" w:hAnsi="Arial" w:cs="Arial"/>
        </w:rPr>
        <w:t> ;</w:t>
      </w:r>
    </w:p>
    <w:p w14:paraId="2E6312A3" w14:textId="06CF9469" w:rsidR="00BE4A84" w:rsidRPr="004C693B" w:rsidRDefault="00303941" w:rsidP="00463067">
      <w:pPr>
        <w:pStyle w:val="ListParagraph"/>
        <w:numPr>
          <w:ilvl w:val="0"/>
          <w:numId w:val="3"/>
        </w:numPr>
        <w:spacing w:after="120" w:line="240" w:lineRule="auto"/>
        <w:ind w:left="1134" w:hanging="567"/>
        <w:contextualSpacing w:val="0"/>
        <w:jc w:val="both"/>
        <w:rPr>
          <w:rFonts w:ascii="Arial" w:hAnsi="Arial" w:cs="Arial"/>
        </w:rPr>
      </w:pPr>
      <w:r w:rsidRPr="004C693B">
        <w:rPr>
          <w:rFonts w:ascii="Arial" w:hAnsi="Arial" w:cs="Arial"/>
          <w:u w:val="single"/>
        </w:rPr>
        <w:t>Recommande</w:t>
      </w:r>
      <w:r w:rsidRPr="004C693B">
        <w:rPr>
          <w:rFonts w:ascii="Arial" w:hAnsi="Arial" w:cs="Arial"/>
        </w:rPr>
        <w:t xml:space="preserve"> que les questions, préoccupations et recommandations pertinentes soulevées par l</w:t>
      </w:r>
      <w:r w:rsidR="00FB39FB">
        <w:rPr>
          <w:rFonts w:ascii="Arial" w:hAnsi="Arial" w:cs="Arial"/>
        </w:rPr>
        <w:t>’</w:t>
      </w:r>
      <w:r w:rsidRPr="004C693B">
        <w:rPr>
          <w:rFonts w:ascii="Arial" w:hAnsi="Arial" w:cs="Arial"/>
        </w:rPr>
        <w:t>Organe d</w:t>
      </w:r>
      <w:r w:rsidR="00FB39FB">
        <w:rPr>
          <w:rFonts w:ascii="Arial" w:hAnsi="Arial" w:cs="Arial"/>
        </w:rPr>
        <w:t>’</w:t>
      </w:r>
      <w:r w:rsidRPr="004C693B">
        <w:rPr>
          <w:rFonts w:ascii="Arial" w:hAnsi="Arial" w:cs="Arial"/>
        </w:rPr>
        <w:t xml:space="preserve">évaluation au cours du cycle 2021 soient </w:t>
      </w:r>
      <w:r w:rsidRPr="004C693B">
        <w:rPr>
          <w:rFonts w:ascii="Arial" w:hAnsi="Arial"/>
        </w:rPr>
        <w:t>prises</w:t>
      </w:r>
      <w:r w:rsidRPr="004C693B">
        <w:rPr>
          <w:rFonts w:ascii="Arial" w:hAnsi="Arial" w:cs="Arial"/>
        </w:rPr>
        <w:t xml:space="preserve"> en considération, le cas échéant, dans la réflexion globale en cours sur les mécanismes d</w:t>
      </w:r>
      <w:r w:rsidR="00FB39FB">
        <w:rPr>
          <w:rFonts w:ascii="Arial" w:hAnsi="Arial" w:cs="Arial"/>
        </w:rPr>
        <w:t>’</w:t>
      </w:r>
      <w:r w:rsidRPr="004C693B">
        <w:rPr>
          <w:rFonts w:ascii="Arial" w:hAnsi="Arial" w:cs="Arial"/>
        </w:rPr>
        <w:t>inscription de la Convention.</w:t>
      </w:r>
    </w:p>
    <w:sectPr w:rsidR="00BE4A84" w:rsidRPr="004C693B" w:rsidSect="00E70128">
      <w:headerReference w:type="even" r:id="rId55"/>
      <w:headerReference w:type="default" r:id="rId56"/>
      <w:headerReference w:type="first" r:id="rId57"/>
      <w:pgSz w:w="12240" w:h="15840"/>
      <w:pgMar w:top="1411" w:right="1138" w:bottom="907" w:left="1138" w:header="720" w:footer="418" w:gutter="0"/>
      <w:pgBorders w:display="firstPage" w:offsetFrom="page">
        <w:top w:val="single" w:sz="12" w:space="24" w:color="0070C0"/>
        <w:left w:val="single" w:sz="12" w:space="24" w:color="0070C0"/>
        <w:bottom w:val="single" w:sz="12" w:space="24" w:color="0070C0"/>
        <w:right w:val="single" w:sz="12" w:space="24" w:color="0070C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6139E" w14:textId="77777777" w:rsidR="00FB39FB" w:rsidRDefault="00FB39FB" w:rsidP="00417BE0">
      <w:pPr>
        <w:spacing w:after="0" w:line="240" w:lineRule="auto"/>
      </w:pPr>
      <w:r>
        <w:separator/>
      </w:r>
    </w:p>
  </w:endnote>
  <w:endnote w:type="continuationSeparator" w:id="0">
    <w:p w14:paraId="750BBF2C" w14:textId="77777777" w:rsidR="00FB39FB" w:rsidRDefault="00FB39FB" w:rsidP="00417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E6A97" w14:textId="77777777" w:rsidR="00FB39FB" w:rsidRDefault="00FB39FB" w:rsidP="00417BE0">
      <w:pPr>
        <w:spacing w:after="0" w:line="240" w:lineRule="auto"/>
      </w:pPr>
      <w:r>
        <w:separator/>
      </w:r>
    </w:p>
  </w:footnote>
  <w:footnote w:type="continuationSeparator" w:id="0">
    <w:p w14:paraId="6DCC3C2A" w14:textId="77777777" w:rsidR="00FB39FB" w:rsidRDefault="00FB39FB" w:rsidP="00417B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7707A" w14:textId="7DCDCB38" w:rsidR="00FB39FB" w:rsidRPr="001F3A97" w:rsidRDefault="00FB39FB" w:rsidP="001F3A97">
    <w:pPr>
      <w:pStyle w:val="Header"/>
      <w:rPr>
        <w:rFonts w:ascii="Arial" w:hAnsi="Arial" w:cs="Arial"/>
      </w:rPr>
    </w:pPr>
    <w:r w:rsidRPr="00FB3191">
      <w:rPr>
        <w:rFonts w:ascii="Arial" w:hAnsi="Arial"/>
        <w:sz w:val="20"/>
      </w:rPr>
      <w:t>LHE/21/16.COM/</w:t>
    </w:r>
    <w:r>
      <w:rPr>
        <w:rFonts w:ascii="Arial" w:hAnsi="Arial"/>
        <w:sz w:val="20"/>
      </w:rPr>
      <w:t>8</w:t>
    </w:r>
    <w:r w:rsidRPr="00FB3191">
      <w:rPr>
        <w:rFonts w:ascii="Arial" w:hAnsi="Arial"/>
        <w:bCs/>
        <w:sz w:val="20"/>
      </w:rPr>
      <w:t xml:space="preserve"> </w:t>
    </w:r>
    <w:r>
      <w:rPr>
        <w:rFonts w:ascii="Arial" w:hAnsi="Arial"/>
        <w:sz w:val="20"/>
      </w:rPr>
      <w:t xml:space="preserve">– page </w:t>
    </w:r>
    <w:r w:rsidRPr="00114775">
      <w:rPr>
        <w:rStyle w:val="PageNumber"/>
        <w:rFonts w:ascii="Arial" w:hAnsi="Arial" w:cs="Arial"/>
        <w:sz w:val="20"/>
      </w:rPr>
      <w:fldChar w:fldCharType="begin"/>
    </w:r>
    <w:r w:rsidRPr="00114775">
      <w:rPr>
        <w:rStyle w:val="PageNumber"/>
        <w:rFonts w:ascii="Arial" w:hAnsi="Arial" w:cs="Arial"/>
        <w:sz w:val="20"/>
      </w:rPr>
      <w:instrText xml:space="preserve"> PAGE </w:instrText>
    </w:r>
    <w:r w:rsidRPr="00114775">
      <w:rPr>
        <w:rStyle w:val="PageNumber"/>
        <w:rFonts w:ascii="Arial" w:hAnsi="Arial" w:cs="Arial"/>
        <w:sz w:val="20"/>
      </w:rPr>
      <w:fldChar w:fldCharType="separate"/>
    </w:r>
    <w:r>
      <w:rPr>
        <w:rStyle w:val="PageNumber"/>
        <w:rFonts w:ascii="Arial" w:hAnsi="Arial" w:cs="Arial"/>
        <w:sz w:val="20"/>
      </w:rPr>
      <w:t>20</w:t>
    </w:r>
    <w:r w:rsidRPr="00114775">
      <w:rPr>
        <w:rStyle w:val="PageNumber"/>
        <w:rFonts w:ascii="Arial" w:hAnsi="Arial" w:cs="Arial"/>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3CB6D" w14:textId="44539123" w:rsidR="00FB39FB" w:rsidRPr="00AD5219" w:rsidRDefault="00FB39FB" w:rsidP="00DA6E9A">
    <w:pPr>
      <w:pStyle w:val="Header"/>
      <w:jc w:val="right"/>
      <w:rPr>
        <w:rFonts w:ascii="Arial" w:hAnsi="Arial"/>
        <w:sz w:val="20"/>
        <w:lang w:val="pt-PT"/>
      </w:rPr>
    </w:pPr>
    <w:r w:rsidRPr="00AD5219">
      <w:rPr>
        <w:rFonts w:ascii="Arial" w:hAnsi="Arial"/>
        <w:sz w:val="20"/>
        <w:lang w:val="pt-PT"/>
      </w:rPr>
      <w:t>LHE/21/16.COM</w:t>
    </w:r>
    <w:r>
      <w:rPr>
        <w:rFonts w:ascii="Arial" w:hAnsi="Arial"/>
        <w:sz w:val="20"/>
        <w:lang w:val="pt-PT"/>
      </w:rPr>
      <w:t xml:space="preserve">/8 </w:t>
    </w:r>
    <w:r w:rsidRPr="00FB3191">
      <w:rPr>
        <w:rFonts w:ascii="Arial" w:hAnsi="Arial"/>
        <w:sz w:val="20"/>
        <w:lang w:val="pt-PT"/>
      </w:rPr>
      <w:t xml:space="preserve">– page </w:t>
    </w:r>
    <w:r w:rsidRPr="00AD5219">
      <w:rPr>
        <w:lang w:val="pt-PT"/>
      </w:rPr>
      <w:fldChar w:fldCharType="begin"/>
    </w:r>
    <w:r w:rsidRPr="00AD5219">
      <w:rPr>
        <w:lang w:val="pt-PT"/>
      </w:rPr>
      <w:instrText xml:space="preserve"> PAGE </w:instrText>
    </w:r>
    <w:r w:rsidRPr="00AD5219">
      <w:rPr>
        <w:lang w:val="pt-PT"/>
      </w:rPr>
      <w:fldChar w:fldCharType="separate"/>
    </w:r>
    <w:r w:rsidRPr="00AD5219">
      <w:rPr>
        <w:lang w:val="pt-PT"/>
      </w:rPr>
      <w:t>19</w:t>
    </w:r>
    <w:r w:rsidRPr="00AD5219">
      <w:rPr>
        <w:lang w:val="pt-PT"/>
      </w:rPr>
      <w:fldChar w:fldCharType="end"/>
    </w:r>
  </w:p>
  <w:p w14:paraId="66E01566" w14:textId="77777777" w:rsidR="00FB39FB" w:rsidRPr="00AD5219" w:rsidRDefault="00FB39FB">
    <w:pPr>
      <w:pStyle w:val="Header"/>
      <w:rPr>
        <w:rFonts w:ascii="Arial" w:hAnsi="Arial"/>
        <w:sz w:val="20"/>
        <w:lang w:val="pt-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85BA1" w14:textId="77777777" w:rsidR="00FB39FB" w:rsidRPr="003818E9" w:rsidRDefault="00FB39FB" w:rsidP="003818E9">
    <w:pPr>
      <w:tabs>
        <w:tab w:val="center" w:pos="4536"/>
        <w:tab w:val="right" w:pos="9072"/>
      </w:tabs>
      <w:spacing w:after="0" w:line="240" w:lineRule="auto"/>
      <w:rPr>
        <w:rFonts w:ascii="Times New Roman" w:eastAsia="Times New Roman" w:hAnsi="Times New Roman" w:cs="Times New Roman"/>
        <w:lang w:eastAsia="fr-FR"/>
      </w:rPr>
    </w:pPr>
    <w:r w:rsidRPr="003818E9">
      <w:rPr>
        <w:rFonts w:ascii="Arial" w:eastAsia="Times New Roman" w:hAnsi="Arial" w:cs="Arial"/>
        <w:b/>
        <w:noProof/>
        <w:sz w:val="44"/>
        <w:szCs w:val="44"/>
        <w:lang w:val="pt-PT" w:eastAsia="fr-FR"/>
      </w:rPr>
      <w:drawing>
        <wp:anchor distT="0" distB="0" distL="114300" distR="114300" simplePos="0" relativeHeight="251659264" behindDoc="1" locked="0" layoutInCell="1" allowOverlap="1" wp14:anchorId="376F626A" wp14:editId="471F4C3B">
          <wp:simplePos x="0" y="0"/>
          <wp:positionH relativeFrom="column">
            <wp:posOffset>1270</wp:posOffset>
          </wp:positionH>
          <wp:positionV relativeFrom="paragraph">
            <wp:posOffset>160020</wp:posOffset>
          </wp:positionV>
          <wp:extent cx="1657350" cy="1391920"/>
          <wp:effectExtent l="0" t="0" r="0" b="0"/>
          <wp:wrapTight wrapText="bothSides">
            <wp:wrapPolygon edited="0">
              <wp:start x="0" y="0"/>
              <wp:lineTo x="0" y="9460"/>
              <wp:lineTo x="10676" y="9460"/>
              <wp:lineTo x="0" y="10938"/>
              <wp:lineTo x="0" y="21285"/>
              <wp:lineTo x="8690" y="21285"/>
              <wp:lineTo x="14897" y="18920"/>
              <wp:lineTo x="21352" y="14781"/>
              <wp:lineTo x="21352" y="11234"/>
              <wp:lineTo x="10676" y="9460"/>
              <wp:lineTo x="21352" y="9460"/>
              <wp:lineTo x="21352"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800F05" w14:textId="77777777" w:rsidR="00FB39FB" w:rsidRPr="003818E9" w:rsidRDefault="00FB39FB" w:rsidP="003818E9">
    <w:pPr>
      <w:tabs>
        <w:tab w:val="center" w:pos="4536"/>
        <w:tab w:val="right" w:pos="9072"/>
      </w:tabs>
      <w:spacing w:after="520" w:line="240" w:lineRule="auto"/>
      <w:jc w:val="right"/>
      <w:rPr>
        <w:rFonts w:ascii="Arial" w:eastAsia="Times New Roman" w:hAnsi="Arial" w:cs="Arial"/>
        <w:b/>
        <w:color w:val="0070C0"/>
        <w:sz w:val="44"/>
        <w:szCs w:val="44"/>
        <w:lang w:val="pt-PT" w:eastAsia="fr-FR"/>
      </w:rPr>
    </w:pPr>
    <w:r w:rsidRPr="003818E9">
      <w:rPr>
        <w:rFonts w:ascii="Arial" w:eastAsia="Times New Roman" w:hAnsi="Arial" w:cs="Arial"/>
        <w:b/>
        <w:color w:val="0070C0"/>
        <w:sz w:val="44"/>
        <w:szCs w:val="44"/>
        <w:lang w:val="pt-PT" w:eastAsia="fr-FR"/>
      </w:rPr>
      <w:t>16 COM</w:t>
    </w:r>
  </w:p>
  <w:p w14:paraId="34CD236F" w14:textId="758D6022" w:rsidR="00FB39FB" w:rsidRPr="003818E9" w:rsidRDefault="00FB39FB" w:rsidP="003818E9">
    <w:pPr>
      <w:spacing w:after="0" w:line="240" w:lineRule="auto"/>
      <w:jc w:val="right"/>
      <w:rPr>
        <w:rFonts w:ascii="Arial" w:eastAsia="Times New Roman" w:hAnsi="Arial" w:cs="Arial"/>
        <w:b/>
        <w:color w:val="0070C0"/>
        <w:lang w:val="pt-PT" w:eastAsia="fr-FR"/>
      </w:rPr>
    </w:pPr>
    <w:r w:rsidRPr="003818E9">
      <w:rPr>
        <w:rFonts w:ascii="Arial" w:eastAsia="Times New Roman" w:hAnsi="Arial" w:cs="Arial"/>
        <w:b/>
        <w:color w:val="0070C0"/>
        <w:lang w:val="pt-PT" w:eastAsia="fr-FR"/>
      </w:rPr>
      <w:t>LHE/21/16.COM/8</w:t>
    </w:r>
  </w:p>
  <w:p w14:paraId="3CD53377" w14:textId="77777777" w:rsidR="00FB39FB" w:rsidRPr="003818E9" w:rsidRDefault="00FB39FB" w:rsidP="003818E9">
    <w:pPr>
      <w:spacing w:after="0" w:line="240" w:lineRule="auto"/>
      <w:jc w:val="right"/>
      <w:rPr>
        <w:rFonts w:ascii="Arial" w:eastAsia="Malgun Gothic" w:hAnsi="Arial" w:cs="Arial"/>
        <w:b/>
        <w:color w:val="0070C0"/>
        <w:lang w:val="pt-PT" w:eastAsia="ko-KR"/>
      </w:rPr>
    </w:pPr>
    <w:r w:rsidRPr="003818E9">
      <w:rPr>
        <w:rFonts w:ascii="Arial" w:eastAsia="Times New Roman" w:hAnsi="Arial" w:cs="Arial"/>
        <w:b/>
        <w:color w:val="0070C0"/>
        <w:lang w:val="pt-PT" w:eastAsia="fr-FR"/>
      </w:rPr>
      <w:t>Paris, le 15 novembre 2021</w:t>
    </w:r>
  </w:p>
  <w:p w14:paraId="243EC86A" w14:textId="4F5C27F7" w:rsidR="00FB39FB" w:rsidRPr="003818E9" w:rsidRDefault="00FB39FB" w:rsidP="003818E9">
    <w:pPr>
      <w:tabs>
        <w:tab w:val="left" w:pos="285"/>
        <w:tab w:val="right" w:pos="6840"/>
      </w:tabs>
      <w:spacing w:after="480" w:line="240" w:lineRule="auto"/>
      <w:jc w:val="right"/>
      <w:rPr>
        <w:rFonts w:ascii="Arial" w:eastAsia="Times New Roman" w:hAnsi="Arial" w:cs="Arial"/>
        <w:b/>
        <w:color w:val="0070C0"/>
        <w:lang w:eastAsia="fr-FR"/>
      </w:rPr>
    </w:pPr>
    <w:r w:rsidRPr="003818E9">
      <w:rPr>
        <w:rFonts w:ascii="Arial" w:eastAsia="Times New Roman" w:hAnsi="Arial" w:cs="Arial"/>
        <w:b/>
        <w:color w:val="0070C0"/>
        <w:lang w:eastAsia="fr-FR"/>
      </w:rPr>
      <w:t>Original : anglais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44B6"/>
    <w:multiLevelType w:val="hybridMultilevel"/>
    <w:tmpl w:val="994C9366"/>
    <w:lvl w:ilvl="0" w:tplc="48869144">
      <w:start w:val="1"/>
      <w:numFmt w:val="decimal"/>
      <w:lvlText w:val="%1."/>
      <w:lvlJc w:val="left"/>
      <w:pPr>
        <w:ind w:left="-207" w:hanging="360"/>
      </w:pPr>
      <w:rPr>
        <w:rFonts w:hint="default"/>
        <w:b w:val="0"/>
        <w:bCs w:val="0"/>
        <w:sz w:val="22"/>
        <w:szCs w:val="22"/>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 w15:restartNumberingAfterBreak="0">
    <w:nsid w:val="037C501C"/>
    <w:multiLevelType w:val="hybridMultilevel"/>
    <w:tmpl w:val="04127FF6"/>
    <w:lvl w:ilvl="0" w:tplc="22BA908E">
      <w:start w:val="2"/>
      <w:numFmt w:val="upperLetter"/>
      <w:lvlText w:val="%1."/>
      <w:lvlJc w:val="left"/>
      <w:pPr>
        <w:ind w:left="1035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3427F5"/>
    <w:multiLevelType w:val="hybridMultilevel"/>
    <w:tmpl w:val="26669312"/>
    <w:lvl w:ilvl="0" w:tplc="F774A78A">
      <w:start w:val="1"/>
      <w:numFmt w:val="lowerRoman"/>
      <w:lvlText w:val="%1."/>
      <w:lvlJc w:val="right"/>
      <w:pPr>
        <w:ind w:left="1350" w:hanging="360"/>
      </w:pPr>
      <w:rPr>
        <w:rFonts w:hint="default"/>
        <w:b w:val="0"/>
        <w:bCs/>
        <w:i w:val="0"/>
        <w:i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B09D1"/>
    <w:multiLevelType w:val="hybridMultilevel"/>
    <w:tmpl w:val="725E1C22"/>
    <w:lvl w:ilvl="0" w:tplc="B85A0C02">
      <w:start w:val="4"/>
      <w:numFmt w:val="lowerRoman"/>
      <w:lvlText w:val="%1."/>
      <w:lvlJc w:val="right"/>
      <w:pPr>
        <w:ind w:left="1350" w:hanging="360"/>
      </w:pPr>
      <w:rPr>
        <w:rFonts w:hint="default"/>
        <w:b w:val="0"/>
        <w:bCs/>
        <w:i w:val="0"/>
        <w:i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80830C6"/>
    <w:multiLevelType w:val="hybridMultilevel"/>
    <w:tmpl w:val="26669312"/>
    <w:lvl w:ilvl="0" w:tplc="F774A78A">
      <w:start w:val="1"/>
      <w:numFmt w:val="lowerRoman"/>
      <w:lvlText w:val="%1."/>
      <w:lvlJc w:val="right"/>
      <w:pPr>
        <w:ind w:left="1350" w:hanging="360"/>
      </w:pPr>
      <w:rPr>
        <w:rFonts w:hint="default"/>
        <w:b w:val="0"/>
        <w:bCs/>
        <w:i w:val="0"/>
        <w:i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C35FE0"/>
    <w:multiLevelType w:val="hybridMultilevel"/>
    <w:tmpl w:val="67049D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F07BFE"/>
    <w:multiLevelType w:val="hybridMultilevel"/>
    <w:tmpl w:val="EFAAE33C"/>
    <w:lvl w:ilvl="0" w:tplc="7332CBA4">
      <w:start w:val="22"/>
      <w:numFmt w:val="decimal"/>
      <w:lvlText w:val="%1."/>
      <w:lvlJc w:val="left"/>
      <w:pPr>
        <w:ind w:left="360" w:hanging="360"/>
      </w:pPr>
      <w:rPr>
        <w:rFonts w:ascii="Arial" w:hAnsi="Arial" w:cs="Arial" w:hint="default"/>
        <w:b w:val="0"/>
        <w:i w:val="0"/>
        <w:color w:val="auto"/>
        <w:sz w:val="22"/>
        <w:szCs w:val="22"/>
        <w:lang w:val="en-GB"/>
      </w:rPr>
    </w:lvl>
    <w:lvl w:ilvl="1" w:tplc="F774A78A">
      <w:start w:val="1"/>
      <w:numFmt w:val="lowerRoman"/>
      <w:lvlText w:val="%2."/>
      <w:lvlJc w:val="right"/>
      <w:pPr>
        <w:ind w:left="1350" w:hanging="360"/>
      </w:pPr>
      <w:rPr>
        <w:rFonts w:hint="default"/>
        <w:b w:val="0"/>
        <w:bCs/>
        <w:i w:val="0"/>
        <w:iCs/>
        <w:strike w:val="0"/>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97A4DB1"/>
    <w:multiLevelType w:val="hybridMultilevel"/>
    <w:tmpl w:val="E08028D2"/>
    <w:lvl w:ilvl="0" w:tplc="7ED0944A">
      <w:start w:val="1"/>
      <w:numFmt w:val="lowerRoman"/>
      <w:pStyle w:val="COMParaDecision"/>
      <w:lvlText w:val="%1."/>
      <w:lvlJc w:val="left"/>
      <w:pPr>
        <w:ind w:left="1287" w:hanging="360"/>
      </w:pPr>
      <w:rPr>
        <w:rFonts w:ascii="Arial" w:eastAsia="SimSun" w:hAnsi="Arial" w:cs="Arial"/>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39AD7339"/>
    <w:multiLevelType w:val="hybridMultilevel"/>
    <w:tmpl w:val="0EBCBCDE"/>
    <w:lvl w:ilvl="0" w:tplc="41468CF4">
      <w:start w:val="1"/>
      <w:numFmt w:val="lowerRoman"/>
      <w:lvlText w:val="%1."/>
      <w:lvlJc w:val="right"/>
      <w:pPr>
        <w:ind w:left="1350" w:hanging="360"/>
      </w:pPr>
      <w:rPr>
        <w:rFonts w:hint="default"/>
        <w:b w:val="0"/>
        <w:bCs/>
        <w:i w:val="0"/>
        <w:i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8D2D4D"/>
    <w:multiLevelType w:val="hybridMultilevel"/>
    <w:tmpl w:val="26669312"/>
    <w:lvl w:ilvl="0" w:tplc="F774A78A">
      <w:start w:val="1"/>
      <w:numFmt w:val="lowerRoman"/>
      <w:lvlText w:val="%1."/>
      <w:lvlJc w:val="right"/>
      <w:pPr>
        <w:ind w:left="1350" w:hanging="360"/>
      </w:pPr>
      <w:rPr>
        <w:rFonts w:hint="default"/>
        <w:b w:val="0"/>
        <w:bCs/>
        <w:i w:val="0"/>
        <w:i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7117AC"/>
    <w:multiLevelType w:val="multilevel"/>
    <w:tmpl w:val="61F68E10"/>
    <w:lvl w:ilvl="0">
      <w:start w:val="1"/>
      <w:numFmt w:val="none"/>
      <w:suff w:val="nothing"/>
      <w:lvlText w:val="%1"/>
      <w:lvlJc w:val="left"/>
      <w:pPr>
        <w:ind w:left="0" w:firstLine="0"/>
      </w:pPr>
      <w:rPr>
        <w:rFonts w:ascii="Arial" w:hAnsi="Arial" w:hint="default"/>
        <w:color w:val="auto"/>
        <w:sz w:val="22"/>
      </w:rPr>
    </w:lvl>
    <w:lvl w:ilvl="1">
      <w:start w:val="1"/>
      <w:numFmt w:val="decimal"/>
      <w:pStyle w:val="Style1"/>
      <w:lvlText w:val="%2."/>
      <w:lvlJc w:val="left"/>
      <w:pPr>
        <w:ind w:left="66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66CA1EB0"/>
    <w:multiLevelType w:val="hybridMultilevel"/>
    <w:tmpl w:val="158C200A"/>
    <w:lvl w:ilvl="0" w:tplc="D10AF672">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99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BEB5A89"/>
    <w:multiLevelType w:val="hybridMultilevel"/>
    <w:tmpl w:val="1F3C987E"/>
    <w:lvl w:ilvl="0" w:tplc="8CDE83B2">
      <w:start w:val="1"/>
      <w:numFmt w:val="lowerRoman"/>
      <w:lvlText w:val="%1."/>
      <w:lvlJc w:val="left"/>
      <w:pPr>
        <w:ind w:left="1080" w:hanging="72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104351"/>
    <w:multiLevelType w:val="hybridMultilevel"/>
    <w:tmpl w:val="0EBCBCDE"/>
    <w:lvl w:ilvl="0" w:tplc="41468CF4">
      <w:start w:val="1"/>
      <w:numFmt w:val="lowerRoman"/>
      <w:lvlText w:val="%1."/>
      <w:lvlJc w:val="right"/>
      <w:pPr>
        <w:ind w:left="1350" w:hanging="360"/>
      </w:pPr>
      <w:rPr>
        <w:rFonts w:hint="default"/>
        <w:b w:val="0"/>
        <w:bCs/>
        <w:i w:val="0"/>
        <w:i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1C589B"/>
    <w:multiLevelType w:val="hybridMultilevel"/>
    <w:tmpl w:val="0EBCBCDE"/>
    <w:lvl w:ilvl="0" w:tplc="41468CF4">
      <w:start w:val="1"/>
      <w:numFmt w:val="lowerRoman"/>
      <w:lvlText w:val="%1."/>
      <w:lvlJc w:val="right"/>
      <w:pPr>
        <w:ind w:left="1350" w:hanging="360"/>
      </w:pPr>
      <w:rPr>
        <w:rFonts w:hint="default"/>
        <w:b w:val="0"/>
        <w:bCs/>
        <w:i w:val="0"/>
        <w:i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0E56BC"/>
    <w:multiLevelType w:val="hybridMultilevel"/>
    <w:tmpl w:val="FE047188"/>
    <w:lvl w:ilvl="0" w:tplc="F9EA4FAE">
      <w:start w:val="7"/>
      <w:numFmt w:val="decimal"/>
      <w:lvlText w:val="%1."/>
      <w:lvlJc w:val="left"/>
      <w:pPr>
        <w:ind w:left="720" w:hanging="360"/>
      </w:pPr>
      <w:rPr>
        <w:rFonts w:hint="default"/>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E34F79"/>
    <w:multiLevelType w:val="hybridMultilevel"/>
    <w:tmpl w:val="26669312"/>
    <w:lvl w:ilvl="0" w:tplc="F774A78A">
      <w:start w:val="1"/>
      <w:numFmt w:val="lowerRoman"/>
      <w:lvlText w:val="%1."/>
      <w:lvlJc w:val="right"/>
      <w:pPr>
        <w:ind w:left="1350" w:hanging="360"/>
      </w:pPr>
      <w:rPr>
        <w:rFonts w:hint="default"/>
        <w:b w:val="0"/>
        <w:bCs/>
        <w:i w:val="0"/>
        <w:i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73228D"/>
    <w:multiLevelType w:val="hybridMultilevel"/>
    <w:tmpl w:val="8C2AB784"/>
    <w:lvl w:ilvl="0" w:tplc="F774A78A">
      <w:start w:val="1"/>
      <w:numFmt w:val="lowerRoman"/>
      <w:lvlText w:val="%1."/>
      <w:lvlJc w:val="right"/>
      <w:pPr>
        <w:ind w:left="1350" w:hanging="360"/>
      </w:pPr>
      <w:rPr>
        <w:rFonts w:hint="default"/>
        <w:b w:val="0"/>
        <w:bCs/>
        <w:i w:val="0"/>
        <w:i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11"/>
  </w:num>
  <w:num w:numId="5">
    <w:abstractNumId w:val="4"/>
  </w:num>
  <w:num w:numId="6">
    <w:abstractNumId w:val="13"/>
  </w:num>
  <w:num w:numId="7">
    <w:abstractNumId w:val="14"/>
  </w:num>
  <w:num w:numId="8">
    <w:abstractNumId w:val="6"/>
  </w:num>
  <w:num w:numId="9">
    <w:abstractNumId w:val="1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6"/>
  </w:num>
  <w:num w:numId="13">
    <w:abstractNumId w:val="3"/>
  </w:num>
  <w:num w:numId="14">
    <w:abstractNumId w:val="2"/>
  </w:num>
  <w:num w:numId="15">
    <w:abstractNumId w:val="9"/>
  </w:num>
  <w:num w:numId="16">
    <w:abstractNumId w:val="15"/>
  </w:num>
  <w:num w:numId="17">
    <w:abstractNumId w:val="10"/>
  </w:num>
  <w:num w:numId="18">
    <w:abstractNumId w:val="5"/>
  </w:num>
  <w:num w:numId="19">
    <w:abstractNumId w:val="17"/>
  </w:num>
  <w:num w:numId="20">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en-US" w:vendorID="64" w:dllVersion="6" w:nlCheck="1" w:checkStyle="0"/>
  <w:activeWritingStyle w:appName="MSWord" w:lang="en-GB" w:vendorID="64" w:dllVersion="6" w:nlCheck="1" w:checkStyle="0"/>
  <w:activeWritingStyle w:appName="MSWord" w:lang="de-DE"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pt-PT" w:vendorID="64" w:dllVersion="0" w:nlCheck="1" w:checkStyle="0"/>
  <w:activeWritingStyle w:appName="MSWord" w:lang="fr-FR" w:vendorID="64" w:dllVersion="6" w:nlCheck="1" w:checkStyle="0"/>
  <w:activeWritingStyle w:appName="MSWord" w:lang="fr-FR" w:vendorID="64" w:dllVersion="4096" w:nlCheck="1" w:checkStyle="0"/>
  <w:activeWritingStyle w:appName="MSWord" w:lang="es-ES" w:vendorID="64" w:dllVersion="0" w:nlCheck="1" w:checkStyle="0"/>
  <w:defaultTabStop w:val="720"/>
  <w:hyphenationZone w:val="425"/>
  <w:evenAndOddHeaders/>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BE0"/>
    <w:rsid w:val="00000983"/>
    <w:rsid w:val="00000E64"/>
    <w:rsid w:val="0000583D"/>
    <w:rsid w:val="000058D7"/>
    <w:rsid w:val="00006223"/>
    <w:rsid w:val="00007ED6"/>
    <w:rsid w:val="00010123"/>
    <w:rsid w:val="0001065D"/>
    <w:rsid w:val="00010E52"/>
    <w:rsid w:val="000126F6"/>
    <w:rsid w:val="00013142"/>
    <w:rsid w:val="00013A6F"/>
    <w:rsid w:val="0001506A"/>
    <w:rsid w:val="00021ADB"/>
    <w:rsid w:val="000246F6"/>
    <w:rsid w:val="00025AC5"/>
    <w:rsid w:val="00031841"/>
    <w:rsid w:val="00032BBD"/>
    <w:rsid w:val="000364FF"/>
    <w:rsid w:val="0003693B"/>
    <w:rsid w:val="00037462"/>
    <w:rsid w:val="00040B97"/>
    <w:rsid w:val="000422EB"/>
    <w:rsid w:val="00044A4F"/>
    <w:rsid w:val="00044AE0"/>
    <w:rsid w:val="00046BC4"/>
    <w:rsid w:val="0005034E"/>
    <w:rsid w:val="00050454"/>
    <w:rsid w:val="000512A4"/>
    <w:rsid w:val="000514A1"/>
    <w:rsid w:val="00051D2B"/>
    <w:rsid w:val="00052018"/>
    <w:rsid w:val="0005222B"/>
    <w:rsid w:val="00052852"/>
    <w:rsid w:val="00053E7A"/>
    <w:rsid w:val="00054568"/>
    <w:rsid w:val="00055469"/>
    <w:rsid w:val="00056689"/>
    <w:rsid w:val="0005668C"/>
    <w:rsid w:val="00057124"/>
    <w:rsid w:val="00061190"/>
    <w:rsid w:val="00062A5C"/>
    <w:rsid w:val="00065488"/>
    <w:rsid w:val="0007100D"/>
    <w:rsid w:val="00073322"/>
    <w:rsid w:val="00075D8E"/>
    <w:rsid w:val="0007664F"/>
    <w:rsid w:val="00080468"/>
    <w:rsid w:val="0008089E"/>
    <w:rsid w:val="000823F6"/>
    <w:rsid w:val="00082536"/>
    <w:rsid w:val="00082CBD"/>
    <w:rsid w:val="00083DA9"/>
    <w:rsid w:val="0008437D"/>
    <w:rsid w:val="000850CA"/>
    <w:rsid w:val="00085964"/>
    <w:rsid w:val="000873B8"/>
    <w:rsid w:val="00087A1A"/>
    <w:rsid w:val="00087AE4"/>
    <w:rsid w:val="00096A22"/>
    <w:rsid w:val="000A04AF"/>
    <w:rsid w:val="000A2A5E"/>
    <w:rsid w:val="000A2C56"/>
    <w:rsid w:val="000A2CB6"/>
    <w:rsid w:val="000A36A9"/>
    <w:rsid w:val="000A3F15"/>
    <w:rsid w:val="000A51B4"/>
    <w:rsid w:val="000A52CD"/>
    <w:rsid w:val="000A564C"/>
    <w:rsid w:val="000B1B85"/>
    <w:rsid w:val="000B6B97"/>
    <w:rsid w:val="000B794A"/>
    <w:rsid w:val="000C0420"/>
    <w:rsid w:val="000C2C3A"/>
    <w:rsid w:val="000D11EC"/>
    <w:rsid w:val="000D168B"/>
    <w:rsid w:val="000D353D"/>
    <w:rsid w:val="000D3A0F"/>
    <w:rsid w:val="000D3B5A"/>
    <w:rsid w:val="000D7029"/>
    <w:rsid w:val="000D7871"/>
    <w:rsid w:val="000E0938"/>
    <w:rsid w:val="000E252B"/>
    <w:rsid w:val="000E38BE"/>
    <w:rsid w:val="000E5FAE"/>
    <w:rsid w:val="000E7CF5"/>
    <w:rsid w:val="000E7D91"/>
    <w:rsid w:val="000F28C1"/>
    <w:rsid w:val="000F3F1C"/>
    <w:rsid w:val="000F5728"/>
    <w:rsid w:val="000F769F"/>
    <w:rsid w:val="001005E5"/>
    <w:rsid w:val="00103A96"/>
    <w:rsid w:val="00105013"/>
    <w:rsid w:val="00105261"/>
    <w:rsid w:val="001064E6"/>
    <w:rsid w:val="00106A25"/>
    <w:rsid w:val="0011058D"/>
    <w:rsid w:val="0011100C"/>
    <w:rsid w:val="00111BED"/>
    <w:rsid w:val="00113832"/>
    <w:rsid w:val="00114775"/>
    <w:rsid w:val="00114DA8"/>
    <w:rsid w:val="00115C1D"/>
    <w:rsid w:val="00115C57"/>
    <w:rsid w:val="001213DB"/>
    <w:rsid w:val="0012279F"/>
    <w:rsid w:val="00123BE5"/>
    <w:rsid w:val="001250F4"/>
    <w:rsid w:val="00126810"/>
    <w:rsid w:val="00127ADB"/>
    <w:rsid w:val="0013265F"/>
    <w:rsid w:val="00132FC2"/>
    <w:rsid w:val="00134ABB"/>
    <w:rsid w:val="00136F49"/>
    <w:rsid w:val="001370E0"/>
    <w:rsid w:val="00140689"/>
    <w:rsid w:val="0014143B"/>
    <w:rsid w:val="001416AC"/>
    <w:rsid w:val="00142747"/>
    <w:rsid w:val="00145A66"/>
    <w:rsid w:val="00147954"/>
    <w:rsid w:val="00147C39"/>
    <w:rsid w:val="0015167B"/>
    <w:rsid w:val="0015190D"/>
    <w:rsid w:val="00151F70"/>
    <w:rsid w:val="00152143"/>
    <w:rsid w:val="001524B2"/>
    <w:rsid w:val="001540F3"/>
    <w:rsid w:val="0015445C"/>
    <w:rsid w:val="00154F1A"/>
    <w:rsid w:val="00156D83"/>
    <w:rsid w:val="00160703"/>
    <w:rsid w:val="00161EB3"/>
    <w:rsid w:val="00166C28"/>
    <w:rsid w:val="00170DCE"/>
    <w:rsid w:val="0018105B"/>
    <w:rsid w:val="001852D4"/>
    <w:rsid w:val="00186C8C"/>
    <w:rsid w:val="0019062B"/>
    <w:rsid w:val="00193290"/>
    <w:rsid w:val="001935C1"/>
    <w:rsid w:val="00196240"/>
    <w:rsid w:val="001A17B8"/>
    <w:rsid w:val="001A2C99"/>
    <w:rsid w:val="001A41EA"/>
    <w:rsid w:val="001A7323"/>
    <w:rsid w:val="001A795E"/>
    <w:rsid w:val="001B0631"/>
    <w:rsid w:val="001B12D7"/>
    <w:rsid w:val="001B1E51"/>
    <w:rsid w:val="001B4C51"/>
    <w:rsid w:val="001B78C4"/>
    <w:rsid w:val="001B7FB9"/>
    <w:rsid w:val="001C058A"/>
    <w:rsid w:val="001C05CE"/>
    <w:rsid w:val="001C1C97"/>
    <w:rsid w:val="001C4F64"/>
    <w:rsid w:val="001C52AD"/>
    <w:rsid w:val="001D02A1"/>
    <w:rsid w:val="001D13B7"/>
    <w:rsid w:val="001D1EA6"/>
    <w:rsid w:val="001D37F1"/>
    <w:rsid w:val="001D4ACB"/>
    <w:rsid w:val="001D67D7"/>
    <w:rsid w:val="001D7361"/>
    <w:rsid w:val="001E099E"/>
    <w:rsid w:val="001E122C"/>
    <w:rsid w:val="001E2073"/>
    <w:rsid w:val="001E2EEF"/>
    <w:rsid w:val="001E65DF"/>
    <w:rsid w:val="001E6C75"/>
    <w:rsid w:val="001F1678"/>
    <w:rsid w:val="001F3A97"/>
    <w:rsid w:val="001F72C0"/>
    <w:rsid w:val="00200BE8"/>
    <w:rsid w:val="00201E42"/>
    <w:rsid w:val="00202CB0"/>
    <w:rsid w:val="0020410F"/>
    <w:rsid w:val="00204746"/>
    <w:rsid w:val="00205658"/>
    <w:rsid w:val="00205836"/>
    <w:rsid w:val="002106DE"/>
    <w:rsid w:val="002123C0"/>
    <w:rsid w:val="00213A6D"/>
    <w:rsid w:val="00215724"/>
    <w:rsid w:val="0022154A"/>
    <w:rsid w:val="00223592"/>
    <w:rsid w:val="00224004"/>
    <w:rsid w:val="00224FC4"/>
    <w:rsid w:val="002258B2"/>
    <w:rsid w:val="00234302"/>
    <w:rsid w:val="00236FE7"/>
    <w:rsid w:val="0023702F"/>
    <w:rsid w:val="00237236"/>
    <w:rsid w:val="00237239"/>
    <w:rsid w:val="00241F3F"/>
    <w:rsid w:val="00242E77"/>
    <w:rsid w:val="00243E75"/>
    <w:rsid w:val="00244236"/>
    <w:rsid w:val="002456C4"/>
    <w:rsid w:val="00247240"/>
    <w:rsid w:val="00251D08"/>
    <w:rsid w:val="00251EF2"/>
    <w:rsid w:val="0025333D"/>
    <w:rsid w:val="0025408D"/>
    <w:rsid w:val="0025557C"/>
    <w:rsid w:val="00255C19"/>
    <w:rsid w:val="00255E1E"/>
    <w:rsid w:val="00257C06"/>
    <w:rsid w:val="002623B8"/>
    <w:rsid w:val="00265D6A"/>
    <w:rsid w:val="00265E43"/>
    <w:rsid w:val="00271C1A"/>
    <w:rsid w:val="00271F39"/>
    <w:rsid w:val="00272998"/>
    <w:rsid w:val="002739E1"/>
    <w:rsid w:val="002747E1"/>
    <w:rsid w:val="002759E1"/>
    <w:rsid w:val="00276A0A"/>
    <w:rsid w:val="00281F79"/>
    <w:rsid w:val="00282700"/>
    <w:rsid w:val="00282835"/>
    <w:rsid w:val="00282A25"/>
    <w:rsid w:val="00282E3A"/>
    <w:rsid w:val="00284ADF"/>
    <w:rsid w:val="00287007"/>
    <w:rsid w:val="00287A3A"/>
    <w:rsid w:val="00287E08"/>
    <w:rsid w:val="002906B9"/>
    <w:rsid w:val="00290807"/>
    <w:rsid w:val="00291742"/>
    <w:rsid w:val="00292511"/>
    <w:rsid w:val="00293309"/>
    <w:rsid w:val="0029443E"/>
    <w:rsid w:val="00294B10"/>
    <w:rsid w:val="00294D26"/>
    <w:rsid w:val="002954F1"/>
    <w:rsid w:val="0029569A"/>
    <w:rsid w:val="00295F0A"/>
    <w:rsid w:val="00297128"/>
    <w:rsid w:val="002978E2"/>
    <w:rsid w:val="002979CD"/>
    <w:rsid w:val="002A1E9D"/>
    <w:rsid w:val="002A36AB"/>
    <w:rsid w:val="002A3DCC"/>
    <w:rsid w:val="002B0018"/>
    <w:rsid w:val="002B2F92"/>
    <w:rsid w:val="002C08FF"/>
    <w:rsid w:val="002C139E"/>
    <w:rsid w:val="002C29BD"/>
    <w:rsid w:val="002C454F"/>
    <w:rsid w:val="002C72F4"/>
    <w:rsid w:val="002D3C48"/>
    <w:rsid w:val="002D3DE9"/>
    <w:rsid w:val="002D636D"/>
    <w:rsid w:val="002D63E8"/>
    <w:rsid w:val="002D688D"/>
    <w:rsid w:val="002D79CE"/>
    <w:rsid w:val="002E0458"/>
    <w:rsid w:val="002E07BC"/>
    <w:rsid w:val="002E19F2"/>
    <w:rsid w:val="002E24CB"/>
    <w:rsid w:val="002E44F7"/>
    <w:rsid w:val="002E4BC8"/>
    <w:rsid w:val="002E556C"/>
    <w:rsid w:val="002E6126"/>
    <w:rsid w:val="002E699B"/>
    <w:rsid w:val="002E6B72"/>
    <w:rsid w:val="002F0AD0"/>
    <w:rsid w:val="002F183A"/>
    <w:rsid w:val="002F27A3"/>
    <w:rsid w:val="002F473C"/>
    <w:rsid w:val="002F48A5"/>
    <w:rsid w:val="002F7CC5"/>
    <w:rsid w:val="00303311"/>
    <w:rsid w:val="00303941"/>
    <w:rsid w:val="00303A50"/>
    <w:rsid w:val="003053E6"/>
    <w:rsid w:val="003173F2"/>
    <w:rsid w:val="0032070D"/>
    <w:rsid w:val="003213CC"/>
    <w:rsid w:val="00321EFE"/>
    <w:rsid w:val="00323104"/>
    <w:rsid w:val="003261C4"/>
    <w:rsid w:val="00332D21"/>
    <w:rsid w:val="003409F6"/>
    <w:rsid w:val="00341E3F"/>
    <w:rsid w:val="003424B7"/>
    <w:rsid w:val="003425AA"/>
    <w:rsid w:val="003464A8"/>
    <w:rsid w:val="0034708B"/>
    <w:rsid w:val="00347FF4"/>
    <w:rsid w:val="0035376A"/>
    <w:rsid w:val="003538D6"/>
    <w:rsid w:val="00353C26"/>
    <w:rsid w:val="00353E90"/>
    <w:rsid w:val="00356A62"/>
    <w:rsid w:val="0036482A"/>
    <w:rsid w:val="00366C56"/>
    <w:rsid w:val="003713D2"/>
    <w:rsid w:val="00375E3D"/>
    <w:rsid w:val="00380181"/>
    <w:rsid w:val="00380286"/>
    <w:rsid w:val="003804F1"/>
    <w:rsid w:val="003818E9"/>
    <w:rsid w:val="003825BE"/>
    <w:rsid w:val="0038721C"/>
    <w:rsid w:val="003913D8"/>
    <w:rsid w:val="00393AE3"/>
    <w:rsid w:val="00397F91"/>
    <w:rsid w:val="003A088C"/>
    <w:rsid w:val="003A2360"/>
    <w:rsid w:val="003A4947"/>
    <w:rsid w:val="003A4982"/>
    <w:rsid w:val="003A4AD8"/>
    <w:rsid w:val="003A517D"/>
    <w:rsid w:val="003A6B64"/>
    <w:rsid w:val="003A77A0"/>
    <w:rsid w:val="003B0F33"/>
    <w:rsid w:val="003B153A"/>
    <w:rsid w:val="003B27F1"/>
    <w:rsid w:val="003B4A91"/>
    <w:rsid w:val="003B671F"/>
    <w:rsid w:val="003C431C"/>
    <w:rsid w:val="003C687A"/>
    <w:rsid w:val="003D10A3"/>
    <w:rsid w:val="003D2DE9"/>
    <w:rsid w:val="003D3295"/>
    <w:rsid w:val="003D722E"/>
    <w:rsid w:val="003E0353"/>
    <w:rsid w:val="003E403F"/>
    <w:rsid w:val="003E4F87"/>
    <w:rsid w:val="003E54C9"/>
    <w:rsid w:val="003F14AD"/>
    <w:rsid w:val="003F37D5"/>
    <w:rsid w:val="003F38EF"/>
    <w:rsid w:val="003F3AFE"/>
    <w:rsid w:val="003F3D5D"/>
    <w:rsid w:val="003F51E8"/>
    <w:rsid w:val="003F5F51"/>
    <w:rsid w:val="004007B0"/>
    <w:rsid w:val="00401AAD"/>
    <w:rsid w:val="00402F23"/>
    <w:rsid w:val="004150F9"/>
    <w:rsid w:val="00417BE0"/>
    <w:rsid w:val="00420496"/>
    <w:rsid w:val="004219EA"/>
    <w:rsid w:val="00426ACB"/>
    <w:rsid w:val="004322AF"/>
    <w:rsid w:val="004322CB"/>
    <w:rsid w:val="0043410E"/>
    <w:rsid w:val="00436240"/>
    <w:rsid w:val="004363A6"/>
    <w:rsid w:val="00436BE8"/>
    <w:rsid w:val="004379A4"/>
    <w:rsid w:val="00440169"/>
    <w:rsid w:val="00440443"/>
    <w:rsid w:val="00442CA8"/>
    <w:rsid w:val="004435CC"/>
    <w:rsid w:val="00444F7B"/>
    <w:rsid w:val="004462E4"/>
    <w:rsid w:val="00447B97"/>
    <w:rsid w:val="004507C6"/>
    <w:rsid w:val="00452E7A"/>
    <w:rsid w:val="00453A48"/>
    <w:rsid w:val="004555F0"/>
    <w:rsid w:val="00463067"/>
    <w:rsid w:val="00470D18"/>
    <w:rsid w:val="004736C6"/>
    <w:rsid w:val="00474097"/>
    <w:rsid w:val="00477781"/>
    <w:rsid w:val="004812FB"/>
    <w:rsid w:val="00481AEC"/>
    <w:rsid w:val="004901C9"/>
    <w:rsid w:val="00490C53"/>
    <w:rsid w:val="0049209B"/>
    <w:rsid w:val="00493642"/>
    <w:rsid w:val="00493972"/>
    <w:rsid w:val="00493C92"/>
    <w:rsid w:val="004A080E"/>
    <w:rsid w:val="004A3A0A"/>
    <w:rsid w:val="004A5CEC"/>
    <w:rsid w:val="004A6393"/>
    <w:rsid w:val="004B0A45"/>
    <w:rsid w:val="004B172A"/>
    <w:rsid w:val="004B2502"/>
    <w:rsid w:val="004B257D"/>
    <w:rsid w:val="004B4CDB"/>
    <w:rsid w:val="004B577F"/>
    <w:rsid w:val="004B5CC5"/>
    <w:rsid w:val="004B6153"/>
    <w:rsid w:val="004B6DA3"/>
    <w:rsid w:val="004B6FF2"/>
    <w:rsid w:val="004B7308"/>
    <w:rsid w:val="004C0980"/>
    <w:rsid w:val="004C1D19"/>
    <w:rsid w:val="004C693B"/>
    <w:rsid w:val="004C6E46"/>
    <w:rsid w:val="004C6EBA"/>
    <w:rsid w:val="004C7704"/>
    <w:rsid w:val="004D0A82"/>
    <w:rsid w:val="004D38BD"/>
    <w:rsid w:val="004D532A"/>
    <w:rsid w:val="004D5C1C"/>
    <w:rsid w:val="004D6B92"/>
    <w:rsid w:val="004D702D"/>
    <w:rsid w:val="004D7195"/>
    <w:rsid w:val="004D7340"/>
    <w:rsid w:val="004D7EDC"/>
    <w:rsid w:val="004E059C"/>
    <w:rsid w:val="004E1D2A"/>
    <w:rsid w:val="004E4B58"/>
    <w:rsid w:val="004E4FFF"/>
    <w:rsid w:val="004E552F"/>
    <w:rsid w:val="004E5A9C"/>
    <w:rsid w:val="004F51E7"/>
    <w:rsid w:val="004F5513"/>
    <w:rsid w:val="004F71FB"/>
    <w:rsid w:val="004F73D3"/>
    <w:rsid w:val="00500307"/>
    <w:rsid w:val="00501CE7"/>
    <w:rsid w:val="00501D01"/>
    <w:rsid w:val="00511255"/>
    <w:rsid w:val="00514789"/>
    <w:rsid w:val="00517627"/>
    <w:rsid w:val="005207ED"/>
    <w:rsid w:val="00524522"/>
    <w:rsid w:val="00524677"/>
    <w:rsid w:val="00524ECB"/>
    <w:rsid w:val="00525B61"/>
    <w:rsid w:val="00526215"/>
    <w:rsid w:val="00526D22"/>
    <w:rsid w:val="00527912"/>
    <w:rsid w:val="00532C7C"/>
    <w:rsid w:val="00533E42"/>
    <w:rsid w:val="00533E45"/>
    <w:rsid w:val="00534610"/>
    <w:rsid w:val="005348C4"/>
    <w:rsid w:val="00534E6E"/>
    <w:rsid w:val="0053653E"/>
    <w:rsid w:val="0054040C"/>
    <w:rsid w:val="00545AE4"/>
    <w:rsid w:val="0054613C"/>
    <w:rsid w:val="005468FD"/>
    <w:rsid w:val="005501B3"/>
    <w:rsid w:val="00550483"/>
    <w:rsid w:val="00552E92"/>
    <w:rsid w:val="00553546"/>
    <w:rsid w:val="0055415F"/>
    <w:rsid w:val="005568DC"/>
    <w:rsid w:val="005570A4"/>
    <w:rsid w:val="005603B2"/>
    <w:rsid w:val="005608FB"/>
    <w:rsid w:val="00560C85"/>
    <w:rsid w:val="005613DA"/>
    <w:rsid w:val="00565908"/>
    <w:rsid w:val="00565EA8"/>
    <w:rsid w:val="005700D1"/>
    <w:rsid w:val="005710CF"/>
    <w:rsid w:val="00576EEA"/>
    <w:rsid w:val="00583B91"/>
    <w:rsid w:val="00583DF3"/>
    <w:rsid w:val="005849CE"/>
    <w:rsid w:val="0058566F"/>
    <w:rsid w:val="005866CA"/>
    <w:rsid w:val="005870DC"/>
    <w:rsid w:val="0059013E"/>
    <w:rsid w:val="0059345A"/>
    <w:rsid w:val="005A01B5"/>
    <w:rsid w:val="005A023D"/>
    <w:rsid w:val="005A054D"/>
    <w:rsid w:val="005A1117"/>
    <w:rsid w:val="005A1412"/>
    <w:rsid w:val="005A2D0C"/>
    <w:rsid w:val="005A3B3C"/>
    <w:rsid w:val="005A5DB6"/>
    <w:rsid w:val="005A6193"/>
    <w:rsid w:val="005A6767"/>
    <w:rsid w:val="005A689C"/>
    <w:rsid w:val="005A71DB"/>
    <w:rsid w:val="005B0C45"/>
    <w:rsid w:val="005B35BB"/>
    <w:rsid w:val="005B66A9"/>
    <w:rsid w:val="005C0579"/>
    <w:rsid w:val="005C0CD7"/>
    <w:rsid w:val="005C0F5B"/>
    <w:rsid w:val="005C255A"/>
    <w:rsid w:val="005C3CD2"/>
    <w:rsid w:val="005C6687"/>
    <w:rsid w:val="005C78C1"/>
    <w:rsid w:val="005D04C4"/>
    <w:rsid w:val="005D2131"/>
    <w:rsid w:val="005D49A1"/>
    <w:rsid w:val="005D6B29"/>
    <w:rsid w:val="005E0D85"/>
    <w:rsid w:val="005E1E57"/>
    <w:rsid w:val="005E27F2"/>
    <w:rsid w:val="005E37A7"/>
    <w:rsid w:val="005E4210"/>
    <w:rsid w:val="005E44C7"/>
    <w:rsid w:val="005E6032"/>
    <w:rsid w:val="005E74D7"/>
    <w:rsid w:val="005E79DF"/>
    <w:rsid w:val="005F12EF"/>
    <w:rsid w:val="005F7C0E"/>
    <w:rsid w:val="006000C3"/>
    <w:rsid w:val="00600787"/>
    <w:rsid w:val="0060279B"/>
    <w:rsid w:val="006044E4"/>
    <w:rsid w:val="00606B1F"/>
    <w:rsid w:val="00607913"/>
    <w:rsid w:val="0061294C"/>
    <w:rsid w:val="00612F3E"/>
    <w:rsid w:val="006150C2"/>
    <w:rsid w:val="00617F09"/>
    <w:rsid w:val="00622A85"/>
    <w:rsid w:val="00622C1F"/>
    <w:rsid w:val="00627EF3"/>
    <w:rsid w:val="006300E2"/>
    <w:rsid w:val="00630687"/>
    <w:rsid w:val="00630E82"/>
    <w:rsid w:val="00631395"/>
    <w:rsid w:val="0063468D"/>
    <w:rsid w:val="00635C99"/>
    <w:rsid w:val="006362B1"/>
    <w:rsid w:val="006362FE"/>
    <w:rsid w:val="006370AC"/>
    <w:rsid w:val="00637909"/>
    <w:rsid w:val="00640902"/>
    <w:rsid w:val="006417D5"/>
    <w:rsid w:val="0064257A"/>
    <w:rsid w:val="00644012"/>
    <w:rsid w:val="00653C78"/>
    <w:rsid w:val="006552ED"/>
    <w:rsid w:val="006555D3"/>
    <w:rsid w:val="006561C6"/>
    <w:rsid w:val="00656B31"/>
    <w:rsid w:val="00660275"/>
    <w:rsid w:val="006607FA"/>
    <w:rsid w:val="00661BFE"/>
    <w:rsid w:val="00662C05"/>
    <w:rsid w:val="006658A8"/>
    <w:rsid w:val="00665BD6"/>
    <w:rsid w:val="00666B22"/>
    <w:rsid w:val="00667FD2"/>
    <w:rsid w:val="006712A7"/>
    <w:rsid w:val="00671DCA"/>
    <w:rsid w:val="00672FDB"/>
    <w:rsid w:val="00682EFD"/>
    <w:rsid w:val="006846B3"/>
    <w:rsid w:val="006870B0"/>
    <w:rsid w:val="00687D0E"/>
    <w:rsid w:val="00691DE0"/>
    <w:rsid w:val="00692925"/>
    <w:rsid w:val="00695D58"/>
    <w:rsid w:val="00696D26"/>
    <w:rsid w:val="006A03E3"/>
    <w:rsid w:val="006A1520"/>
    <w:rsid w:val="006A3C74"/>
    <w:rsid w:val="006B3473"/>
    <w:rsid w:val="006B42BA"/>
    <w:rsid w:val="006B75B1"/>
    <w:rsid w:val="006C068B"/>
    <w:rsid w:val="006C5FDC"/>
    <w:rsid w:val="006C6545"/>
    <w:rsid w:val="006D01DD"/>
    <w:rsid w:val="006D0C1F"/>
    <w:rsid w:val="006D0C55"/>
    <w:rsid w:val="006D1A96"/>
    <w:rsid w:val="006D2D7D"/>
    <w:rsid w:val="006D363D"/>
    <w:rsid w:val="006D40A5"/>
    <w:rsid w:val="006D463E"/>
    <w:rsid w:val="006D54FD"/>
    <w:rsid w:val="006D58FD"/>
    <w:rsid w:val="006D68E1"/>
    <w:rsid w:val="006E001E"/>
    <w:rsid w:val="006E26E5"/>
    <w:rsid w:val="006E338C"/>
    <w:rsid w:val="006E4CA6"/>
    <w:rsid w:val="006E7644"/>
    <w:rsid w:val="006F286D"/>
    <w:rsid w:val="006F436E"/>
    <w:rsid w:val="006F49F0"/>
    <w:rsid w:val="006F54A8"/>
    <w:rsid w:val="006F74B4"/>
    <w:rsid w:val="006F7DA0"/>
    <w:rsid w:val="007013A8"/>
    <w:rsid w:val="00701910"/>
    <w:rsid w:val="00702503"/>
    <w:rsid w:val="007029ED"/>
    <w:rsid w:val="00703D19"/>
    <w:rsid w:val="00706667"/>
    <w:rsid w:val="00714B2C"/>
    <w:rsid w:val="00716903"/>
    <w:rsid w:val="00716C21"/>
    <w:rsid w:val="00724DC8"/>
    <w:rsid w:val="00724F5D"/>
    <w:rsid w:val="00727372"/>
    <w:rsid w:val="00734381"/>
    <w:rsid w:val="0073469B"/>
    <w:rsid w:val="00735A9C"/>
    <w:rsid w:val="00735C99"/>
    <w:rsid w:val="007409D2"/>
    <w:rsid w:val="0074306A"/>
    <w:rsid w:val="007455B3"/>
    <w:rsid w:val="007472D5"/>
    <w:rsid w:val="0075155F"/>
    <w:rsid w:val="00752080"/>
    <w:rsid w:val="00752111"/>
    <w:rsid w:val="00754350"/>
    <w:rsid w:val="00754FB5"/>
    <w:rsid w:val="00757124"/>
    <w:rsid w:val="00757392"/>
    <w:rsid w:val="00760EDD"/>
    <w:rsid w:val="00761581"/>
    <w:rsid w:val="00762260"/>
    <w:rsid w:val="0076451E"/>
    <w:rsid w:val="007660EB"/>
    <w:rsid w:val="0076738B"/>
    <w:rsid w:val="007704B3"/>
    <w:rsid w:val="007713FD"/>
    <w:rsid w:val="00775618"/>
    <w:rsid w:val="0077604A"/>
    <w:rsid w:val="007764FD"/>
    <w:rsid w:val="00777968"/>
    <w:rsid w:val="00777FD4"/>
    <w:rsid w:val="0078013E"/>
    <w:rsid w:val="00782999"/>
    <w:rsid w:val="00782C68"/>
    <w:rsid w:val="00783FB5"/>
    <w:rsid w:val="0078738C"/>
    <w:rsid w:val="0078751F"/>
    <w:rsid w:val="00790338"/>
    <w:rsid w:val="007933AB"/>
    <w:rsid w:val="00796810"/>
    <w:rsid w:val="007969E6"/>
    <w:rsid w:val="00796D0F"/>
    <w:rsid w:val="00797101"/>
    <w:rsid w:val="007A1ABD"/>
    <w:rsid w:val="007A1F2E"/>
    <w:rsid w:val="007A36CE"/>
    <w:rsid w:val="007A36D7"/>
    <w:rsid w:val="007A5141"/>
    <w:rsid w:val="007A5F70"/>
    <w:rsid w:val="007B0C3F"/>
    <w:rsid w:val="007B107F"/>
    <w:rsid w:val="007B2A62"/>
    <w:rsid w:val="007B37FE"/>
    <w:rsid w:val="007B3A15"/>
    <w:rsid w:val="007B5424"/>
    <w:rsid w:val="007B6735"/>
    <w:rsid w:val="007B67E3"/>
    <w:rsid w:val="007B6A1C"/>
    <w:rsid w:val="007C0767"/>
    <w:rsid w:val="007C329B"/>
    <w:rsid w:val="007C37F7"/>
    <w:rsid w:val="007C5F56"/>
    <w:rsid w:val="007C6228"/>
    <w:rsid w:val="007C746F"/>
    <w:rsid w:val="007D19BC"/>
    <w:rsid w:val="007D1D95"/>
    <w:rsid w:val="007D2D80"/>
    <w:rsid w:val="007D30D0"/>
    <w:rsid w:val="007D3821"/>
    <w:rsid w:val="007D3C34"/>
    <w:rsid w:val="007D693D"/>
    <w:rsid w:val="007D7035"/>
    <w:rsid w:val="007E1286"/>
    <w:rsid w:val="007E19DF"/>
    <w:rsid w:val="007E3D93"/>
    <w:rsid w:val="007E3F5B"/>
    <w:rsid w:val="007E500E"/>
    <w:rsid w:val="007E5419"/>
    <w:rsid w:val="007E5568"/>
    <w:rsid w:val="007F01A5"/>
    <w:rsid w:val="007F11A1"/>
    <w:rsid w:val="007F1FB2"/>
    <w:rsid w:val="007F615D"/>
    <w:rsid w:val="007F6DB4"/>
    <w:rsid w:val="0080518B"/>
    <w:rsid w:val="00805E3A"/>
    <w:rsid w:val="00810E43"/>
    <w:rsid w:val="0081290D"/>
    <w:rsid w:val="00814480"/>
    <w:rsid w:val="0081776D"/>
    <w:rsid w:val="00817924"/>
    <w:rsid w:val="00817985"/>
    <w:rsid w:val="008248A0"/>
    <w:rsid w:val="00830429"/>
    <w:rsid w:val="00830F8A"/>
    <w:rsid w:val="00832FB1"/>
    <w:rsid w:val="00834D8C"/>
    <w:rsid w:val="00842AEC"/>
    <w:rsid w:val="00843122"/>
    <w:rsid w:val="00843685"/>
    <w:rsid w:val="00847122"/>
    <w:rsid w:val="008477E0"/>
    <w:rsid w:val="0085073A"/>
    <w:rsid w:val="00850A0E"/>
    <w:rsid w:val="00851A00"/>
    <w:rsid w:val="00852796"/>
    <w:rsid w:val="00855C81"/>
    <w:rsid w:val="00856912"/>
    <w:rsid w:val="0085759F"/>
    <w:rsid w:val="00861FFF"/>
    <w:rsid w:val="00862FD0"/>
    <w:rsid w:val="00863A46"/>
    <w:rsid w:val="00865D75"/>
    <w:rsid w:val="00867427"/>
    <w:rsid w:val="008676B7"/>
    <w:rsid w:val="0086781F"/>
    <w:rsid w:val="008716A4"/>
    <w:rsid w:val="008719CF"/>
    <w:rsid w:val="008720BE"/>
    <w:rsid w:val="0087223E"/>
    <w:rsid w:val="008728E5"/>
    <w:rsid w:val="00877565"/>
    <w:rsid w:val="00881FB6"/>
    <w:rsid w:val="00882EAE"/>
    <w:rsid w:val="00883433"/>
    <w:rsid w:val="00883722"/>
    <w:rsid w:val="008839DA"/>
    <w:rsid w:val="0089176F"/>
    <w:rsid w:val="00893DD1"/>
    <w:rsid w:val="008942F5"/>
    <w:rsid w:val="00894A89"/>
    <w:rsid w:val="00897F7C"/>
    <w:rsid w:val="008A19AE"/>
    <w:rsid w:val="008A1D37"/>
    <w:rsid w:val="008A5E7F"/>
    <w:rsid w:val="008A6821"/>
    <w:rsid w:val="008B071D"/>
    <w:rsid w:val="008B0AE9"/>
    <w:rsid w:val="008B0D13"/>
    <w:rsid w:val="008B1A30"/>
    <w:rsid w:val="008B1BED"/>
    <w:rsid w:val="008B2A50"/>
    <w:rsid w:val="008B2E86"/>
    <w:rsid w:val="008B36AC"/>
    <w:rsid w:val="008B4B8C"/>
    <w:rsid w:val="008B56C8"/>
    <w:rsid w:val="008C048E"/>
    <w:rsid w:val="008C055E"/>
    <w:rsid w:val="008C179D"/>
    <w:rsid w:val="008D1502"/>
    <w:rsid w:val="008D1F46"/>
    <w:rsid w:val="008D2D3C"/>
    <w:rsid w:val="008E102A"/>
    <w:rsid w:val="008E1661"/>
    <w:rsid w:val="008E5B94"/>
    <w:rsid w:val="008E7CDB"/>
    <w:rsid w:val="008F1521"/>
    <w:rsid w:val="008F2D21"/>
    <w:rsid w:val="008F6AB8"/>
    <w:rsid w:val="008F7036"/>
    <w:rsid w:val="008F711B"/>
    <w:rsid w:val="00900B32"/>
    <w:rsid w:val="00901699"/>
    <w:rsid w:val="00903F34"/>
    <w:rsid w:val="009057F2"/>
    <w:rsid w:val="0090766A"/>
    <w:rsid w:val="00907A31"/>
    <w:rsid w:val="00907BD1"/>
    <w:rsid w:val="009128C2"/>
    <w:rsid w:val="0091720B"/>
    <w:rsid w:val="009205EF"/>
    <w:rsid w:val="009216DB"/>
    <w:rsid w:val="00921795"/>
    <w:rsid w:val="00921B3C"/>
    <w:rsid w:val="009224B0"/>
    <w:rsid w:val="00924C1B"/>
    <w:rsid w:val="00924F1B"/>
    <w:rsid w:val="009267F4"/>
    <w:rsid w:val="0092781E"/>
    <w:rsid w:val="00927EDC"/>
    <w:rsid w:val="00930195"/>
    <w:rsid w:val="00932E30"/>
    <w:rsid w:val="009344CB"/>
    <w:rsid w:val="00937F50"/>
    <w:rsid w:val="009405CC"/>
    <w:rsid w:val="009420B0"/>
    <w:rsid w:val="009434FA"/>
    <w:rsid w:val="00946690"/>
    <w:rsid w:val="009473B7"/>
    <w:rsid w:val="00947DE2"/>
    <w:rsid w:val="00950F69"/>
    <w:rsid w:val="009528EF"/>
    <w:rsid w:val="00956882"/>
    <w:rsid w:val="00956B81"/>
    <w:rsid w:val="00962232"/>
    <w:rsid w:val="009633DA"/>
    <w:rsid w:val="00966519"/>
    <w:rsid w:val="00971A69"/>
    <w:rsid w:val="00973A26"/>
    <w:rsid w:val="00981259"/>
    <w:rsid w:val="00983790"/>
    <w:rsid w:val="0098680C"/>
    <w:rsid w:val="00987C9C"/>
    <w:rsid w:val="0099178D"/>
    <w:rsid w:val="00997838"/>
    <w:rsid w:val="00997C0D"/>
    <w:rsid w:val="009A0632"/>
    <w:rsid w:val="009A1B31"/>
    <w:rsid w:val="009A1B9B"/>
    <w:rsid w:val="009A1EB4"/>
    <w:rsid w:val="009A35B6"/>
    <w:rsid w:val="009A670F"/>
    <w:rsid w:val="009A70AF"/>
    <w:rsid w:val="009B0F8D"/>
    <w:rsid w:val="009B142E"/>
    <w:rsid w:val="009B58AF"/>
    <w:rsid w:val="009B7BA2"/>
    <w:rsid w:val="009C0802"/>
    <w:rsid w:val="009C1DB1"/>
    <w:rsid w:val="009C598C"/>
    <w:rsid w:val="009C67AF"/>
    <w:rsid w:val="009D0235"/>
    <w:rsid w:val="009D6363"/>
    <w:rsid w:val="009D761E"/>
    <w:rsid w:val="009D7DA4"/>
    <w:rsid w:val="009E0A59"/>
    <w:rsid w:val="009E1D0B"/>
    <w:rsid w:val="009E46EB"/>
    <w:rsid w:val="009E7241"/>
    <w:rsid w:val="009F13D7"/>
    <w:rsid w:val="009F503D"/>
    <w:rsid w:val="009F5ACA"/>
    <w:rsid w:val="00A01A24"/>
    <w:rsid w:val="00A0253A"/>
    <w:rsid w:val="00A05509"/>
    <w:rsid w:val="00A056F3"/>
    <w:rsid w:val="00A068E4"/>
    <w:rsid w:val="00A07755"/>
    <w:rsid w:val="00A0795D"/>
    <w:rsid w:val="00A10250"/>
    <w:rsid w:val="00A106E1"/>
    <w:rsid w:val="00A10B17"/>
    <w:rsid w:val="00A12280"/>
    <w:rsid w:val="00A13BC5"/>
    <w:rsid w:val="00A13DF4"/>
    <w:rsid w:val="00A152D4"/>
    <w:rsid w:val="00A157F6"/>
    <w:rsid w:val="00A15CFA"/>
    <w:rsid w:val="00A16BEA"/>
    <w:rsid w:val="00A21F91"/>
    <w:rsid w:val="00A22928"/>
    <w:rsid w:val="00A22EA4"/>
    <w:rsid w:val="00A232D6"/>
    <w:rsid w:val="00A244A4"/>
    <w:rsid w:val="00A325B7"/>
    <w:rsid w:val="00A3440C"/>
    <w:rsid w:val="00A37D65"/>
    <w:rsid w:val="00A40D34"/>
    <w:rsid w:val="00A42AE3"/>
    <w:rsid w:val="00A44442"/>
    <w:rsid w:val="00A44F46"/>
    <w:rsid w:val="00A53346"/>
    <w:rsid w:val="00A53494"/>
    <w:rsid w:val="00A565EE"/>
    <w:rsid w:val="00A567E1"/>
    <w:rsid w:val="00A57E42"/>
    <w:rsid w:val="00A57F82"/>
    <w:rsid w:val="00A607E8"/>
    <w:rsid w:val="00A60B69"/>
    <w:rsid w:val="00A6156A"/>
    <w:rsid w:val="00A619D1"/>
    <w:rsid w:val="00A657C8"/>
    <w:rsid w:val="00A65BD9"/>
    <w:rsid w:val="00A667C1"/>
    <w:rsid w:val="00A6736B"/>
    <w:rsid w:val="00A6792F"/>
    <w:rsid w:val="00A67A54"/>
    <w:rsid w:val="00A70127"/>
    <w:rsid w:val="00A70150"/>
    <w:rsid w:val="00A80B83"/>
    <w:rsid w:val="00A8530C"/>
    <w:rsid w:val="00A85844"/>
    <w:rsid w:val="00A85F4D"/>
    <w:rsid w:val="00A8600D"/>
    <w:rsid w:val="00A86D9A"/>
    <w:rsid w:val="00A87DE8"/>
    <w:rsid w:val="00A909BD"/>
    <w:rsid w:val="00A92344"/>
    <w:rsid w:val="00A9579A"/>
    <w:rsid w:val="00A96AB8"/>
    <w:rsid w:val="00AA047D"/>
    <w:rsid w:val="00AA1DFD"/>
    <w:rsid w:val="00AA22E6"/>
    <w:rsid w:val="00AA30D9"/>
    <w:rsid w:val="00AA446B"/>
    <w:rsid w:val="00AA5087"/>
    <w:rsid w:val="00AA7339"/>
    <w:rsid w:val="00AB13A7"/>
    <w:rsid w:val="00AB1FF3"/>
    <w:rsid w:val="00AB38E6"/>
    <w:rsid w:val="00AB3BB2"/>
    <w:rsid w:val="00AB4294"/>
    <w:rsid w:val="00AB4718"/>
    <w:rsid w:val="00AB5A48"/>
    <w:rsid w:val="00AB7EAA"/>
    <w:rsid w:val="00AC2A16"/>
    <w:rsid w:val="00AC381F"/>
    <w:rsid w:val="00AC3E8B"/>
    <w:rsid w:val="00AC4D3E"/>
    <w:rsid w:val="00AC749A"/>
    <w:rsid w:val="00AD02F1"/>
    <w:rsid w:val="00AD0377"/>
    <w:rsid w:val="00AD332F"/>
    <w:rsid w:val="00AD4837"/>
    <w:rsid w:val="00AD5219"/>
    <w:rsid w:val="00AD6414"/>
    <w:rsid w:val="00AD7D94"/>
    <w:rsid w:val="00AE0689"/>
    <w:rsid w:val="00AE0CAE"/>
    <w:rsid w:val="00AE40B0"/>
    <w:rsid w:val="00AE6196"/>
    <w:rsid w:val="00AE6ED3"/>
    <w:rsid w:val="00AE768C"/>
    <w:rsid w:val="00AF05AE"/>
    <w:rsid w:val="00AF15D1"/>
    <w:rsid w:val="00AF1766"/>
    <w:rsid w:val="00AF2B45"/>
    <w:rsid w:val="00AF3A2D"/>
    <w:rsid w:val="00AF4C8D"/>
    <w:rsid w:val="00B00766"/>
    <w:rsid w:val="00B007B6"/>
    <w:rsid w:val="00B007D0"/>
    <w:rsid w:val="00B020E8"/>
    <w:rsid w:val="00B027C5"/>
    <w:rsid w:val="00B03284"/>
    <w:rsid w:val="00B05229"/>
    <w:rsid w:val="00B07612"/>
    <w:rsid w:val="00B1188E"/>
    <w:rsid w:val="00B12D8A"/>
    <w:rsid w:val="00B144E9"/>
    <w:rsid w:val="00B1597E"/>
    <w:rsid w:val="00B21A3A"/>
    <w:rsid w:val="00B224CF"/>
    <w:rsid w:val="00B22795"/>
    <w:rsid w:val="00B2668A"/>
    <w:rsid w:val="00B27D23"/>
    <w:rsid w:val="00B314A5"/>
    <w:rsid w:val="00B314E5"/>
    <w:rsid w:val="00B33817"/>
    <w:rsid w:val="00B343DC"/>
    <w:rsid w:val="00B344E9"/>
    <w:rsid w:val="00B3510D"/>
    <w:rsid w:val="00B3775B"/>
    <w:rsid w:val="00B40F93"/>
    <w:rsid w:val="00B411AE"/>
    <w:rsid w:val="00B47D90"/>
    <w:rsid w:val="00B5454E"/>
    <w:rsid w:val="00B55AFC"/>
    <w:rsid w:val="00B5653C"/>
    <w:rsid w:val="00B60444"/>
    <w:rsid w:val="00B60B97"/>
    <w:rsid w:val="00B61C98"/>
    <w:rsid w:val="00B6293C"/>
    <w:rsid w:val="00B62AA6"/>
    <w:rsid w:val="00B634FA"/>
    <w:rsid w:val="00B64904"/>
    <w:rsid w:val="00B65A7D"/>
    <w:rsid w:val="00B675B8"/>
    <w:rsid w:val="00B67E9F"/>
    <w:rsid w:val="00B725C3"/>
    <w:rsid w:val="00B729A7"/>
    <w:rsid w:val="00B73381"/>
    <w:rsid w:val="00B75FA6"/>
    <w:rsid w:val="00B766DD"/>
    <w:rsid w:val="00B77A49"/>
    <w:rsid w:val="00B838E6"/>
    <w:rsid w:val="00B839FE"/>
    <w:rsid w:val="00B84179"/>
    <w:rsid w:val="00B8464E"/>
    <w:rsid w:val="00B84CA6"/>
    <w:rsid w:val="00B85ACB"/>
    <w:rsid w:val="00B87A9C"/>
    <w:rsid w:val="00B900F9"/>
    <w:rsid w:val="00B904E1"/>
    <w:rsid w:val="00B91135"/>
    <w:rsid w:val="00B94447"/>
    <w:rsid w:val="00B9545E"/>
    <w:rsid w:val="00B95EB9"/>
    <w:rsid w:val="00BA07A4"/>
    <w:rsid w:val="00BA09D2"/>
    <w:rsid w:val="00BA14C1"/>
    <w:rsid w:val="00BA1F28"/>
    <w:rsid w:val="00BA2BE7"/>
    <w:rsid w:val="00BA36C2"/>
    <w:rsid w:val="00BB0059"/>
    <w:rsid w:val="00BB127C"/>
    <w:rsid w:val="00BB1975"/>
    <w:rsid w:val="00BB27C0"/>
    <w:rsid w:val="00BB2BA7"/>
    <w:rsid w:val="00BB3CA7"/>
    <w:rsid w:val="00BB4B29"/>
    <w:rsid w:val="00BB61E8"/>
    <w:rsid w:val="00BC0517"/>
    <w:rsid w:val="00BC5331"/>
    <w:rsid w:val="00BC6889"/>
    <w:rsid w:val="00BC6DE4"/>
    <w:rsid w:val="00BC7B39"/>
    <w:rsid w:val="00BD02C0"/>
    <w:rsid w:val="00BD1A2C"/>
    <w:rsid w:val="00BD205F"/>
    <w:rsid w:val="00BD44D2"/>
    <w:rsid w:val="00BD4A39"/>
    <w:rsid w:val="00BD5800"/>
    <w:rsid w:val="00BD77A1"/>
    <w:rsid w:val="00BE04CA"/>
    <w:rsid w:val="00BE0810"/>
    <w:rsid w:val="00BE082F"/>
    <w:rsid w:val="00BE0F08"/>
    <w:rsid w:val="00BE3739"/>
    <w:rsid w:val="00BE4609"/>
    <w:rsid w:val="00BE4A84"/>
    <w:rsid w:val="00BE4E78"/>
    <w:rsid w:val="00BE74A1"/>
    <w:rsid w:val="00BE7582"/>
    <w:rsid w:val="00BF1BBB"/>
    <w:rsid w:val="00BF3F8F"/>
    <w:rsid w:val="00C02D6B"/>
    <w:rsid w:val="00C02E78"/>
    <w:rsid w:val="00C032C6"/>
    <w:rsid w:val="00C042A4"/>
    <w:rsid w:val="00C11759"/>
    <w:rsid w:val="00C118FA"/>
    <w:rsid w:val="00C134D0"/>
    <w:rsid w:val="00C242CC"/>
    <w:rsid w:val="00C2609D"/>
    <w:rsid w:val="00C26C2C"/>
    <w:rsid w:val="00C30C43"/>
    <w:rsid w:val="00C31E92"/>
    <w:rsid w:val="00C32CF9"/>
    <w:rsid w:val="00C35607"/>
    <w:rsid w:val="00C3681B"/>
    <w:rsid w:val="00C36FB0"/>
    <w:rsid w:val="00C37491"/>
    <w:rsid w:val="00C40902"/>
    <w:rsid w:val="00C420B7"/>
    <w:rsid w:val="00C46995"/>
    <w:rsid w:val="00C504D1"/>
    <w:rsid w:val="00C50710"/>
    <w:rsid w:val="00C5232C"/>
    <w:rsid w:val="00C5514C"/>
    <w:rsid w:val="00C5558E"/>
    <w:rsid w:val="00C5759A"/>
    <w:rsid w:val="00C57C08"/>
    <w:rsid w:val="00C60130"/>
    <w:rsid w:val="00C60D2F"/>
    <w:rsid w:val="00C6105A"/>
    <w:rsid w:val="00C66F9D"/>
    <w:rsid w:val="00C7019A"/>
    <w:rsid w:val="00C738B4"/>
    <w:rsid w:val="00C77ED5"/>
    <w:rsid w:val="00C80F67"/>
    <w:rsid w:val="00C83CC8"/>
    <w:rsid w:val="00C83F21"/>
    <w:rsid w:val="00C910AE"/>
    <w:rsid w:val="00C97B00"/>
    <w:rsid w:val="00CA35C5"/>
    <w:rsid w:val="00CA5575"/>
    <w:rsid w:val="00CA6870"/>
    <w:rsid w:val="00CA7B0F"/>
    <w:rsid w:val="00CB09B6"/>
    <w:rsid w:val="00CB0D30"/>
    <w:rsid w:val="00CB2135"/>
    <w:rsid w:val="00CB395F"/>
    <w:rsid w:val="00CB6560"/>
    <w:rsid w:val="00CB7E57"/>
    <w:rsid w:val="00CC05F9"/>
    <w:rsid w:val="00CC2CC8"/>
    <w:rsid w:val="00CC494A"/>
    <w:rsid w:val="00CC57A7"/>
    <w:rsid w:val="00CC6A55"/>
    <w:rsid w:val="00CC6F09"/>
    <w:rsid w:val="00CD1A1A"/>
    <w:rsid w:val="00CD2099"/>
    <w:rsid w:val="00CD45C0"/>
    <w:rsid w:val="00CE2893"/>
    <w:rsid w:val="00CE6D3A"/>
    <w:rsid w:val="00CE72B4"/>
    <w:rsid w:val="00CE77C5"/>
    <w:rsid w:val="00CF22AF"/>
    <w:rsid w:val="00CF2AFB"/>
    <w:rsid w:val="00CF4B15"/>
    <w:rsid w:val="00CF5E1D"/>
    <w:rsid w:val="00CF6CC8"/>
    <w:rsid w:val="00CF7AB8"/>
    <w:rsid w:val="00D00171"/>
    <w:rsid w:val="00D01EDE"/>
    <w:rsid w:val="00D0406B"/>
    <w:rsid w:val="00D05F67"/>
    <w:rsid w:val="00D079AA"/>
    <w:rsid w:val="00D07E68"/>
    <w:rsid w:val="00D11A86"/>
    <w:rsid w:val="00D15342"/>
    <w:rsid w:val="00D15B3D"/>
    <w:rsid w:val="00D15D32"/>
    <w:rsid w:val="00D16D60"/>
    <w:rsid w:val="00D20C6B"/>
    <w:rsid w:val="00D21F4E"/>
    <w:rsid w:val="00D22046"/>
    <w:rsid w:val="00D23231"/>
    <w:rsid w:val="00D24347"/>
    <w:rsid w:val="00D25331"/>
    <w:rsid w:val="00D26D55"/>
    <w:rsid w:val="00D3024E"/>
    <w:rsid w:val="00D33E9A"/>
    <w:rsid w:val="00D352C6"/>
    <w:rsid w:val="00D406CD"/>
    <w:rsid w:val="00D42CD5"/>
    <w:rsid w:val="00D436DE"/>
    <w:rsid w:val="00D4442A"/>
    <w:rsid w:val="00D471F2"/>
    <w:rsid w:val="00D547D2"/>
    <w:rsid w:val="00D554FB"/>
    <w:rsid w:val="00D56A56"/>
    <w:rsid w:val="00D57353"/>
    <w:rsid w:val="00D61E74"/>
    <w:rsid w:val="00D64115"/>
    <w:rsid w:val="00D65711"/>
    <w:rsid w:val="00D65CD6"/>
    <w:rsid w:val="00D65E20"/>
    <w:rsid w:val="00D7143A"/>
    <w:rsid w:val="00D718A8"/>
    <w:rsid w:val="00D72DFC"/>
    <w:rsid w:val="00D76395"/>
    <w:rsid w:val="00D7746B"/>
    <w:rsid w:val="00D81B6F"/>
    <w:rsid w:val="00D82AE2"/>
    <w:rsid w:val="00D84ABD"/>
    <w:rsid w:val="00D84B3B"/>
    <w:rsid w:val="00D86C29"/>
    <w:rsid w:val="00D94F01"/>
    <w:rsid w:val="00D956C1"/>
    <w:rsid w:val="00D9584D"/>
    <w:rsid w:val="00DA03FA"/>
    <w:rsid w:val="00DA1A04"/>
    <w:rsid w:val="00DA418F"/>
    <w:rsid w:val="00DA51DD"/>
    <w:rsid w:val="00DA6E9A"/>
    <w:rsid w:val="00DA7343"/>
    <w:rsid w:val="00DA7860"/>
    <w:rsid w:val="00DB1399"/>
    <w:rsid w:val="00DC0213"/>
    <w:rsid w:val="00DC4356"/>
    <w:rsid w:val="00DC4BFA"/>
    <w:rsid w:val="00DC670A"/>
    <w:rsid w:val="00DC68C7"/>
    <w:rsid w:val="00DC71BE"/>
    <w:rsid w:val="00DD4C2E"/>
    <w:rsid w:val="00DD5FE9"/>
    <w:rsid w:val="00DD6A30"/>
    <w:rsid w:val="00DE0158"/>
    <w:rsid w:val="00DE3126"/>
    <w:rsid w:val="00DE5F49"/>
    <w:rsid w:val="00DE65CE"/>
    <w:rsid w:val="00DF0DE0"/>
    <w:rsid w:val="00DF3A31"/>
    <w:rsid w:val="00DF526A"/>
    <w:rsid w:val="00E0159A"/>
    <w:rsid w:val="00E017D7"/>
    <w:rsid w:val="00E01C5B"/>
    <w:rsid w:val="00E01D4F"/>
    <w:rsid w:val="00E02091"/>
    <w:rsid w:val="00E0211E"/>
    <w:rsid w:val="00E036B3"/>
    <w:rsid w:val="00E07263"/>
    <w:rsid w:val="00E11E6D"/>
    <w:rsid w:val="00E128AE"/>
    <w:rsid w:val="00E12D1F"/>
    <w:rsid w:val="00E13FB6"/>
    <w:rsid w:val="00E162B8"/>
    <w:rsid w:val="00E177A9"/>
    <w:rsid w:val="00E17F6C"/>
    <w:rsid w:val="00E206F2"/>
    <w:rsid w:val="00E222A2"/>
    <w:rsid w:val="00E234EB"/>
    <w:rsid w:val="00E2627D"/>
    <w:rsid w:val="00E27B7D"/>
    <w:rsid w:val="00E30B16"/>
    <w:rsid w:val="00E3122A"/>
    <w:rsid w:val="00E31AFC"/>
    <w:rsid w:val="00E32B4E"/>
    <w:rsid w:val="00E34863"/>
    <w:rsid w:val="00E35DC9"/>
    <w:rsid w:val="00E375DF"/>
    <w:rsid w:val="00E37C44"/>
    <w:rsid w:val="00E42675"/>
    <w:rsid w:val="00E42D41"/>
    <w:rsid w:val="00E43284"/>
    <w:rsid w:val="00E43DA8"/>
    <w:rsid w:val="00E45ED9"/>
    <w:rsid w:val="00E46310"/>
    <w:rsid w:val="00E4714D"/>
    <w:rsid w:val="00E53044"/>
    <w:rsid w:val="00E55854"/>
    <w:rsid w:val="00E5760B"/>
    <w:rsid w:val="00E70128"/>
    <w:rsid w:val="00E71CA7"/>
    <w:rsid w:val="00E7318C"/>
    <w:rsid w:val="00E7378C"/>
    <w:rsid w:val="00E74B20"/>
    <w:rsid w:val="00E766A4"/>
    <w:rsid w:val="00E766D9"/>
    <w:rsid w:val="00E803F8"/>
    <w:rsid w:val="00E81059"/>
    <w:rsid w:val="00E83678"/>
    <w:rsid w:val="00E85CEC"/>
    <w:rsid w:val="00E910D7"/>
    <w:rsid w:val="00E9143B"/>
    <w:rsid w:val="00E916B1"/>
    <w:rsid w:val="00E96EFE"/>
    <w:rsid w:val="00EA2746"/>
    <w:rsid w:val="00EA2A1F"/>
    <w:rsid w:val="00EA2BA5"/>
    <w:rsid w:val="00EA5922"/>
    <w:rsid w:val="00EA6631"/>
    <w:rsid w:val="00EB1423"/>
    <w:rsid w:val="00EB2382"/>
    <w:rsid w:val="00EB38FA"/>
    <w:rsid w:val="00EB5738"/>
    <w:rsid w:val="00EB7D2A"/>
    <w:rsid w:val="00EC4512"/>
    <w:rsid w:val="00ED3D25"/>
    <w:rsid w:val="00ED62C8"/>
    <w:rsid w:val="00ED7415"/>
    <w:rsid w:val="00EE1225"/>
    <w:rsid w:val="00EE234B"/>
    <w:rsid w:val="00EE3FE8"/>
    <w:rsid w:val="00EE42E9"/>
    <w:rsid w:val="00EE44C4"/>
    <w:rsid w:val="00EE617B"/>
    <w:rsid w:val="00EE645E"/>
    <w:rsid w:val="00EE6664"/>
    <w:rsid w:val="00EE7C43"/>
    <w:rsid w:val="00EF2775"/>
    <w:rsid w:val="00EF3506"/>
    <w:rsid w:val="00EF760A"/>
    <w:rsid w:val="00F005C2"/>
    <w:rsid w:val="00F013E0"/>
    <w:rsid w:val="00F01E8F"/>
    <w:rsid w:val="00F01EC8"/>
    <w:rsid w:val="00F03F28"/>
    <w:rsid w:val="00F06959"/>
    <w:rsid w:val="00F106D7"/>
    <w:rsid w:val="00F116DB"/>
    <w:rsid w:val="00F11780"/>
    <w:rsid w:val="00F1340C"/>
    <w:rsid w:val="00F14045"/>
    <w:rsid w:val="00F15D38"/>
    <w:rsid w:val="00F16421"/>
    <w:rsid w:val="00F1704B"/>
    <w:rsid w:val="00F20BF2"/>
    <w:rsid w:val="00F270C4"/>
    <w:rsid w:val="00F30223"/>
    <w:rsid w:val="00F357EA"/>
    <w:rsid w:val="00F36040"/>
    <w:rsid w:val="00F3623F"/>
    <w:rsid w:val="00F36746"/>
    <w:rsid w:val="00F37181"/>
    <w:rsid w:val="00F3720E"/>
    <w:rsid w:val="00F426C0"/>
    <w:rsid w:val="00F43964"/>
    <w:rsid w:val="00F46D69"/>
    <w:rsid w:val="00F47751"/>
    <w:rsid w:val="00F51B09"/>
    <w:rsid w:val="00F54648"/>
    <w:rsid w:val="00F55D8D"/>
    <w:rsid w:val="00F55D98"/>
    <w:rsid w:val="00F568B6"/>
    <w:rsid w:val="00F56F74"/>
    <w:rsid w:val="00F60640"/>
    <w:rsid w:val="00F6176F"/>
    <w:rsid w:val="00F6394B"/>
    <w:rsid w:val="00F63F5A"/>
    <w:rsid w:val="00F659A2"/>
    <w:rsid w:val="00F677C6"/>
    <w:rsid w:val="00F73CA5"/>
    <w:rsid w:val="00F75CA7"/>
    <w:rsid w:val="00F76261"/>
    <w:rsid w:val="00F76D76"/>
    <w:rsid w:val="00F8701E"/>
    <w:rsid w:val="00F90E20"/>
    <w:rsid w:val="00F95128"/>
    <w:rsid w:val="00F974ED"/>
    <w:rsid w:val="00F97A34"/>
    <w:rsid w:val="00FA230B"/>
    <w:rsid w:val="00FA2697"/>
    <w:rsid w:val="00FA2E63"/>
    <w:rsid w:val="00FA447C"/>
    <w:rsid w:val="00FA53DC"/>
    <w:rsid w:val="00FA5C75"/>
    <w:rsid w:val="00FA5E93"/>
    <w:rsid w:val="00FA723D"/>
    <w:rsid w:val="00FB27CB"/>
    <w:rsid w:val="00FB3191"/>
    <w:rsid w:val="00FB39FB"/>
    <w:rsid w:val="00FB50A5"/>
    <w:rsid w:val="00FB7E59"/>
    <w:rsid w:val="00FC06D2"/>
    <w:rsid w:val="00FC0D2E"/>
    <w:rsid w:val="00FC2D19"/>
    <w:rsid w:val="00FC3EED"/>
    <w:rsid w:val="00FC49D7"/>
    <w:rsid w:val="00FC6368"/>
    <w:rsid w:val="00FC6D46"/>
    <w:rsid w:val="00FD057D"/>
    <w:rsid w:val="00FD10B1"/>
    <w:rsid w:val="00FD31BF"/>
    <w:rsid w:val="00FD3B9F"/>
    <w:rsid w:val="00FD43C1"/>
    <w:rsid w:val="00FD6927"/>
    <w:rsid w:val="00FD6A4E"/>
    <w:rsid w:val="00FD6D25"/>
    <w:rsid w:val="00FE17B6"/>
    <w:rsid w:val="00FE28F6"/>
    <w:rsid w:val="00FE3B39"/>
    <w:rsid w:val="00FE5019"/>
    <w:rsid w:val="00FE5B93"/>
    <w:rsid w:val="00FE70E0"/>
    <w:rsid w:val="00FF142A"/>
    <w:rsid w:val="00FF1467"/>
    <w:rsid w:val="00FF1733"/>
    <w:rsid w:val="00FF263B"/>
    <w:rsid w:val="00FF2F1C"/>
    <w:rsid w:val="00FF3F0D"/>
    <w:rsid w:val="00FF4076"/>
    <w:rsid w:val="00FF49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4AA88EF1"/>
  <w15:docId w15:val="{9DFE255B-93DA-49D6-9823-CE9265EE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BE0"/>
    <w:pPr>
      <w:spacing w:after="200" w:line="276" w:lineRule="auto"/>
    </w:pPr>
    <w:rPr>
      <w:rFonts w:eastAsia="Batang"/>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17BE0"/>
    <w:pPr>
      <w:tabs>
        <w:tab w:val="center" w:pos="4680"/>
        <w:tab w:val="right" w:pos="9360"/>
      </w:tabs>
      <w:spacing w:after="0" w:line="240" w:lineRule="auto"/>
    </w:pPr>
  </w:style>
  <w:style w:type="character" w:customStyle="1" w:styleId="HeaderChar">
    <w:name w:val="Header Char"/>
    <w:basedOn w:val="DefaultParagraphFont"/>
    <w:link w:val="Header"/>
    <w:rsid w:val="00417BE0"/>
  </w:style>
  <w:style w:type="paragraph" w:styleId="Footer">
    <w:name w:val="footer"/>
    <w:basedOn w:val="Normal"/>
    <w:link w:val="FooterChar"/>
    <w:uiPriority w:val="99"/>
    <w:unhideWhenUsed/>
    <w:rsid w:val="00417B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BE0"/>
  </w:style>
  <w:style w:type="paragraph" w:customStyle="1" w:styleId="Sansinterligne2">
    <w:name w:val="Sans interligne2"/>
    <w:uiPriority w:val="1"/>
    <w:rsid w:val="00417BE0"/>
    <w:pPr>
      <w:spacing w:after="0" w:line="240" w:lineRule="auto"/>
    </w:pPr>
    <w:rPr>
      <w:rFonts w:ascii="Times New Roman" w:eastAsia="Times New Roman" w:hAnsi="Times New Roman" w:cs="Times New Roman"/>
      <w:sz w:val="24"/>
      <w:szCs w:val="24"/>
      <w:lang w:eastAsia="fr-FR"/>
    </w:rPr>
  </w:style>
  <w:style w:type="paragraph" w:customStyle="1" w:styleId="Sansinterligne1">
    <w:name w:val="Sans interligne1"/>
    <w:uiPriority w:val="1"/>
    <w:rsid w:val="00417BE0"/>
    <w:pPr>
      <w:spacing w:after="0" w:line="240" w:lineRule="auto"/>
    </w:pPr>
    <w:rPr>
      <w:rFonts w:ascii="Times New Roman" w:eastAsia="Times New Roman" w:hAnsi="Times New Roman" w:cs="Times New Roman"/>
      <w:sz w:val="24"/>
      <w:szCs w:val="24"/>
      <w:lang w:eastAsia="fr-FR"/>
    </w:rPr>
  </w:style>
  <w:style w:type="character" w:styleId="Hyperlink">
    <w:name w:val="Hyperlink"/>
    <w:uiPriority w:val="99"/>
    <w:rsid w:val="00417BE0"/>
    <w:rPr>
      <w:color w:val="0563C1"/>
      <w:u w:val="single"/>
    </w:rPr>
  </w:style>
  <w:style w:type="character" w:styleId="PageNumber">
    <w:name w:val="page number"/>
    <w:basedOn w:val="DefaultParagraphFont"/>
    <w:semiHidden/>
    <w:rsid w:val="001F3A97"/>
  </w:style>
  <w:style w:type="paragraph" w:customStyle="1" w:styleId="COMPara">
    <w:name w:val="COM Para"/>
    <w:qFormat/>
    <w:rsid w:val="001F3A97"/>
    <w:pPr>
      <w:spacing w:after="120" w:line="240" w:lineRule="auto"/>
    </w:pPr>
    <w:rPr>
      <w:rFonts w:ascii="Arial" w:eastAsia="Times New Roman" w:hAnsi="Arial" w:cs="Arial"/>
      <w:snapToGrid w:val="0"/>
      <w:lang w:eastAsia="en-US"/>
    </w:rPr>
  </w:style>
  <w:style w:type="character" w:styleId="FollowedHyperlink">
    <w:name w:val="FollowedHyperlink"/>
    <w:basedOn w:val="DefaultParagraphFont"/>
    <w:uiPriority w:val="99"/>
    <w:semiHidden/>
    <w:unhideWhenUsed/>
    <w:rsid w:val="004555F0"/>
    <w:rPr>
      <w:color w:val="954F72" w:themeColor="followedHyperlink"/>
      <w:u w:val="single"/>
    </w:rPr>
  </w:style>
  <w:style w:type="paragraph" w:customStyle="1" w:styleId="COMParaDecision">
    <w:name w:val="COM Para Decision"/>
    <w:basedOn w:val="Normal"/>
    <w:qFormat/>
    <w:rsid w:val="00AA5087"/>
    <w:pPr>
      <w:numPr>
        <w:numId w:val="1"/>
      </w:numPr>
      <w:autoSpaceDE w:val="0"/>
      <w:autoSpaceDN w:val="0"/>
      <w:adjustRightInd w:val="0"/>
      <w:spacing w:after="120" w:line="240" w:lineRule="auto"/>
      <w:jc w:val="both"/>
    </w:pPr>
    <w:rPr>
      <w:rFonts w:ascii="Arial" w:eastAsia="SimSun" w:hAnsi="Arial" w:cs="Arial"/>
      <w:u w:val="single"/>
      <w:lang w:eastAsia="fr-FR"/>
    </w:rPr>
  </w:style>
  <w:style w:type="table" w:styleId="TableGrid">
    <w:name w:val="Table Grid"/>
    <w:basedOn w:val="TableNormal"/>
    <w:uiPriority w:val="59"/>
    <w:rsid w:val="00D24347"/>
    <w:pPr>
      <w:spacing w:after="0" w:line="240" w:lineRule="auto"/>
    </w:pPr>
    <w:rPr>
      <w:rFonts w:ascii="Calibri" w:eastAsia="SimSun" w:hAnsi="Calibri"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917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742"/>
    <w:rPr>
      <w:rFonts w:ascii="Segoe UI" w:eastAsia="Batang" w:hAnsi="Segoe UI" w:cs="Segoe UI"/>
      <w:sz w:val="18"/>
      <w:szCs w:val="18"/>
      <w:lang w:val="fr-FR" w:eastAsia="en-US"/>
    </w:rPr>
  </w:style>
  <w:style w:type="character" w:customStyle="1" w:styleId="UnresolvedMention1">
    <w:name w:val="Unresolved Mention1"/>
    <w:basedOn w:val="DefaultParagraphFont"/>
    <w:uiPriority w:val="99"/>
    <w:semiHidden/>
    <w:unhideWhenUsed/>
    <w:rsid w:val="00734381"/>
    <w:rPr>
      <w:color w:val="605E5C"/>
      <w:shd w:val="clear" w:color="auto" w:fill="E1DFDD"/>
    </w:rPr>
  </w:style>
  <w:style w:type="character" w:styleId="CommentReference">
    <w:name w:val="annotation reference"/>
    <w:basedOn w:val="DefaultParagraphFont"/>
    <w:uiPriority w:val="99"/>
    <w:semiHidden/>
    <w:unhideWhenUsed/>
    <w:rsid w:val="00A0253A"/>
    <w:rPr>
      <w:sz w:val="16"/>
      <w:szCs w:val="16"/>
    </w:rPr>
  </w:style>
  <w:style w:type="paragraph" w:styleId="CommentText">
    <w:name w:val="annotation text"/>
    <w:basedOn w:val="Normal"/>
    <w:link w:val="CommentTextChar"/>
    <w:uiPriority w:val="99"/>
    <w:unhideWhenUsed/>
    <w:rsid w:val="00A0253A"/>
    <w:pPr>
      <w:spacing w:line="240" w:lineRule="auto"/>
    </w:pPr>
    <w:rPr>
      <w:sz w:val="20"/>
      <w:szCs w:val="20"/>
    </w:rPr>
  </w:style>
  <w:style w:type="character" w:customStyle="1" w:styleId="CommentTextChar">
    <w:name w:val="Comment Text Char"/>
    <w:basedOn w:val="DefaultParagraphFont"/>
    <w:link w:val="CommentText"/>
    <w:uiPriority w:val="99"/>
    <w:rsid w:val="00A0253A"/>
    <w:rPr>
      <w:rFonts w:eastAsia="Batang"/>
      <w:sz w:val="20"/>
      <w:szCs w:val="20"/>
      <w:lang w:val="fr-FR" w:eastAsia="en-US"/>
    </w:rPr>
  </w:style>
  <w:style w:type="paragraph" w:styleId="CommentSubject">
    <w:name w:val="annotation subject"/>
    <w:basedOn w:val="CommentText"/>
    <w:next w:val="CommentText"/>
    <w:link w:val="CommentSubjectChar"/>
    <w:uiPriority w:val="99"/>
    <w:semiHidden/>
    <w:unhideWhenUsed/>
    <w:rsid w:val="00A0253A"/>
    <w:rPr>
      <w:b/>
      <w:bCs/>
    </w:rPr>
  </w:style>
  <w:style w:type="character" w:customStyle="1" w:styleId="CommentSubjectChar">
    <w:name w:val="Comment Subject Char"/>
    <w:basedOn w:val="CommentTextChar"/>
    <w:link w:val="CommentSubject"/>
    <w:uiPriority w:val="99"/>
    <w:semiHidden/>
    <w:rsid w:val="00A0253A"/>
    <w:rPr>
      <w:rFonts w:eastAsia="Batang"/>
      <w:b/>
      <w:bCs/>
      <w:sz w:val="20"/>
      <w:szCs w:val="20"/>
      <w:lang w:val="fr-FR" w:eastAsia="en-US"/>
    </w:rPr>
  </w:style>
  <w:style w:type="paragraph" w:styleId="FootnoteText">
    <w:name w:val="footnote text"/>
    <w:basedOn w:val="Normal"/>
    <w:link w:val="FootnoteTextChar"/>
    <w:uiPriority w:val="99"/>
    <w:semiHidden/>
    <w:unhideWhenUsed/>
    <w:rsid w:val="00AD7D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D94"/>
    <w:rPr>
      <w:rFonts w:eastAsia="Batang"/>
      <w:sz w:val="20"/>
      <w:szCs w:val="20"/>
      <w:lang w:val="fr-FR" w:eastAsia="en-US"/>
    </w:rPr>
  </w:style>
  <w:style w:type="character" w:styleId="FootnoteReference">
    <w:name w:val="footnote reference"/>
    <w:basedOn w:val="DefaultParagraphFont"/>
    <w:uiPriority w:val="99"/>
    <w:semiHidden/>
    <w:unhideWhenUsed/>
    <w:rsid w:val="00AD7D94"/>
    <w:rPr>
      <w:vertAlign w:val="superscript"/>
    </w:rPr>
  </w:style>
  <w:style w:type="paragraph" w:styleId="Revision">
    <w:name w:val="Revision"/>
    <w:hidden/>
    <w:uiPriority w:val="99"/>
    <w:semiHidden/>
    <w:rsid w:val="00A85F4D"/>
    <w:pPr>
      <w:spacing w:after="0" w:line="240" w:lineRule="auto"/>
    </w:pPr>
    <w:rPr>
      <w:rFonts w:eastAsia="Batang"/>
      <w:lang w:eastAsia="en-US"/>
    </w:rPr>
  </w:style>
  <w:style w:type="character" w:customStyle="1" w:styleId="UnresolvedMention2">
    <w:name w:val="Unresolved Mention2"/>
    <w:basedOn w:val="DefaultParagraphFont"/>
    <w:uiPriority w:val="99"/>
    <w:semiHidden/>
    <w:unhideWhenUsed/>
    <w:rsid w:val="00481AEC"/>
    <w:rPr>
      <w:color w:val="605E5C"/>
      <w:shd w:val="clear" w:color="auto" w:fill="E1DFDD"/>
    </w:rPr>
  </w:style>
  <w:style w:type="character" w:customStyle="1" w:styleId="hps">
    <w:name w:val="hps"/>
    <w:rsid w:val="005C3CD2"/>
  </w:style>
  <w:style w:type="paragraph" w:styleId="NoSpacing">
    <w:name w:val="No Spacing"/>
    <w:link w:val="NoSpacingChar"/>
    <w:uiPriority w:val="1"/>
    <w:qFormat/>
    <w:rsid w:val="001F72C0"/>
    <w:pPr>
      <w:spacing w:after="0" w:line="240" w:lineRule="auto"/>
    </w:pPr>
    <w:rPr>
      <w:rFonts w:ascii="Calibri" w:eastAsia="SimSun" w:hAnsi="Calibri" w:cs="Times New Roman"/>
    </w:rPr>
  </w:style>
  <w:style w:type="character" w:customStyle="1" w:styleId="NoSpacingChar">
    <w:name w:val="No Spacing Char"/>
    <w:basedOn w:val="DefaultParagraphFont"/>
    <w:link w:val="NoSpacing"/>
    <w:uiPriority w:val="1"/>
    <w:rsid w:val="001F72C0"/>
    <w:rPr>
      <w:rFonts w:ascii="Calibri" w:eastAsia="SimSun" w:hAnsi="Calibri" w:cs="Times New Roman"/>
      <w:lang w:val="fr-FR"/>
    </w:rPr>
  </w:style>
  <w:style w:type="paragraph" w:customStyle="1" w:styleId="COMTitleDecision">
    <w:name w:val="COM Title Decision"/>
    <w:basedOn w:val="Normal"/>
    <w:qFormat/>
    <w:rsid w:val="00073322"/>
    <w:pPr>
      <w:keepNext/>
      <w:spacing w:before="240" w:after="120" w:line="240" w:lineRule="auto"/>
      <w:ind w:left="567"/>
      <w:jc w:val="both"/>
    </w:pPr>
    <w:rPr>
      <w:rFonts w:ascii="Arial" w:eastAsia="Times New Roman" w:hAnsi="Arial" w:cs="Arial"/>
      <w:b/>
      <w:lang w:eastAsia="fr-FR"/>
    </w:rPr>
  </w:style>
  <w:style w:type="paragraph" w:customStyle="1" w:styleId="COMPreambulaDecisions">
    <w:name w:val="COM Preambula Decisions"/>
    <w:basedOn w:val="Normal"/>
    <w:qFormat/>
    <w:rsid w:val="00073322"/>
    <w:pPr>
      <w:keepNext/>
      <w:spacing w:after="120" w:line="240" w:lineRule="auto"/>
      <w:ind w:left="567"/>
      <w:jc w:val="both"/>
    </w:pPr>
    <w:rPr>
      <w:rFonts w:ascii="Arial" w:eastAsia="Times New Roman" w:hAnsi="Arial" w:cs="Arial"/>
      <w:lang w:eastAsia="fr-FR"/>
    </w:rPr>
  </w:style>
  <w:style w:type="character" w:customStyle="1" w:styleId="UnresolvedMention3">
    <w:name w:val="Unresolved Mention3"/>
    <w:basedOn w:val="DefaultParagraphFont"/>
    <w:uiPriority w:val="99"/>
    <w:semiHidden/>
    <w:unhideWhenUsed/>
    <w:rsid w:val="00C02E78"/>
    <w:rPr>
      <w:color w:val="605E5C"/>
      <w:shd w:val="clear" w:color="auto" w:fill="E1DFDD"/>
    </w:rPr>
  </w:style>
  <w:style w:type="paragraph" w:styleId="ListParagraph">
    <w:name w:val="List Paragraph"/>
    <w:basedOn w:val="Normal"/>
    <w:uiPriority w:val="34"/>
    <w:qFormat/>
    <w:rsid w:val="00287007"/>
    <w:pPr>
      <w:spacing w:after="160" w:line="259" w:lineRule="auto"/>
      <w:ind w:left="720"/>
      <w:contextualSpacing/>
    </w:pPr>
    <w:rPr>
      <w:rFonts w:eastAsiaTheme="minorEastAsia"/>
      <w:lang w:eastAsia="zh-CN"/>
    </w:rPr>
  </w:style>
  <w:style w:type="character" w:customStyle="1" w:styleId="UnresolvedMention4">
    <w:name w:val="Unresolved Mention4"/>
    <w:basedOn w:val="DefaultParagraphFont"/>
    <w:uiPriority w:val="99"/>
    <w:semiHidden/>
    <w:unhideWhenUsed/>
    <w:rsid w:val="00E17F6C"/>
    <w:rPr>
      <w:color w:val="605E5C"/>
      <w:shd w:val="clear" w:color="auto" w:fill="E1DFDD"/>
    </w:rPr>
  </w:style>
  <w:style w:type="paragraph" w:customStyle="1" w:styleId="Style1">
    <w:name w:val="Style1"/>
    <w:basedOn w:val="Normal"/>
    <w:link w:val="Style1Char"/>
    <w:qFormat/>
    <w:rsid w:val="005568DC"/>
    <w:pPr>
      <w:numPr>
        <w:ilvl w:val="1"/>
        <w:numId w:val="4"/>
      </w:numPr>
      <w:tabs>
        <w:tab w:val="left" w:pos="1134"/>
        <w:tab w:val="left" w:pos="1701"/>
        <w:tab w:val="left" w:pos="2268"/>
      </w:tabs>
      <w:spacing w:before="120" w:after="120" w:line="240" w:lineRule="auto"/>
      <w:jc w:val="both"/>
    </w:pPr>
    <w:rPr>
      <w:rFonts w:ascii="Arial" w:eastAsia="Times New Roman" w:hAnsi="Arial" w:cs="Arial"/>
      <w:lang w:eastAsia="fr-FR"/>
    </w:rPr>
  </w:style>
  <w:style w:type="character" w:customStyle="1" w:styleId="Style1Char">
    <w:name w:val="Style1 Char"/>
    <w:basedOn w:val="DefaultParagraphFont"/>
    <w:link w:val="Style1"/>
    <w:rsid w:val="005568DC"/>
    <w:rPr>
      <w:rFonts w:ascii="Arial" w:eastAsia="Times New Roman" w:hAnsi="Arial" w:cs="Arial"/>
      <w:lang w:eastAsia="fr-FR"/>
    </w:rPr>
  </w:style>
  <w:style w:type="paragraph" w:customStyle="1" w:styleId="Marge">
    <w:name w:val="Marge"/>
    <w:basedOn w:val="Normal"/>
    <w:rsid w:val="0059345A"/>
    <w:pPr>
      <w:tabs>
        <w:tab w:val="left" w:pos="567"/>
      </w:tabs>
      <w:snapToGrid w:val="0"/>
      <w:spacing w:after="240" w:line="240" w:lineRule="auto"/>
      <w:jc w:val="both"/>
    </w:pPr>
    <w:rPr>
      <w:rFonts w:ascii="Arial" w:eastAsia="Times New Roman" w:hAnsi="Arial" w:cs="Times New Roman"/>
      <w:snapToGrid w:val="0"/>
      <w:szCs w:val="24"/>
    </w:rPr>
  </w:style>
  <w:style w:type="paragraph" w:customStyle="1" w:styleId="TIRETbul1cm">
    <w:name w:val="TIRET bul 1cm"/>
    <w:basedOn w:val="Normal"/>
    <w:rsid w:val="00AC3E8B"/>
    <w:pPr>
      <w:numPr>
        <w:numId w:val="5"/>
      </w:numPr>
      <w:tabs>
        <w:tab w:val="left" w:pos="851"/>
      </w:tabs>
      <w:adjustRightInd w:val="0"/>
      <w:snapToGrid w:val="0"/>
      <w:spacing w:after="240" w:line="240" w:lineRule="auto"/>
      <w:jc w:val="both"/>
    </w:pPr>
    <w:rPr>
      <w:rFonts w:ascii="Arial" w:eastAsia="SimSun" w:hAnsi="Arial" w:cs="Times New Roman"/>
      <w:snapToGrid w:val="0"/>
      <w:szCs w:val="24"/>
      <w:lang w:eastAsia="zh-CN"/>
    </w:rPr>
  </w:style>
  <w:style w:type="paragraph" w:styleId="NormalWeb">
    <w:name w:val="Normal (Web)"/>
    <w:basedOn w:val="Normal"/>
    <w:uiPriority w:val="99"/>
    <w:unhideWhenUsed/>
    <w:rsid w:val="0084368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nresolvedMention5">
    <w:name w:val="Unresolved Mention5"/>
    <w:basedOn w:val="DefaultParagraphFont"/>
    <w:uiPriority w:val="99"/>
    <w:semiHidden/>
    <w:unhideWhenUsed/>
    <w:rsid w:val="00294D26"/>
    <w:rPr>
      <w:color w:val="605E5C"/>
      <w:shd w:val="clear" w:color="auto" w:fill="E1DFDD"/>
    </w:rPr>
  </w:style>
  <w:style w:type="character" w:styleId="UnresolvedMention">
    <w:name w:val="Unresolved Mention"/>
    <w:basedOn w:val="DefaultParagraphFont"/>
    <w:uiPriority w:val="99"/>
    <w:semiHidden/>
    <w:unhideWhenUsed/>
    <w:rsid w:val="00FF2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68284">
      <w:bodyDiv w:val="1"/>
      <w:marLeft w:val="0"/>
      <w:marRight w:val="0"/>
      <w:marTop w:val="0"/>
      <w:marBottom w:val="0"/>
      <w:divBdr>
        <w:top w:val="none" w:sz="0" w:space="0" w:color="auto"/>
        <w:left w:val="none" w:sz="0" w:space="0" w:color="auto"/>
        <w:bottom w:val="none" w:sz="0" w:space="0" w:color="auto"/>
        <w:right w:val="none" w:sz="0" w:space="0" w:color="auto"/>
      </w:divBdr>
    </w:div>
    <w:div w:id="570695387">
      <w:bodyDiv w:val="1"/>
      <w:marLeft w:val="0"/>
      <w:marRight w:val="0"/>
      <w:marTop w:val="0"/>
      <w:marBottom w:val="0"/>
      <w:divBdr>
        <w:top w:val="none" w:sz="0" w:space="0" w:color="auto"/>
        <w:left w:val="none" w:sz="0" w:space="0" w:color="auto"/>
        <w:bottom w:val="none" w:sz="0" w:space="0" w:color="auto"/>
        <w:right w:val="none" w:sz="0" w:space="0" w:color="auto"/>
      </w:divBdr>
      <w:divsChild>
        <w:div w:id="315425993">
          <w:marLeft w:val="0"/>
          <w:marRight w:val="0"/>
          <w:marTop w:val="0"/>
          <w:marBottom w:val="0"/>
          <w:divBdr>
            <w:top w:val="none" w:sz="0" w:space="0" w:color="auto"/>
            <w:left w:val="none" w:sz="0" w:space="0" w:color="auto"/>
            <w:bottom w:val="none" w:sz="0" w:space="0" w:color="auto"/>
            <w:right w:val="none" w:sz="0" w:space="0" w:color="auto"/>
          </w:divBdr>
          <w:divsChild>
            <w:div w:id="83960805">
              <w:marLeft w:val="0"/>
              <w:marRight w:val="0"/>
              <w:marTop w:val="0"/>
              <w:marBottom w:val="0"/>
              <w:divBdr>
                <w:top w:val="none" w:sz="0" w:space="0" w:color="auto"/>
                <w:left w:val="none" w:sz="0" w:space="0" w:color="auto"/>
                <w:bottom w:val="none" w:sz="0" w:space="0" w:color="auto"/>
                <w:right w:val="none" w:sz="0" w:space="0" w:color="auto"/>
              </w:divBdr>
              <w:divsChild>
                <w:div w:id="134135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81172">
          <w:marLeft w:val="0"/>
          <w:marRight w:val="0"/>
          <w:marTop w:val="0"/>
          <w:marBottom w:val="0"/>
          <w:divBdr>
            <w:top w:val="none" w:sz="0" w:space="0" w:color="auto"/>
            <w:left w:val="none" w:sz="0" w:space="0" w:color="auto"/>
            <w:bottom w:val="none" w:sz="0" w:space="0" w:color="auto"/>
            <w:right w:val="none" w:sz="0" w:space="0" w:color="auto"/>
          </w:divBdr>
        </w:div>
        <w:div w:id="721487573">
          <w:marLeft w:val="0"/>
          <w:marRight w:val="0"/>
          <w:marTop w:val="0"/>
          <w:marBottom w:val="0"/>
          <w:divBdr>
            <w:top w:val="none" w:sz="0" w:space="0" w:color="auto"/>
            <w:left w:val="none" w:sz="0" w:space="0" w:color="auto"/>
            <w:bottom w:val="none" w:sz="0" w:space="0" w:color="auto"/>
            <w:right w:val="none" w:sz="0" w:space="0" w:color="auto"/>
          </w:divBdr>
        </w:div>
        <w:div w:id="1793018031">
          <w:marLeft w:val="0"/>
          <w:marRight w:val="0"/>
          <w:marTop w:val="0"/>
          <w:marBottom w:val="0"/>
          <w:divBdr>
            <w:top w:val="none" w:sz="0" w:space="0" w:color="auto"/>
            <w:left w:val="none" w:sz="0" w:space="0" w:color="auto"/>
            <w:bottom w:val="none" w:sz="0" w:space="0" w:color="auto"/>
            <w:right w:val="none" w:sz="0" w:space="0" w:color="auto"/>
          </w:divBdr>
          <w:divsChild>
            <w:div w:id="1460490662">
              <w:marLeft w:val="0"/>
              <w:marRight w:val="0"/>
              <w:marTop w:val="0"/>
              <w:marBottom w:val="0"/>
              <w:divBdr>
                <w:top w:val="none" w:sz="0" w:space="0" w:color="auto"/>
                <w:left w:val="none" w:sz="0" w:space="0" w:color="auto"/>
                <w:bottom w:val="none" w:sz="0" w:space="0" w:color="auto"/>
                <w:right w:val="none" w:sz="0" w:space="0" w:color="auto"/>
              </w:divBdr>
            </w:div>
          </w:divsChild>
        </w:div>
        <w:div w:id="1955362495">
          <w:marLeft w:val="0"/>
          <w:marRight w:val="0"/>
          <w:marTop w:val="0"/>
          <w:marBottom w:val="0"/>
          <w:divBdr>
            <w:top w:val="none" w:sz="0" w:space="0" w:color="auto"/>
            <w:left w:val="none" w:sz="0" w:space="0" w:color="auto"/>
            <w:bottom w:val="none" w:sz="0" w:space="0" w:color="auto"/>
            <w:right w:val="none" w:sz="0" w:space="0" w:color="auto"/>
          </w:divBdr>
        </w:div>
      </w:divsChild>
    </w:div>
    <w:div w:id="1005787657">
      <w:bodyDiv w:val="1"/>
      <w:marLeft w:val="0"/>
      <w:marRight w:val="0"/>
      <w:marTop w:val="0"/>
      <w:marBottom w:val="0"/>
      <w:divBdr>
        <w:top w:val="none" w:sz="0" w:space="0" w:color="auto"/>
        <w:left w:val="none" w:sz="0" w:space="0" w:color="auto"/>
        <w:bottom w:val="none" w:sz="0" w:space="0" w:color="auto"/>
        <w:right w:val="none" w:sz="0" w:space="0" w:color="auto"/>
      </w:divBdr>
    </w:div>
    <w:div w:id="1283998887">
      <w:bodyDiv w:val="1"/>
      <w:marLeft w:val="0"/>
      <w:marRight w:val="0"/>
      <w:marTop w:val="0"/>
      <w:marBottom w:val="0"/>
      <w:divBdr>
        <w:top w:val="none" w:sz="0" w:space="0" w:color="auto"/>
        <w:left w:val="none" w:sz="0" w:space="0" w:color="auto"/>
        <w:bottom w:val="none" w:sz="0" w:space="0" w:color="auto"/>
        <w:right w:val="none" w:sz="0" w:space="0" w:color="auto"/>
      </w:divBdr>
    </w:div>
    <w:div w:id="1316300430">
      <w:bodyDiv w:val="1"/>
      <w:marLeft w:val="0"/>
      <w:marRight w:val="0"/>
      <w:marTop w:val="0"/>
      <w:marBottom w:val="0"/>
      <w:divBdr>
        <w:top w:val="none" w:sz="0" w:space="0" w:color="auto"/>
        <w:left w:val="none" w:sz="0" w:space="0" w:color="auto"/>
        <w:bottom w:val="none" w:sz="0" w:space="0" w:color="auto"/>
        <w:right w:val="none" w:sz="0" w:space="0" w:color="auto"/>
      </w:divBdr>
    </w:div>
    <w:div w:id="1366640516">
      <w:bodyDiv w:val="1"/>
      <w:marLeft w:val="0"/>
      <w:marRight w:val="0"/>
      <w:marTop w:val="0"/>
      <w:marBottom w:val="0"/>
      <w:divBdr>
        <w:top w:val="none" w:sz="0" w:space="0" w:color="auto"/>
        <w:left w:val="none" w:sz="0" w:space="0" w:color="auto"/>
        <w:bottom w:val="none" w:sz="0" w:space="0" w:color="auto"/>
        <w:right w:val="none" w:sz="0" w:space="0" w:color="auto"/>
      </w:divBdr>
    </w:div>
    <w:div w:id="1523396888">
      <w:bodyDiv w:val="1"/>
      <w:marLeft w:val="0"/>
      <w:marRight w:val="0"/>
      <w:marTop w:val="0"/>
      <w:marBottom w:val="0"/>
      <w:divBdr>
        <w:top w:val="none" w:sz="0" w:space="0" w:color="auto"/>
        <w:left w:val="none" w:sz="0" w:space="0" w:color="auto"/>
        <w:bottom w:val="none" w:sz="0" w:space="0" w:color="auto"/>
        <w:right w:val="none" w:sz="0" w:space="0" w:color="auto"/>
      </w:divBdr>
    </w:div>
    <w:div w:id="1782989209">
      <w:bodyDiv w:val="1"/>
      <w:marLeft w:val="0"/>
      <w:marRight w:val="0"/>
      <w:marTop w:val="0"/>
      <w:marBottom w:val="0"/>
      <w:divBdr>
        <w:top w:val="none" w:sz="0" w:space="0" w:color="auto"/>
        <w:left w:val="none" w:sz="0" w:space="0" w:color="auto"/>
        <w:bottom w:val="none" w:sz="0" w:space="0" w:color="auto"/>
        <w:right w:val="none" w:sz="0" w:space="0" w:color="auto"/>
      </w:divBdr>
      <w:divsChild>
        <w:div w:id="125852924">
          <w:marLeft w:val="0"/>
          <w:marRight w:val="0"/>
          <w:marTop w:val="0"/>
          <w:marBottom w:val="0"/>
          <w:divBdr>
            <w:top w:val="none" w:sz="0" w:space="0" w:color="auto"/>
            <w:left w:val="none" w:sz="0" w:space="0" w:color="auto"/>
            <w:bottom w:val="none" w:sz="0" w:space="0" w:color="auto"/>
            <w:right w:val="none" w:sz="0" w:space="0" w:color="auto"/>
          </w:divBdr>
          <w:divsChild>
            <w:div w:id="817382078">
              <w:marLeft w:val="0"/>
              <w:marRight w:val="0"/>
              <w:marTop w:val="0"/>
              <w:marBottom w:val="0"/>
              <w:divBdr>
                <w:top w:val="none" w:sz="0" w:space="0" w:color="auto"/>
                <w:left w:val="none" w:sz="0" w:space="0" w:color="auto"/>
                <w:bottom w:val="none" w:sz="0" w:space="0" w:color="auto"/>
                <w:right w:val="none" w:sz="0" w:space="0" w:color="auto"/>
              </w:divBdr>
              <w:divsChild>
                <w:div w:id="1966890475">
                  <w:marLeft w:val="0"/>
                  <w:marRight w:val="0"/>
                  <w:marTop w:val="0"/>
                  <w:marBottom w:val="0"/>
                  <w:divBdr>
                    <w:top w:val="none" w:sz="0" w:space="0" w:color="auto"/>
                    <w:left w:val="none" w:sz="0" w:space="0" w:color="auto"/>
                    <w:bottom w:val="none" w:sz="0" w:space="0" w:color="auto"/>
                    <w:right w:val="none" w:sz="0" w:space="0" w:color="auto"/>
                  </w:divBdr>
                  <w:divsChild>
                    <w:div w:id="1708989425">
                      <w:marLeft w:val="0"/>
                      <w:marRight w:val="0"/>
                      <w:marTop w:val="0"/>
                      <w:marBottom w:val="0"/>
                      <w:divBdr>
                        <w:top w:val="none" w:sz="0" w:space="0" w:color="auto"/>
                        <w:left w:val="none" w:sz="0" w:space="0" w:color="auto"/>
                        <w:bottom w:val="none" w:sz="0" w:space="0" w:color="auto"/>
                        <w:right w:val="none" w:sz="0" w:space="0" w:color="auto"/>
                      </w:divBdr>
                      <w:divsChild>
                        <w:div w:id="658853269">
                          <w:marLeft w:val="0"/>
                          <w:marRight w:val="0"/>
                          <w:marTop w:val="0"/>
                          <w:marBottom w:val="0"/>
                          <w:divBdr>
                            <w:top w:val="none" w:sz="0" w:space="0" w:color="auto"/>
                            <w:left w:val="none" w:sz="0" w:space="0" w:color="auto"/>
                            <w:bottom w:val="none" w:sz="0" w:space="0" w:color="auto"/>
                            <w:right w:val="none" w:sz="0" w:space="0" w:color="auto"/>
                          </w:divBdr>
                          <w:divsChild>
                            <w:div w:id="853570335">
                              <w:marLeft w:val="0"/>
                              <w:marRight w:val="300"/>
                              <w:marTop w:val="180"/>
                              <w:marBottom w:val="0"/>
                              <w:divBdr>
                                <w:top w:val="none" w:sz="0" w:space="0" w:color="auto"/>
                                <w:left w:val="none" w:sz="0" w:space="0" w:color="auto"/>
                                <w:bottom w:val="none" w:sz="0" w:space="0" w:color="auto"/>
                                <w:right w:val="none" w:sz="0" w:space="0" w:color="auto"/>
                              </w:divBdr>
                              <w:divsChild>
                                <w:div w:id="5275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28926">
                          <w:marLeft w:val="0"/>
                          <w:marRight w:val="0"/>
                          <w:marTop w:val="0"/>
                          <w:marBottom w:val="0"/>
                          <w:divBdr>
                            <w:top w:val="none" w:sz="0" w:space="0" w:color="auto"/>
                            <w:left w:val="none" w:sz="0" w:space="0" w:color="auto"/>
                            <w:bottom w:val="none" w:sz="0" w:space="0" w:color="auto"/>
                            <w:right w:val="none" w:sz="0" w:space="0" w:color="auto"/>
                          </w:divBdr>
                          <w:divsChild>
                            <w:div w:id="1330255829">
                              <w:marLeft w:val="0"/>
                              <w:marRight w:val="0"/>
                              <w:marTop w:val="0"/>
                              <w:marBottom w:val="0"/>
                              <w:divBdr>
                                <w:top w:val="none" w:sz="0" w:space="0" w:color="auto"/>
                                <w:left w:val="none" w:sz="0" w:space="0" w:color="auto"/>
                                <w:bottom w:val="none" w:sz="0" w:space="0" w:color="auto"/>
                                <w:right w:val="none" w:sz="0" w:space="0" w:color="auto"/>
                              </w:divBdr>
                              <w:divsChild>
                                <w:div w:id="1911306466">
                                  <w:marLeft w:val="0"/>
                                  <w:marRight w:val="0"/>
                                  <w:marTop w:val="0"/>
                                  <w:marBottom w:val="0"/>
                                  <w:divBdr>
                                    <w:top w:val="none" w:sz="0" w:space="0" w:color="auto"/>
                                    <w:left w:val="none" w:sz="0" w:space="0" w:color="auto"/>
                                    <w:bottom w:val="none" w:sz="0" w:space="0" w:color="auto"/>
                                    <w:right w:val="none" w:sz="0" w:space="0" w:color="auto"/>
                                  </w:divBdr>
                                  <w:divsChild>
                                    <w:div w:id="1169372523">
                                      <w:marLeft w:val="0"/>
                                      <w:marRight w:val="0"/>
                                      <w:marTop w:val="0"/>
                                      <w:marBottom w:val="0"/>
                                      <w:divBdr>
                                        <w:top w:val="none" w:sz="0" w:space="0" w:color="auto"/>
                                        <w:left w:val="none" w:sz="0" w:space="0" w:color="auto"/>
                                        <w:bottom w:val="none" w:sz="0" w:space="0" w:color="auto"/>
                                        <w:right w:val="none" w:sz="0" w:space="0" w:color="auto"/>
                                      </w:divBdr>
                                      <w:divsChild>
                                        <w:div w:id="1464426925">
                                          <w:marLeft w:val="0"/>
                                          <w:marRight w:val="0"/>
                                          <w:marTop w:val="0"/>
                                          <w:marBottom w:val="0"/>
                                          <w:divBdr>
                                            <w:top w:val="none" w:sz="0" w:space="0" w:color="auto"/>
                                            <w:left w:val="none" w:sz="0" w:space="0" w:color="auto"/>
                                            <w:bottom w:val="none" w:sz="0" w:space="0" w:color="auto"/>
                                            <w:right w:val="none" w:sz="0" w:space="0" w:color="auto"/>
                                          </w:divBdr>
                                          <w:divsChild>
                                            <w:div w:id="426271691">
                                              <w:marLeft w:val="0"/>
                                              <w:marRight w:val="0"/>
                                              <w:marTop w:val="0"/>
                                              <w:marBottom w:val="0"/>
                                              <w:divBdr>
                                                <w:top w:val="none" w:sz="0" w:space="0" w:color="auto"/>
                                                <w:left w:val="none" w:sz="0" w:space="0" w:color="auto"/>
                                                <w:bottom w:val="none" w:sz="0" w:space="0" w:color="auto"/>
                                                <w:right w:val="none" w:sz="0" w:space="0" w:color="auto"/>
                                              </w:divBdr>
                                              <w:divsChild>
                                                <w:div w:id="57174514">
                                                  <w:marLeft w:val="0"/>
                                                  <w:marRight w:val="0"/>
                                                  <w:marTop w:val="0"/>
                                                  <w:marBottom w:val="0"/>
                                                  <w:divBdr>
                                                    <w:top w:val="none" w:sz="0" w:space="0" w:color="auto"/>
                                                    <w:left w:val="none" w:sz="0" w:space="0" w:color="auto"/>
                                                    <w:bottom w:val="none" w:sz="0" w:space="0" w:color="auto"/>
                                                    <w:right w:val="none" w:sz="0" w:space="0" w:color="auto"/>
                                                  </w:divBdr>
                                                  <w:divsChild>
                                                    <w:div w:id="1092896970">
                                                      <w:marLeft w:val="0"/>
                                                      <w:marRight w:val="0"/>
                                                      <w:marTop w:val="0"/>
                                                      <w:marBottom w:val="0"/>
                                                      <w:divBdr>
                                                        <w:top w:val="none" w:sz="0" w:space="0" w:color="auto"/>
                                                        <w:left w:val="none" w:sz="0" w:space="0" w:color="auto"/>
                                                        <w:bottom w:val="none" w:sz="0" w:space="0" w:color="auto"/>
                                                        <w:right w:val="none" w:sz="0" w:space="0" w:color="auto"/>
                                                      </w:divBdr>
                                                      <w:divsChild>
                                                        <w:div w:id="306395088">
                                                          <w:marLeft w:val="0"/>
                                                          <w:marRight w:val="0"/>
                                                          <w:marTop w:val="0"/>
                                                          <w:marBottom w:val="0"/>
                                                          <w:divBdr>
                                                            <w:top w:val="none" w:sz="0" w:space="0" w:color="auto"/>
                                                            <w:left w:val="none" w:sz="0" w:space="0" w:color="auto"/>
                                                            <w:bottom w:val="none" w:sz="0" w:space="0" w:color="auto"/>
                                                            <w:right w:val="none" w:sz="0" w:space="0" w:color="auto"/>
                                                          </w:divBdr>
                                                          <w:divsChild>
                                                            <w:div w:id="103739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17411">
                                              <w:marLeft w:val="0"/>
                                              <w:marRight w:val="0"/>
                                              <w:marTop w:val="0"/>
                                              <w:marBottom w:val="0"/>
                                              <w:divBdr>
                                                <w:top w:val="none" w:sz="0" w:space="0" w:color="auto"/>
                                                <w:left w:val="none" w:sz="0" w:space="0" w:color="auto"/>
                                                <w:bottom w:val="none" w:sz="0" w:space="0" w:color="auto"/>
                                                <w:right w:val="none" w:sz="0" w:space="0" w:color="auto"/>
                                              </w:divBdr>
                                              <w:divsChild>
                                                <w:div w:id="311450656">
                                                  <w:marLeft w:val="0"/>
                                                  <w:marRight w:val="0"/>
                                                  <w:marTop w:val="0"/>
                                                  <w:marBottom w:val="0"/>
                                                  <w:divBdr>
                                                    <w:top w:val="none" w:sz="0" w:space="0" w:color="auto"/>
                                                    <w:left w:val="none" w:sz="0" w:space="0" w:color="auto"/>
                                                    <w:bottom w:val="none" w:sz="0" w:space="0" w:color="auto"/>
                                                    <w:right w:val="none" w:sz="0" w:space="0" w:color="auto"/>
                                                  </w:divBdr>
                                                  <w:divsChild>
                                                    <w:div w:id="1983926461">
                                                      <w:marLeft w:val="0"/>
                                                      <w:marRight w:val="0"/>
                                                      <w:marTop w:val="0"/>
                                                      <w:marBottom w:val="0"/>
                                                      <w:divBdr>
                                                        <w:top w:val="none" w:sz="0" w:space="0" w:color="auto"/>
                                                        <w:left w:val="none" w:sz="0" w:space="0" w:color="auto"/>
                                                        <w:bottom w:val="none" w:sz="0" w:space="0" w:color="auto"/>
                                                        <w:right w:val="none" w:sz="0" w:space="0" w:color="auto"/>
                                                      </w:divBdr>
                                                      <w:divsChild>
                                                        <w:div w:id="1069234246">
                                                          <w:marLeft w:val="0"/>
                                                          <w:marRight w:val="0"/>
                                                          <w:marTop w:val="0"/>
                                                          <w:marBottom w:val="0"/>
                                                          <w:divBdr>
                                                            <w:top w:val="none" w:sz="0" w:space="0" w:color="auto"/>
                                                            <w:left w:val="none" w:sz="0" w:space="0" w:color="auto"/>
                                                            <w:bottom w:val="none" w:sz="0" w:space="0" w:color="auto"/>
                                                            <w:right w:val="none" w:sz="0" w:space="0" w:color="auto"/>
                                                          </w:divBdr>
                                                          <w:divsChild>
                                                            <w:div w:id="605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105239">
              <w:marLeft w:val="0"/>
              <w:marRight w:val="0"/>
              <w:marTop w:val="0"/>
              <w:marBottom w:val="0"/>
              <w:divBdr>
                <w:top w:val="none" w:sz="0" w:space="0" w:color="auto"/>
                <w:left w:val="none" w:sz="0" w:space="0" w:color="auto"/>
                <w:bottom w:val="none" w:sz="0" w:space="0" w:color="auto"/>
                <w:right w:val="none" w:sz="0" w:space="0" w:color="auto"/>
              </w:divBdr>
              <w:divsChild>
                <w:div w:id="104811815">
                  <w:marLeft w:val="0"/>
                  <w:marRight w:val="0"/>
                  <w:marTop w:val="0"/>
                  <w:marBottom w:val="0"/>
                  <w:divBdr>
                    <w:top w:val="none" w:sz="0" w:space="0" w:color="auto"/>
                    <w:left w:val="none" w:sz="0" w:space="0" w:color="auto"/>
                    <w:bottom w:val="none" w:sz="0" w:space="0" w:color="auto"/>
                    <w:right w:val="none" w:sz="0" w:space="0" w:color="auto"/>
                  </w:divBdr>
                  <w:divsChild>
                    <w:div w:id="1008171340">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27744">
          <w:marLeft w:val="0"/>
          <w:marRight w:val="0"/>
          <w:marTop w:val="0"/>
          <w:marBottom w:val="0"/>
          <w:divBdr>
            <w:top w:val="none" w:sz="0" w:space="0" w:color="auto"/>
            <w:left w:val="none" w:sz="0" w:space="0" w:color="auto"/>
            <w:bottom w:val="none" w:sz="0" w:space="0" w:color="auto"/>
            <w:right w:val="none" w:sz="0" w:space="0" w:color="auto"/>
          </w:divBdr>
          <w:divsChild>
            <w:div w:id="324627758">
              <w:marLeft w:val="0"/>
              <w:marRight w:val="0"/>
              <w:marTop w:val="0"/>
              <w:marBottom w:val="0"/>
              <w:divBdr>
                <w:top w:val="none" w:sz="0" w:space="0" w:color="auto"/>
                <w:left w:val="none" w:sz="0" w:space="0" w:color="auto"/>
                <w:bottom w:val="none" w:sz="0" w:space="0" w:color="auto"/>
                <w:right w:val="none" w:sz="0" w:space="0" w:color="auto"/>
              </w:divBdr>
              <w:divsChild>
                <w:div w:id="1615593963">
                  <w:marLeft w:val="0"/>
                  <w:marRight w:val="0"/>
                  <w:marTop w:val="0"/>
                  <w:marBottom w:val="0"/>
                  <w:divBdr>
                    <w:top w:val="none" w:sz="0" w:space="0" w:color="auto"/>
                    <w:left w:val="none" w:sz="0" w:space="0" w:color="auto"/>
                    <w:bottom w:val="none" w:sz="0" w:space="0" w:color="auto"/>
                    <w:right w:val="none" w:sz="0" w:space="0" w:color="auto"/>
                  </w:divBdr>
                  <w:divsChild>
                    <w:div w:id="144670271">
                      <w:marLeft w:val="0"/>
                      <w:marRight w:val="0"/>
                      <w:marTop w:val="0"/>
                      <w:marBottom w:val="0"/>
                      <w:divBdr>
                        <w:top w:val="none" w:sz="0" w:space="0" w:color="auto"/>
                        <w:left w:val="none" w:sz="0" w:space="0" w:color="auto"/>
                        <w:bottom w:val="none" w:sz="0" w:space="0" w:color="auto"/>
                        <w:right w:val="none" w:sz="0" w:space="0" w:color="auto"/>
                      </w:divBdr>
                      <w:divsChild>
                        <w:div w:id="114439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6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ch.unesco.org/doc/src/LHE-21-16.COM-8.b-FR.docx" TargetMode="External"/><Relationship Id="rId18" Type="http://schemas.openxmlformats.org/officeDocument/2006/relationships/hyperlink" Target="https://ich.unesco.org/fr/decisions/13.COM/15" TargetMode="External"/><Relationship Id="rId26" Type="http://schemas.openxmlformats.org/officeDocument/2006/relationships/hyperlink" Target="https://ich.unesco.org/fr/Decisions/7.COM/15" TargetMode="External"/><Relationship Id="rId39" Type="http://schemas.openxmlformats.org/officeDocument/2006/relationships/hyperlink" Target="https://ich.unesco.org/fr/Decisions/12.COM/11" TargetMode="External"/><Relationship Id="rId21" Type="http://schemas.openxmlformats.org/officeDocument/2006/relationships/hyperlink" Target="https://ich.unesco.org/fr/16com" TargetMode="External"/><Relationship Id="rId34" Type="http://schemas.openxmlformats.org/officeDocument/2006/relationships/hyperlink" Target="https://ich.unesco.org/fr/Decisions/12.COM/11" TargetMode="External"/><Relationship Id="rId42" Type="http://schemas.openxmlformats.org/officeDocument/2006/relationships/hyperlink" Target="https://ich.unesco.org/fr/Decisions/11.COM/10" TargetMode="External"/><Relationship Id="rId47" Type="http://schemas.openxmlformats.org/officeDocument/2006/relationships/hyperlink" Target="https://ich.unesco.org/fr/Decisions/13.COM/10" TargetMode="External"/><Relationship Id="rId50" Type="http://schemas.openxmlformats.org/officeDocument/2006/relationships/hyperlink" Target="https://ich.unesco.org/fr/Decisions/14.COM/10"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ch.unesco.org/doc/src/LHE-21-16.COM-8.a-FR.docx" TargetMode="External"/><Relationship Id="rId17" Type="http://schemas.openxmlformats.org/officeDocument/2006/relationships/hyperlink" Target="https://ich.unesco.org/fr/dossiers-2021-en-cours-01119" TargetMode="External"/><Relationship Id="rId25" Type="http://schemas.openxmlformats.org/officeDocument/2006/relationships/hyperlink" Target="https://ich.unesco.org/fr/decisions/14.COM/14" TargetMode="External"/><Relationship Id="rId33" Type="http://schemas.openxmlformats.org/officeDocument/2006/relationships/hyperlink" Target="https://ich.unesco.org/fr/Decisions/13.COM/10" TargetMode="External"/><Relationship Id="rId38" Type="http://schemas.openxmlformats.org/officeDocument/2006/relationships/hyperlink" Target="https://ich.unesco.org/fr/Decisions/8.COM/8" TargetMode="External"/><Relationship Id="rId46" Type="http://schemas.openxmlformats.org/officeDocument/2006/relationships/hyperlink" Target="https://ich.unesco.org/fr/Decisions/13.COM/10" TargetMode="External"/><Relationship Id="rId59"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ich.unesco.org/fr/Decisions/15.COM/10" TargetMode="External"/><Relationship Id="rId20" Type="http://schemas.openxmlformats.org/officeDocument/2006/relationships/hyperlink" Target="https://ich.unesco.org/fr/Decisions/13.COM/15" TargetMode="External"/><Relationship Id="rId29" Type="http://schemas.openxmlformats.org/officeDocument/2006/relationships/hyperlink" Target="https://ich.unesco.org/fr/Decisions/12.COM/11" TargetMode="External"/><Relationship Id="rId41" Type="http://schemas.openxmlformats.org/officeDocument/2006/relationships/hyperlink" Target="https://ich.unesco.org/fr/Decisions/12.COM/11" TargetMode="External"/><Relationship Id="rId54" Type="http://schemas.openxmlformats.org/officeDocument/2006/relationships/hyperlink" Target="https://ich.unesco.org/doc/src/LHE-20-15.COM-8-EN.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D%C3%A9cisions/15.COM/10" TargetMode="External"/><Relationship Id="rId24" Type="http://schemas.openxmlformats.org/officeDocument/2006/relationships/hyperlink" Target="https://ich.unesco.org/doc/src/LHE-21-16.COM-11-FR.docx" TargetMode="External"/><Relationship Id="rId32" Type="http://schemas.openxmlformats.org/officeDocument/2006/relationships/hyperlink" Target="https://ich.unesco.org/fr/Decisions/14.COM/10" TargetMode="External"/><Relationship Id="rId37" Type="http://schemas.openxmlformats.org/officeDocument/2006/relationships/hyperlink" Target="https://ich.unesco.org/fr/Decisions/14.COM/10" TargetMode="External"/><Relationship Id="rId40" Type="http://schemas.openxmlformats.org/officeDocument/2006/relationships/hyperlink" Target="https://ich.unesco.org/fr/Decisions/14.COM/10" TargetMode="External"/><Relationship Id="rId45" Type="http://schemas.openxmlformats.org/officeDocument/2006/relationships/hyperlink" Target="https://ich.unesco.org/doc/src/ITH-17-12.COM-11-FR.docx" TargetMode="External"/><Relationship Id="rId53" Type="http://schemas.openxmlformats.org/officeDocument/2006/relationships/hyperlink" Target="https://ich.unesco.org/doc/src/LHE-21-16.COM-8.c-FR.docx"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ch.unesco.org/doc/src/LHE-21-16.COM-8.d-FR.docx" TargetMode="External"/><Relationship Id="rId23" Type="http://schemas.openxmlformats.org/officeDocument/2006/relationships/hyperlink" Target="https://ich.unesco.org/fr/Decisions/7.COM/15" TargetMode="External"/><Relationship Id="rId28" Type="http://schemas.openxmlformats.org/officeDocument/2006/relationships/hyperlink" Target="https://ich.unesco.org/fr/Decisions/15.COM/8" TargetMode="External"/><Relationship Id="rId36" Type="http://schemas.openxmlformats.org/officeDocument/2006/relationships/hyperlink" Target="https://ich.unesco.org/fr/Decisions/14.COM/10" TargetMode="External"/><Relationship Id="rId49" Type="http://schemas.openxmlformats.org/officeDocument/2006/relationships/hyperlink" Target="https://ich.unesco.org/fr/decisions/13.COM/10" TargetMode="External"/><Relationship Id="rId57" Type="http://schemas.openxmlformats.org/officeDocument/2006/relationships/header" Target="header3.xml"/><Relationship Id="rId10" Type="http://schemas.openxmlformats.org/officeDocument/2006/relationships/hyperlink" Target="https://ich.unesco.org/fr/Decisions/9.COM/11" TargetMode="External"/><Relationship Id="rId19" Type="http://schemas.openxmlformats.org/officeDocument/2006/relationships/hyperlink" Target="https://ich.unesco.org/fr/decisions/13.COM/15" TargetMode="External"/><Relationship Id="rId31" Type="http://schemas.openxmlformats.org/officeDocument/2006/relationships/hyperlink" Target="https://ich.unesco.org/fr/Decisions/11.COM/10" TargetMode="External"/><Relationship Id="rId44" Type="http://schemas.openxmlformats.org/officeDocument/2006/relationships/hyperlink" Target="https://ich.unesco.org/fr/Decisions/8.COM/8" TargetMode="External"/><Relationship Id="rId52" Type="http://schemas.openxmlformats.org/officeDocument/2006/relationships/hyperlink" Target="https://ich.unesco.org/doc/src/LHE-21-16.COM-8.b-FR.docx"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h.unesco.org/fr/Decisions/15.COM/10" TargetMode="External"/><Relationship Id="rId14" Type="http://schemas.openxmlformats.org/officeDocument/2006/relationships/hyperlink" Target="https://ich.unesco.org/doc/src/LHE-21-16.COM-8.c-FR.docx" TargetMode="External"/><Relationship Id="rId22" Type="http://schemas.openxmlformats.org/officeDocument/2006/relationships/chart" Target="charts/chart1.xml"/><Relationship Id="rId27" Type="http://schemas.openxmlformats.org/officeDocument/2006/relationships/hyperlink" Target="https://ich.unesco.org/fr/Decisions/12.COM/11" TargetMode="External"/><Relationship Id="rId30" Type="http://schemas.openxmlformats.org/officeDocument/2006/relationships/hyperlink" Target="https://ich.unesco.org/fr/Decisions/14.COM/10" TargetMode="External"/><Relationship Id="rId35" Type="http://schemas.openxmlformats.org/officeDocument/2006/relationships/hyperlink" Target="https://ich.unesco.org/fr/Decisions/11.COM/10" TargetMode="External"/><Relationship Id="rId43" Type="http://schemas.openxmlformats.org/officeDocument/2006/relationships/hyperlink" Target="https://ich.unesco.org/fr/Decisions/14.COM/10" TargetMode="External"/><Relationship Id="rId48" Type="http://schemas.openxmlformats.org/officeDocument/2006/relationships/hyperlink" Target="https://ich.unesco.org/fr/Decisions/11.COM/10" TargetMode="External"/><Relationship Id="rId56" Type="http://schemas.openxmlformats.org/officeDocument/2006/relationships/header" Target="header2.xml"/><Relationship Id="rId8" Type="http://schemas.openxmlformats.org/officeDocument/2006/relationships/hyperlink" Target="https://ich.unesco.org/fr/Decisions/15.COM/10" TargetMode="External"/><Relationship Id="rId51" Type="http://schemas.openxmlformats.org/officeDocument/2006/relationships/hyperlink" Target="https://ich.unesco.org/doc/src/LHE-21-16.COM-8.a-FR.docx" TargetMode="Externa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hqfs\OurDrive\CLT\ProgrammeExecution\2003Convention\2003-StatutoryMeetings\2021\2021-11_16.COM\Nomination%20material\Post-June%20meeting\10.%20September%20meeting\Revised%20documents\Drafts\Statistic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fr-FR" sz="1600"/>
              <a:t>Recommandations de l’Organe d’évaluation                    (cycle 2021)</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88B4-47B9-9920-F3986BE5E83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88B4-47B9-9920-F3986BE5E83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88B4-47B9-9920-F3986BE5E837}"/>
              </c:ext>
            </c:extLst>
          </c:dPt>
          <c:dLbls>
            <c:dLbl>
              <c:idx val="0"/>
              <c:layout>
                <c:manualLayout>
                  <c:x val="0.14455183727034121"/>
                  <c:y val="-0.21099518810148732"/>
                </c:manualLayout>
              </c:layou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8B4-47B9-9920-F3986BE5E837}"/>
                </c:ext>
              </c:extLst>
            </c:dLbl>
            <c:dLbl>
              <c:idx val="1"/>
              <c:layout>
                <c:manualLayout>
                  <c:x val="-0.12806334675887959"/>
                  <c:y val="0.20320137281682163"/>
                </c:manualLayout>
              </c:layou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8B4-47B9-9920-F3986BE5E837}"/>
                </c:ext>
              </c:extLst>
            </c:dLbl>
            <c:dLbl>
              <c:idx val="2"/>
              <c:layout>
                <c:manualLayout>
                  <c:x val="0.23141844459749933"/>
                  <c:y val="2.5303899309199979E-2"/>
                </c:manualLayout>
              </c:layou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8B4-47B9-9920-F3986BE5E83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FR!$A$1:$A$3</c:f>
              <c:strCache>
                <c:ptCount val="3"/>
                <c:pt idx="0">
                  <c:v>Dossiers recommandés pour inscription, sélection ou approbation 75%</c:v>
                </c:pt>
                <c:pt idx="1">
                  <c:v>Dossiers recommandés pour renvoi 23%</c:v>
                </c:pt>
                <c:pt idx="2">
                  <c:v>Dossier non recommandés pour inscription 2%</c:v>
                </c:pt>
              </c:strCache>
            </c:strRef>
          </c:cat>
          <c:val>
            <c:numRef>
              <c:f>FR!$B$1:$B$3</c:f>
              <c:numCache>
                <c:formatCode>General</c:formatCode>
                <c:ptCount val="3"/>
                <c:pt idx="0">
                  <c:v>75</c:v>
                </c:pt>
                <c:pt idx="1">
                  <c:v>23.333333333333332</c:v>
                </c:pt>
                <c:pt idx="2">
                  <c:v>1.6666666666666667</c:v>
                </c:pt>
              </c:numCache>
            </c:numRef>
          </c:val>
          <c:extLst>
            <c:ext xmlns:c16="http://schemas.microsoft.com/office/drawing/2014/chart" uri="{C3380CC4-5D6E-409C-BE32-E72D297353CC}">
              <c16:uniqueId val="{00000006-88B4-47B9-9920-F3986BE5E837}"/>
            </c:ext>
          </c:extLst>
        </c:ser>
        <c:ser>
          <c:idx val="1"/>
          <c:order val="1"/>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8-88B4-47B9-9920-F3986BE5E83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A-88B4-47B9-9920-F3986BE5E83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C-88B4-47B9-9920-F3986BE5E837}"/>
              </c:ext>
            </c:extLst>
          </c:dPt>
          <c:dLbls>
            <c:delete val="1"/>
          </c:dLbls>
          <c:cat>
            <c:strRef>
              <c:f>FR!$A$1:$A$3</c:f>
              <c:strCache>
                <c:ptCount val="3"/>
                <c:pt idx="0">
                  <c:v>Dossiers recommandés pour inscription, sélection ou approbation 75%</c:v>
                </c:pt>
                <c:pt idx="1">
                  <c:v>Dossiers recommandés pour renvoi 23%</c:v>
                </c:pt>
                <c:pt idx="2">
                  <c:v>Dossier non recommandés pour inscription 2%</c:v>
                </c:pt>
              </c:strCache>
            </c:strRef>
          </c:cat>
          <c:val>
            <c:numRef>
              <c:f>FR!$C$1:$C$3</c:f>
              <c:numCache>
                <c:formatCode>General</c:formatCode>
                <c:ptCount val="3"/>
                <c:pt idx="0">
                  <c:v>75</c:v>
                </c:pt>
                <c:pt idx="1">
                  <c:v>23</c:v>
                </c:pt>
                <c:pt idx="2">
                  <c:v>2</c:v>
                </c:pt>
              </c:numCache>
            </c:numRef>
          </c:val>
          <c:extLst>
            <c:ext xmlns:c16="http://schemas.microsoft.com/office/drawing/2014/chart" uri="{C3380CC4-5D6E-409C-BE32-E72D297353CC}">
              <c16:uniqueId val="{0000000D-88B4-47B9-9920-F3986BE5E837}"/>
            </c:ext>
          </c:extLst>
        </c:ser>
        <c:dLbls>
          <c:showLegendKey val="0"/>
          <c:showVal val="0"/>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F4212CC20374C149C04600338CEB1BE"/>
        <w:category>
          <w:name w:val="General"/>
          <w:gallery w:val="placeholder"/>
        </w:category>
        <w:types>
          <w:type w:val="bbPlcHdr"/>
        </w:types>
        <w:behaviors>
          <w:behavior w:val="content"/>
        </w:behaviors>
        <w:guid w:val="{5AC9652C-E5EC-48AB-98EC-F0EF789F3FDB}"/>
      </w:docPartPr>
      <w:docPartBody>
        <w:p w:rsidR="00806470" w:rsidRDefault="00442D41" w:rsidP="00442D41">
          <w:pPr>
            <w:pStyle w:val="2F4212CC20374C149C04600338CEB1BE"/>
          </w:pPr>
          <w:r>
            <w:rPr>
              <w:color w:val="2F5496" w:themeColor="accent1" w:themeShade="BF"/>
              <w:sz w:val="24"/>
              <w:szCs w:val="24"/>
            </w:rPr>
            <w:t>[Nom de la société]</w:t>
          </w:r>
        </w:p>
      </w:docPartBody>
    </w:docPart>
    <w:docPart>
      <w:docPartPr>
        <w:name w:val="D2DBFBABFBFB43C9A0EE9E9DDBF73F47"/>
        <w:category>
          <w:name w:val="General"/>
          <w:gallery w:val="placeholder"/>
        </w:category>
        <w:types>
          <w:type w:val="bbPlcHdr"/>
        </w:types>
        <w:behaviors>
          <w:behavior w:val="content"/>
        </w:behaviors>
        <w:guid w:val="{C1F1F69A-DB75-416F-AA20-2ABD60F38509}"/>
      </w:docPartPr>
      <w:docPartBody>
        <w:p w:rsidR="00806470" w:rsidRDefault="00442D41" w:rsidP="00442D41">
          <w:pPr>
            <w:pStyle w:val="D2DBFBABFBFB43C9A0EE9E9DDBF73F47"/>
          </w:pPr>
          <w:r>
            <w:rPr>
              <w:rFonts w:asciiTheme="majorHAnsi" w:eastAsiaTheme="majorEastAsia" w:hAnsiTheme="majorHAnsi" w:cstheme="majorBidi"/>
              <w:color w:val="4472C4" w:themeColor="accent1"/>
              <w:sz w:val="88"/>
              <w:szCs w:val="88"/>
            </w:rPr>
            <w:t>[Titre du document]</w:t>
          </w:r>
        </w:p>
      </w:docPartBody>
    </w:docPart>
    <w:docPart>
      <w:docPartPr>
        <w:name w:val="99F2C8503BB5431D8D1131B0995FD61F"/>
        <w:category>
          <w:name w:val="General"/>
          <w:gallery w:val="placeholder"/>
        </w:category>
        <w:types>
          <w:type w:val="bbPlcHdr"/>
        </w:types>
        <w:behaviors>
          <w:behavior w:val="content"/>
        </w:behaviors>
        <w:guid w:val="{7FFE9E7B-C931-47A8-8897-82E7B5E0D1FE}"/>
      </w:docPartPr>
      <w:docPartBody>
        <w:p w:rsidR="00EA41DF" w:rsidRDefault="00EA41DF" w:rsidP="00EA41DF">
          <w:pPr>
            <w:pStyle w:val="99F2C8503BB5431D8D1131B0995FD61F"/>
          </w:pPr>
          <w:r>
            <w:rPr>
              <w:color w:val="2F5496" w:themeColor="accent1" w:themeShade="BF"/>
              <w:sz w:val="24"/>
              <w:szCs w:val="24"/>
            </w:rPr>
            <w:t>[Sous-titre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2D41"/>
    <w:rsid w:val="000600DA"/>
    <w:rsid w:val="000A71CB"/>
    <w:rsid w:val="001479AE"/>
    <w:rsid w:val="00164034"/>
    <w:rsid w:val="001A5763"/>
    <w:rsid w:val="001C5847"/>
    <w:rsid w:val="00212B19"/>
    <w:rsid w:val="00252C39"/>
    <w:rsid w:val="002748AA"/>
    <w:rsid w:val="00372E38"/>
    <w:rsid w:val="00395C3E"/>
    <w:rsid w:val="003D58D9"/>
    <w:rsid w:val="00401237"/>
    <w:rsid w:val="00403E54"/>
    <w:rsid w:val="00442D41"/>
    <w:rsid w:val="0049420F"/>
    <w:rsid w:val="004B78A4"/>
    <w:rsid w:val="004D7DFF"/>
    <w:rsid w:val="005107F0"/>
    <w:rsid w:val="005436E2"/>
    <w:rsid w:val="00596FDB"/>
    <w:rsid w:val="005D1840"/>
    <w:rsid w:val="00672E87"/>
    <w:rsid w:val="006E07C3"/>
    <w:rsid w:val="00712679"/>
    <w:rsid w:val="00772182"/>
    <w:rsid w:val="007E0CC9"/>
    <w:rsid w:val="00805C2F"/>
    <w:rsid w:val="00806470"/>
    <w:rsid w:val="00880A54"/>
    <w:rsid w:val="00887A5A"/>
    <w:rsid w:val="008F1C7B"/>
    <w:rsid w:val="00935A6E"/>
    <w:rsid w:val="009426C9"/>
    <w:rsid w:val="00986A13"/>
    <w:rsid w:val="00A22B17"/>
    <w:rsid w:val="00A34435"/>
    <w:rsid w:val="00A909DE"/>
    <w:rsid w:val="00AB7084"/>
    <w:rsid w:val="00B16AE3"/>
    <w:rsid w:val="00B25548"/>
    <w:rsid w:val="00B31E72"/>
    <w:rsid w:val="00B43FF7"/>
    <w:rsid w:val="00B440EF"/>
    <w:rsid w:val="00B70AA0"/>
    <w:rsid w:val="00B76016"/>
    <w:rsid w:val="00C14AE9"/>
    <w:rsid w:val="00C5717E"/>
    <w:rsid w:val="00C6581C"/>
    <w:rsid w:val="00C678CB"/>
    <w:rsid w:val="00CA5C23"/>
    <w:rsid w:val="00D21D58"/>
    <w:rsid w:val="00D749A8"/>
    <w:rsid w:val="00D93D2C"/>
    <w:rsid w:val="00E20E98"/>
    <w:rsid w:val="00EA41DF"/>
    <w:rsid w:val="00EC52ED"/>
    <w:rsid w:val="00F409D7"/>
    <w:rsid w:val="00FB5000"/>
    <w:rsid w:val="00FE40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4212CC20374C149C04600338CEB1BE">
    <w:name w:val="2F4212CC20374C149C04600338CEB1BE"/>
    <w:rsid w:val="00442D41"/>
  </w:style>
  <w:style w:type="paragraph" w:customStyle="1" w:styleId="D2DBFBABFBFB43C9A0EE9E9DDBF73F47">
    <w:name w:val="D2DBFBABFBFB43C9A0EE9E9DDBF73F47"/>
    <w:rsid w:val="00442D41"/>
  </w:style>
  <w:style w:type="paragraph" w:customStyle="1" w:styleId="99F2C8503BB5431D8D1131B0995FD61F">
    <w:name w:val="99F2C8503BB5431D8D1131B0995FD61F"/>
    <w:rsid w:val="00EA41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DA552-EE2C-42A2-9052-F159BBC4D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23</Pages>
  <Words>12139</Words>
  <Characters>69196</Characters>
  <Application>Microsoft Office Word</Application>
  <DocSecurity>0</DocSecurity>
  <Lines>576</Lines>
  <Paragraphs>162</Paragraphs>
  <ScaleCrop>false</ScaleCrop>
  <HeadingPairs>
    <vt:vector size="8" baseType="variant">
      <vt:variant>
        <vt:lpstr>Titre</vt:lpstr>
      </vt:variant>
      <vt:variant>
        <vt:i4>1</vt:i4>
      </vt:variant>
      <vt:variant>
        <vt:lpstr>Title</vt:lpstr>
      </vt:variant>
      <vt:variant>
        <vt:i4>1</vt:i4>
      </vt:variant>
      <vt:variant>
        <vt:lpstr>Názov</vt:lpstr>
      </vt:variant>
      <vt:variant>
        <vt:i4>1</vt:i4>
      </vt:variant>
      <vt:variant>
        <vt:lpstr>Título</vt:lpstr>
      </vt:variant>
      <vt:variant>
        <vt:i4>1</vt:i4>
      </vt:variant>
    </vt:vector>
  </HeadingPairs>
  <TitlesOfParts>
    <vt:vector size="4" baseType="lpstr">
      <vt:lpstr>Rapport de l’Organe d’évaluation sur ses travaux en 2021</vt:lpstr>
      <vt:lpstr>Rapport de l’Organe d’évaluation sur ses travaux en 2021</vt:lpstr>
      <vt:lpstr>Report of the Evaluation Body on its work in 2021</vt:lpstr>
      <vt:lpstr>Report of the Evaluation Body on its work in 2020</vt:lpstr>
    </vt:vector>
  </TitlesOfParts>
  <Company>POINT 8 DE L’ORDRE DU JOUR PROVISOIRE</Company>
  <LinksUpToDate>false</LinksUpToDate>
  <CharactersWithSpaces>81173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l’Organe d’évaluation sur ses travaux en 2021</dc:title>
  <dc:subject>Seizième session, Comité intergouvernemental de sauvegarde du patrimoine culturel immatériel (En ligne – du 13 au 18 décembre 2021)</dc:subject>
  <dc:creator>Thibault, Alice</dc:creator>
  <cp:keywords/>
  <dc:description/>
  <cp:lastModifiedBy>Kim, Dain</cp:lastModifiedBy>
  <cp:revision>96</cp:revision>
  <cp:lastPrinted>2021-09-06T12:09:00Z</cp:lastPrinted>
  <dcterms:created xsi:type="dcterms:W3CDTF">2021-10-20T12:03:00Z</dcterms:created>
  <dcterms:modified xsi:type="dcterms:W3CDTF">2021-12-07T15:35:00Z</dcterms:modified>
</cp:coreProperties>
</file>