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2BD89" w14:textId="77777777" w:rsidR="008C4CF6" w:rsidRPr="008C4CF6" w:rsidRDefault="008C4CF6" w:rsidP="008C4CF6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8C4CF6">
        <w:rPr>
          <w:rFonts w:ascii="Arial" w:hAnsi="Arial"/>
          <w:b/>
          <w:sz w:val="22"/>
          <w:szCs w:val="22"/>
        </w:rPr>
        <w:t>CONVENTION POUR LA SAUVEGARDE DU</w:t>
      </w:r>
      <w:r w:rsidRPr="008C4CF6">
        <w:rPr>
          <w:rFonts w:ascii="Arial" w:hAnsi="Arial"/>
          <w:b/>
          <w:sz w:val="22"/>
          <w:szCs w:val="22"/>
        </w:rPr>
        <w:br/>
        <w:t>PATRIMOINE CULTUREL IMMATÉRIEL</w:t>
      </w:r>
    </w:p>
    <w:p w14:paraId="41FE054A" w14:textId="77777777" w:rsidR="008C4CF6" w:rsidRPr="008C4CF6" w:rsidRDefault="008C4CF6" w:rsidP="008C4CF6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bookmarkStart w:id="0" w:name="_Hlk70514086"/>
      <w:r w:rsidRPr="008C4CF6">
        <w:rPr>
          <w:rFonts w:ascii="Arial" w:hAnsi="Arial" w:cs="Arial"/>
          <w:b/>
          <w:sz w:val="22"/>
          <w:szCs w:val="22"/>
        </w:rPr>
        <w:t>COMITÉ INTERGOUVERNEMENTAL DE SAUVEGARDE</w:t>
      </w:r>
      <w:r w:rsidRPr="008C4CF6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14:paraId="491DBD87" w14:textId="77777777" w:rsidR="008C4CF6" w:rsidRPr="008C4CF6" w:rsidRDefault="008C4CF6" w:rsidP="008C4CF6">
      <w:pPr>
        <w:spacing w:before="840"/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8C4CF6">
        <w:rPr>
          <w:rFonts w:ascii="Arial" w:hAnsi="Arial"/>
          <w:b/>
          <w:sz w:val="22"/>
          <w:szCs w:val="22"/>
        </w:rPr>
        <w:t xml:space="preserve">Seizième </w:t>
      </w:r>
      <w:bookmarkEnd w:id="0"/>
      <w:r w:rsidRPr="008C4CF6">
        <w:rPr>
          <w:rFonts w:ascii="Arial" w:hAnsi="Arial"/>
          <w:b/>
          <w:sz w:val="22"/>
          <w:szCs w:val="22"/>
        </w:rPr>
        <w:t>session</w:t>
      </w:r>
    </w:p>
    <w:p w14:paraId="14FCAF20" w14:textId="0C00D0B7" w:rsidR="008C4CF6" w:rsidRPr="008C4CF6" w:rsidRDefault="00577EE7" w:rsidP="008C4CF6">
      <w:pPr>
        <w:jc w:val="center"/>
        <w:rPr>
          <w:rFonts w:ascii="Arial" w:eastAsiaTheme="minorEastAsia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 ligne</w:t>
      </w:r>
    </w:p>
    <w:p w14:paraId="3CD71240" w14:textId="77777777" w:rsidR="008C4CF6" w:rsidRPr="008C4CF6" w:rsidRDefault="008C4CF6" w:rsidP="008C4CF6">
      <w:pPr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8C4CF6">
        <w:rPr>
          <w:rFonts w:ascii="Arial" w:hAnsi="Arial"/>
          <w:b/>
          <w:sz w:val="22"/>
          <w:szCs w:val="22"/>
        </w:rPr>
        <w:t>13 - 18 décembre 2021</w:t>
      </w:r>
    </w:p>
    <w:p w14:paraId="0365203A" w14:textId="06D7718E" w:rsidR="00EC6F8D" w:rsidRPr="003C1CCC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8C4CF6">
        <w:rPr>
          <w:rFonts w:ascii="Arial" w:hAnsi="Arial"/>
          <w:b/>
          <w:sz w:val="22"/>
          <w:szCs w:val="22"/>
          <w:u w:val="single"/>
        </w:rPr>
        <w:t>Point 5.a d</w:t>
      </w:r>
      <w:r w:rsidR="005F60E6" w:rsidRPr="008C4CF6">
        <w:rPr>
          <w:rFonts w:ascii="Arial" w:hAnsi="Arial"/>
          <w:b/>
          <w:sz w:val="22"/>
          <w:szCs w:val="22"/>
          <w:u w:val="single"/>
        </w:rPr>
        <w:t>e l’ordre du jour provisoire</w:t>
      </w:r>
      <w:r>
        <w:rPr>
          <w:rFonts w:ascii="Arial" w:hAnsi="Arial"/>
          <w:b/>
          <w:sz w:val="22"/>
        </w:rPr>
        <w:t> :</w:t>
      </w:r>
    </w:p>
    <w:p w14:paraId="41B459E7" w14:textId="06ADCA2E" w:rsidR="00A4628C" w:rsidRPr="003C1CCC" w:rsidRDefault="00A4628C" w:rsidP="00A4628C">
      <w:pPr>
        <w:pStyle w:val="Sansinterligne2"/>
        <w:spacing w:after="9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Rapport du Comité à l’Assemblée générale</w:t>
      </w:r>
      <w:r>
        <w:rPr>
          <w:rFonts w:ascii="Arial" w:hAnsi="Arial"/>
          <w:b/>
          <w:sz w:val="22"/>
        </w:rPr>
        <w:br/>
        <w:t>sur ses activités (</w:t>
      </w:r>
      <w:r w:rsidR="009C46EB">
        <w:rPr>
          <w:rFonts w:ascii="Arial" w:hAnsi="Arial"/>
          <w:b/>
          <w:sz w:val="22"/>
        </w:rPr>
        <w:t xml:space="preserve">de </w:t>
      </w:r>
      <w:r>
        <w:rPr>
          <w:rFonts w:ascii="Arial" w:hAnsi="Arial"/>
          <w:b/>
          <w:sz w:val="22"/>
        </w:rPr>
        <w:t>janvier 2020 à décembre 2021)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3C1CCC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51C260A9" w14:textId="122C00A6" w:rsidR="00EC6F8D" w:rsidRPr="008C4CF6" w:rsidRDefault="00626279" w:rsidP="008C4CF6">
            <w:pPr>
              <w:pStyle w:val="Sansinterligne1"/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Résumé</w:t>
            </w:r>
          </w:p>
          <w:p w14:paraId="4B34C6D1" w14:textId="542C7880" w:rsidR="00F71D2A" w:rsidRPr="003C1CCC" w:rsidRDefault="00F71D2A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L’article 30.1 de la Convention de 2003 </w:t>
            </w:r>
            <w:r w:rsidR="00C912A2">
              <w:rPr>
                <w:rFonts w:ascii="Arial" w:hAnsi="Arial"/>
                <w:sz w:val="22"/>
              </w:rPr>
              <w:t>prévoit que</w:t>
            </w:r>
            <w:r>
              <w:rPr>
                <w:rFonts w:ascii="Arial" w:hAnsi="Arial"/>
                <w:sz w:val="22"/>
              </w:rPr>
              <w:t xml:space="preserve"> « Sur la base de ses activités [...] le Comité soumet un rapport à chaque session de l’Assemblée générale. » Le présent document contient un projet de rapport sur les activités du Comité </w:t>
            </w:r>
            <w:r w:rsidR="00DC4C31"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z w:val="22"/>
              </w:rPr>
              <w:t xml:space="preserve"> janvier 2020 </w:t>
            </w:r>
            <w:r w:rsidR="00DC4C31">
              <w:rPr>
                <w:rFonts w:ascii="Arial" w:hAnsi="Arial"/>
                <w:sz w:val="22"/>
              </w:rPr>
              <w:t>à</w:t>
            </w:r>
            <w:r>
              <w:rPr>
                <w:rFonts w:ascii="Arial" w:hAnsi="Arial"/>
                <w:sz w:val="22"/>
              </w:rPr>
              <w:t xml:space="preserve"> décembre 2021, </w:t>
            </w:r>
            <w:r w:rsidR="00E7470D">
              <w:rPr>
                <w:rFonts w:ascii="Arial" w:hAnsi="Arial"/>
                <w:sz w:val="22"/>
              </w:rPr>
              <w:t xml:space="preserve">que </w:t>
            </w:r>
            <w:r>
              <w:rPr>
                <w:rFonts w:ascii="Arial" w:hAnsi="Arial"/>
                <w:sz w:val="22"/>
              </w:rPr>
              <w:t>le Comité</w:t>
            </w:r>
            <w:r w:rsidR="00E7470D">
              <w:rPr>
                <w:rFonts w:ascii="Arial" w:hAnsi="Arial"/>
                <w:sz w:val="22"/>
              </w:rPr>
              <w:t xml:space="preserve"> pourrait souhaiter présenter</w:t>
            </w:r>
            <w:r>
              <w:rPr>
                <w:rFonts w:ascii="Arial" w:hAnsi="Arial"/>
                <w:sz w:val="22"/>
              </w:rPr>
              <w:t xml:space="preserve"> à la neuvième session de l’Assemblée générale à la mi-2022.</w:t>
            </w:r>
          </w:p>
          <w:p w14:paraId="290310E8" w14:textId="79608FC5" w:rsidR="00EC6F8D" w:rsidRPr="003C1CCC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Décision requise </w:t>
            </w:r>
            <w:r w:rsidRPr="00C67C21">
              <w:rPr>
                <w:rFonts w:ascii="Arial" w:hAnsi="Arial"/>
                <w:bCs/>
                <w:sz w:val="22"/>
              </w:rPr>
              <w:t>: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paragraphe 4</w:t>
            </w:r>
          </w:p>
        </w:tc>
      </w:tr>
    </w:tbl>
    <w:p w14:paraId="713D819F" w14:textId="77777777" w:rsidR="004A2875" w:rsidRPr="003C1CCC" w:rsidRDefault="00655736" w:rsidP="004A2875">
      <w:pPr>
        <w:pStyle w:val="Paragraphedeliste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</w:rPr>
      </w:pPr>
      <w:r>
        <w:br w:type="page"/>
      </w:r>
    </w:p>
    <w:p w14:paraId="0D74B459" w14:textId="17D13016" w:rsidR="009163C4" w:rsidRPr="003C1CCC" w:rsidRDefault="0087572C" w:rsidP="0087572C">
      <w:pPr>
        <w:pStyle w:val="Marge"/>
        <w:numPr>
          <w:ilvl w:val="0"/>
          <w:numId w:val="14"/>
        </w:numPr>
        <w:spacing w:after="120"/>
        <w:ind w:left="567" w:hanging="567"/>
        <w:rPr>
          <w:rFonts w:cs="Arial"/>
          <w:szCs w:val="22"/>
        </w:rPr>
      </w:pPr>
      <w:r>
        <w:lastRenderedPageBreak/>
        <w:t>L’article 30.1 de la Convention de 2003 pour la sauvegarde du patrimoine culturel immatériel</w:t>
      </w:r>
      <w:r w:rsidR="00B31A86">
        <w:t xml:space="preserve"> prévoit que </w:t>
      </w:r>
      <w:r>
        <w:t xml:space="preserve">« Sur la base de ses activités [...] le Comité soumet un rapport à chaque session de l’Assemblée générale. » L’article 30.2 </w:t>
      </w:r>
      <w:r w:rsidR="00B35D23">
        <w:t xml:space="preserve">précise que </w:t>
      </w:r>
      <w:r>
        <w:t>« </w:t>
      </w:r>
      <w:r w:rsidR="00B35D23">
        <w:t>C</w:t>
      </w:r>
      <w:r>
        <w:t xml:space="preserve">e rapport est porté à la connaissance de la Conférence générale de l’UNESCO ». </w:t>
      </w:r>
      <w:r w:rsidR="000D45BF">
        <w:t>Ces</w:t>
      </w:r>
      <w:r>
        <w:t xml:space="preserve"> dispositions s’appuient également sur la règle 46 d</w:t>
      </w:r>
      <w:r w:rsidR="00F311B3">
        <w:t xml:space="preserve">u </w:t>
      </w:r>
      <w:r w:rsidR="00F311B3" w:rsidRPr="00F311B3">
        <w:t>Règlement intérieur</w:t>
      </w:r>
      <w:r>
        <w:t xml:space="preserve"> du Comité.</w:t>
      </w:r>
    </w:p>
    <w:p w14:paraId="019C2425" w14:textId="0F768379" w:rsidR="0087572C" w:rsidRPr="003C1CCC" w:rsidRDefault="00AC4FA0" w:rsidP="0087572C">
      <w:pPr>
        <w:pStyle w:val="Marge"/>
        <w:numPr>
          <w:ilvl w:val="0"/>
          <w:numId w:val="14"/>
        </w:numPr>
        <w:spacing w:after="120"/>
        <w:ind w:left="567" w:hanging="567"/>
        <w:rPr>
          <w:rFonts w:cs="Arial"/>
          <w:szCs w:val="22"/>
        </w:rPr>
      </w:pPr>
      <w:r>
        <w:t xml:space="preserve">Le présent rapport couvre la période allant </w:t>
      </w:r>
      <w:r w:rsidR="0087572C">
        <w:t xml:space="preserve">de janvier 2020 à décembre 2021. </w:t>
      </w:r>
      <w:r w:rsidR="000D45BF">
        <w:t xml:space="preserve">Ce </w:t>
      </w:r>
      <w:r w:rsidR="0087572C">
        <w:t xml:space="preserve">calendrier </w:t>
      </w:r>
      <w:r w:rsidR="000D45BF">
        <w:t>fait suite à la</w:t>
      </w:r>
      <w:r w:rsidR="009519E0">
        <w:t xml:space="preserve"> </w:t>
      </w:r>
      <w:r w:rsidR="009519E0" w:rsidRPr="009519E0">
        <w:t>Résolution</w:t>
      </w:r>
      <w:r w:rsidR="000D45BF">
        <w:t xml:space="preserve"> </w:t>
      </w:r>
      <w:hyperlink r:id="rId8" w:history="1">
        <w:r w:rsidR="009519E0">
          <w:rPr>
            <w:rStyle w:val="Lienhypertexte"/>
          </w:rPr>
          <w:t>6.GA 5</w:t>
        </w:r>
      </w:hyperlink>
      <w:r w:rsidR="0087572C">
        <w:t xml:space="preserve">, </w:t>
      </w:r>
      <w:r w:rsidR="000D45BF">
        <w:t>par</w:t>
      </w:r>
      <w:r w:rsidR="0087572C">
        <w:t xml:space="preserve"> laquelle l’Assemblée générale a demandé au Comité d’utiliser un calendrier biennal pour ses </w:t>
      </w:r>
      <w:r w:rsidR="000D45BF">
        <w:t xml:space="preserve">futurs </w:t>
      </w:r>
      <w:r w:rsidR="0087572C">
        <w:t>rapport</w:t>
      </w:r>
      <w:r w:rsidR="000D45BF">
        <w:t>s</w:t>
      </w:r>
      <w:r w:rsidR="0087572C">
        <w:t xml:space="preserve">. Après la session, et si nécessaire, le présent rapport devra être mis à jour par le Secrétariat </w:t>
      </w:r>
      <w:r w:rsidR="003B759C">
        <w:t xml:space="preserve">avec </w:t>
      </w:r>
      <w:r w:rsidR="0087572C">
        <w:t xml:space="preserve">des informations </w:t>
      </w:r>
      <w:r w:rsidR="000D45BF">
        <w:t>complémentaires</w:t>
      </w:r>
      <w:r w:rsidR="0087572C">
        <w:t xml:space="preserve"> </w:t>
      </w:r>
      <w:r w:rsidR="000D45BF">
        <w:t>sur les</w:t>
      </w:r>
      <w:r w:rsidR="0087572C">
        <w:t xml:space="preserve"> résultats de la seizième session du Comité.</w:t>
      </w:r>
    </w:p>
    <w:p w14:paraId="5E234EDF" w14:textId="2A580FA3" w:rsidR="0087572C" w:rsidRPr="003C1CCC" w:rsidRDefault="0087572C" w:rsidP="0087572C">
      <w:pPr>
        <w:pStyle w:val="Marge"/>
        <w:numPr>
          <w:ilvl w:val="0"/>
          <w:numId w:val="14"/>
        </w:numPr>
        <w:spacing w:after="120"/>
        <w:ind w:left="567" w:hanging="567"/>
        <w:rPr>
          <w:rFonts w:cs="Arial"/>
          <w:szCs w:val="22"/>
        </w:rPr>
      </w:pPr>
      <w:r>
        <w:t xml:space="preserve">Le présent rapport </w:t>
      </w:r>
      <w:r w:rsidR="002C4D03">
        <w:t>doit être lu</w:t>
      </w:r>
      <w:r>
        <w:t xml:space="preserve"> conjointement aux documents de travail et aux décisions des </w:t>
      </w:r>
      <w:r w:rsidR="004C76FB">
        <w:t xml:space="preserve">organes directeurs </w:t>
      </w:r>
      <w:r>
        <w:t>de la Convention de 2003, qui se sont r</w:t>
      </w:r>
      <w:r w:rsidR="00382DD5">
        <w:t>éunis</w:t>
      </w:r>
      <w:r>
        <w:t xml:space="preserve"> pendant la période </w:t>
      </w:r>
      <w:r w:rsidR="00382DD5">
        <w:t>considérée</w:t>
      </w:r>
      <w:r>
        <w:t xml:space="preserve"> (quinzième et seizième sessions du Comité, et huitième session de l’Assemblée générale), en particulier :</w:t>
      </w:r>
    </w:p>
    <w:p w14:paraId="5355C31F" w14:textId="76C0554E" w:rsidR="008A04FB" w:rsidRPr="003C1CCC" w:rsidRDefault="008A04FB" w:rsidP="0087572C">
      <w:pPr>
        <w:pStyle w:val="Marge"/>
        <w:numPr>
          <w:ilvl w:val="0"/>
          <w:numId w:val="15"/>
        </w:numPr>
        <w:spacing w:after="120"/>
        <w:ind w:left="1134" w:hanging="567"/>
        <w:rPr>
          <w:rFonts w:cs="Arial"/>
          <w:szCs w:val="22"/>
        </w:rPr>
      </w:pPr>
      <w:r>
        <w:t>Le rapport du Secrétariat sur ses activités (document </w:t>
      </w:r>
      <w:hyperlink r:id="rId9" w:history="1">
        <w:r w:rsidRPr="00C521F6">
          <w:rPr>
            <w:rStyle w:val="Lienhypertexte"/>
          </w:rPr>
          <w:t>LHE/20/8.GA/6 Add.</w:t>
        </w:r>
      </w:hyperlink>
      <w:r w:rsidR="00C521F6">
        <w:t>)</w:t>
      </w:r>
      <w:r w:rsidR="0055339B">
        <w:t xml:space="preserve"> </w:t>
      </w:r>
      <w:r>
        <w:t>;</w:t>
      </w:r>
    </w:p>
    <w:p w14:paraId="4FC4D33D" w14:textId="71382F7A" w:rsidR="00693C7F" w:rsidRPr="003C1CCC" w:rsidRDefault="00693C7F" w:rsidP="00693C7F">
      <w:pPr>
        <w:pStyle w:val="Marge"/>
        <w:numPr>
          <w:ilvl w:val="0"/>
          <w:numId w:val="15"/>
        </w:numPr>
        <w:spacing w:after="120"/>
        <w:ind w:left="1134" w:hanging="567"/>
        <w:rPr>
          <w:rFonts w:cs="Arial"/>
          <w:szCs w:val="22"/>
        </w:rPr>
      </w:pPr>
      <w:r>
        <w:t>L’utilisation des ressources du Fonds du patrimoine culturel immatériel (document </w:t>
      </w:r>
      <w:hyperlink r:id="rId10" w:history="1">
        <w:r>
          <w:rPr>
            <w:rStyle w:val="Lienhypertexte"/>
          </w:rPr>
          <w:t>LHE/20/8.GA/7 Rev.)</w:t>
        </w:r>
      </w:hyperlink>
      <w:r>
        <w:t> ;</w:t>
      </w:r>
    </w:p>
    <w:p w14:paraId="70F55373" w14:textId="7829E414" w:rsidR="0087572C" w:rsidRPr="003C1CCC" w:rsidRDefault="008A04FB" w:rsidP="0087572C">
      <w:pPr>
        <w:pStyle w:val="Marge"/>
        <w:numPr>
          <w:ilvl w:val="0"/>
          <w:numId w:val="15"/>
        </w:numPr>
        <w:spacing w:after="120"/>
        <w:ind w:left="1134" w:hanging="567"/>
        <w:rPr>
          <w:rFonts w:cs="Arial"/>
          <w:szCs w:val="22"/>
        </w:rPr>
      </w:pPr>
      <w:r>
        <w:t>Le rapport du Secrétariat sur ses activités (document </w:t>
      </w:r>
      <w:hyperlink r:id="rId11" w:history="1">
        <w:r w:rsidRPr="009519E0">
          <w:rPr>
            <w:rStyle w:val="Lienhypertexte"/>
          </w:rPr>
          <w:t>LHE/21/16.COM/5.b</w:t>
        </w:r>
      </w:hyperlink>
      <w:r w:rsidRPr="009519E0">
        <w:t>) ;</w:t>
      </w:r>
    </w:p>
    <w:p w14:paraId="0E8F68E7" w14:textId="5DAF2140" w:rsidR="0087572C" w:rsidRPr="003C1CCC" w:rsidRDefault="00806226" w:rsidP="0087572C">
      <w:pPr>
        <w:pStyle w:val="Marge"/>
        <w:numPr>
          <w:ilvl w:val="0"/>
          <w:numId w:val="15"/>
        </w:numPr>
        <w:spacing w:after="120"/>
        <w:ind w:left="1134" w:hanging="567"/>
        <w:rPr>
          <w:rFonts w:cs="Arial"/>
          <w:szCs w:val="22"/>
        </w:rPr>
      </w:pPr>
      <w:r>
        <w:t xml:space="preserve">Le rapport </w:t>
      </w:r>
      <w:r w:rsidRPr="009519E0">
        <w:t>financier du Fonds du patrimoine culturel immatériel (</w:t>
      </w:r>
      <w:r w:rsidR="00C455F4" w:rsidRPr="009519E0">
        <w:t xml:space="preserve">en tant qu’annexe au </w:t>
      </w:r>
      <w:r w:rsidRPr="009519E0">
        <w:t>document </w:t>
      </w:r>
      <w:hyperlink r:id="rId12" w:history="1">
        <w:r w:rsidRPr="009519E0">
          <w:rPr>
            <w:rStyle w:val="Lienhypertexte"/>
          </w:rPr>
          <w:t>LHE/21/16.COM/</w:t>
        </w:r>
        <w:r w:rsidR="00C455F4" w:rsidRPr="009519E0">
          <w:rPr>
            <w:rStyle w:val="Lienhypertexte"/>
          </w:rPr>
          <w:t>13</w:t>
        </w:r>
      </w:hyperlink>
      <w:r w:rsidRPr="009519E0">
        <w:t>).</w:t>
      </w:r>
    </w:p>
    <w:p w14:paraId="6882000D" w14:textId="30800E12" w:rsidR="0087572C" w:rsidRPr="003C1CCC" w:rsidRDefault="0087572C" w:rsidP="0087572C">
      <w:pPr>
        <w:pStyle w:val="COMPara"/>
        <w:numPr>
          <w:ilvl w:val="0"/>
          <w:numId w:val="14"/>
        </w:numPr>
        <w:ind w:left="567" w:hanging="567"/>
      </w:pPr>
      <w:r>
        <w:t xml:space="preserve">Le Comité </w:t>
      </w:r>
      <w:r w:rsidR="00647FB8">
        <w:t>souhaitera peut-être</w:t>
      </w:r>
      <w:r>
        <w:t xml:space="preserve"> adopter la décision suivante :</w:t>
      </w:r>
    </w:p>
    <w:p w14:paraId="5E48D64D" w14:textId="58BE5718" w:rsidR="0087572C" w:rsidRPr="003C1CCC" w:rsidRDefault="0087572C" w:rsidP="0087572C">
      <w:pPr>
        <w:pStyle w:val="COMTitleDecision"/>
        <w:rPr>
          <w:rFonts w:eastAsiaTheme="minorEastAsia"/>
        </w:rPr>
      </w:pPr>
      <w:r>
        <w:t>PROJET DE DÉCISION 16.COM 5.a</w:t>
      </w:r>
    </w:p>
    <w:p w14:paraId="2B52312C" w14:textId="77777777" w:rsidR="0087572C" w:rsidRPr="003C1CCC" w:rsidRDefault="0087572C" w:rsidP="0087572C">
      <w:pPr>
        <w:pStyle w:val="COMPreambulaDecisions"/>
        <w:rPr>
          <w:rFonts w:eastAsia="SimSun"/>
        </w:rPr>
      </w:pPr>
      <w:r>
        <w:t>Le Comité,</w:t>
      </w:r>
    </w:p>
    <w:p w14:paraId="0B353FBA" w14:textId="0E9DEA8B" w:rsidR="0087572C" w:rsidRPr="003C1CCC" w:rsidRDefault="0087572C" w:rsidP="0087572C">
      <w:pPr>
        <w:pStyle w:val="COMParaDecision"/>
        <w:jc w:val="left"/>
      </w:pPr>
      <w:r>
        <w:t>Ayant examiné</w:t>
      </w:r>
      <w:r>
        <w:rPr>
          <w:u w:val="none"/>
        </w:rPr>
        <w:t xml:space="preserve"> le document </w:t>
      </w:r>
      <w:r w:rsidRPr="00D41D59">
        <w:rPr>
          <w:u w:val="none"/>
        </w:rPr>
        <w:t>LHE/21/16.COM/</w:t>
      </w:r>
      <w:r w:rsidRPr="008C4CF6">
        <w:rPr>
          <w:u w:val="none"/>
        </w:rPr>
        <w:t>5.a</w:t>
      </w:r>
      <w:r w:rsidR="001C6AA2">
        <w:rPr>
          <w:u w:val="none"/>
        </w:rPr>
        <w:t xml:space="preserve"> Rev.</w:t>
      </w:r>
      <w:r w:rsidR="004B5585">
        <w:rPr>
          <w:u w:val="none"/>
        </w:rPr>
        <w:t>,</w:t>
      </w:r>
    </w:p>
    <w:p w14:paraId="14DA74C6" w14:textId="2E4C7362" w:rsidR="0087572C" w:rsidRPr="003C1CCC" w:rsidRDefault="0087572C" w:rsidP="0087572C">
      <w:pPr>
        <w:pStyle w:val="COMParaDecision"/>
        <w:jc w:val="left"/>
      </w:pPr>
      <w:r>
        <w:t>Rappelant</w:t>
      </w:r>
      <w:r>
        <w:rPr>
          <w:u w:val="none"/>
        </w:rPr>
        <w:t xml:space="preserve"> l’article 30 de la Convention ainsi que la règle 46 d</w:t>
      </w:r>
      <w:r w:rsidR="008D32C4">
        <w:rPr>
          <w:u w:val="none"/>
        </w:rPr>
        <w:t>u</w:t>
      </w:r>
      <w:r>
        <w:rPr>
          <w:u w:val="none"/>
        </w:rPr>
        <w:t xml:space="preserve"> </w:t>
      </w:r>
      <w:r w:rsidR="00731AA2">
        <w:rPr>
          <w:u w:val="none"/>
        </w:rPr>
        <w:t xml:space="preserve">Règlement intérieur </w:t>
      </w:r>
      <w:r>
        <w:rPr>
          <w:u w:val="none"/>
        </w:rPr>
        <w:t>du Comité</w:t>
      </w:r>
      <w:r w:rsidR="004B5585">
        <w:rPr>
          <w:u w:val="none"/>
        </w:rPr>
        <w:t>,</w:t>
      </w:r>
    </w:p>
    <w:p w14:paraId="1BBE9E3B" w14:textId="45F35430" w:rsidR="0087572C" w:rsidRPr="003C1CCC" w:rsidRDefault="00220A09" w:rsidP="0087572C">
      <w:pPr>
        <w:pStyle w:val="COMParaDecision"/>
        <w:jc w:val="left"/>
      </w:pPr>
      <w:r>
        <w:t>Accueille</w:t>
      </w:r>
      <w:r w:rsidR="0087572C">
        <w:rPr>
          <w:u w:val="none"/>
        </w:rPr>
        <w:t xml:space="preserve"> les deux États ayant ratifié la Convention depuis janvier 2020 ;</w:t>
      </w:r>
    </w:p>
    <w:p w14:paraId="7AC91027" w14:textId="2751D122" w:rsidR="0087572C" w:rsidRPr="003C1CCC" w:rsidRDefault="0087572C" w:rsidP="0087572C">
      <w:pPr>
        <w:pStyle w:val="COMParaDecision"/>
        <w:jc w:val="left"/>
      </w:pPr>
      <w:r>
        <w:t>Adopte</w:t>
      </w:r>
      <w:r>
        <w:rPr>
          <w:u w:val="none"/>
        </w:rPr>
        <w:t xml:space="preserve"> le rapport sur ses activités </w:t>
      </w:r>
      <w:r w:rsidR="00795A81">
        <w:rPr>
          <w:u w:val="none"/>
        </w:rPr>
        <w:t xml:space="preserve">menées </w:t>
      </w:r>
      <w:r>
        <w:rPr>
          <w:u w:val="none"/>
        </w:rPr>
        <w:t xml:space="preserve">en 2020 et 2021, et </w:t>
      </w:r>
      <w:r>
        <w:t>demande</w:t>
      </w:r>
      <w:r>
        <w:rPr>
          <w:u w:val="none"/>
        </w:rPr>
        <w:t xml:space="preserve"> au Secrétariat de </w:t>
      </w:r>
      <w:r w:rsidR="00895EB8">
        <w:rPr>
          <w:u w:val="none"/>
        </w:rPr>
        <w:t xml:space="preserve">le </w:t>
      </w:r>
      <w:r>
        <w:rPr>
          <w:u w:val="none"/>
        </w:rPr>
        <w:t>présenter pour examen lors de la neuvième session de l’Assemblée générale.</w:t>
      </w:r>
    </w:p>
    <w:p w14:paraId="4F843489" w14:textId="1DE047A2" w:rsidR="009B6EA6" w:rsidRPr="003C1CCC" w:rsidRDefault="009B6EA6" w:rsidP="009B6EA6">
      <w:pPr>
        <w:pStyle w:val="COMPara"/>
        <w:numPr>
          <w:ilvl w:val="0"/>
          <w:numId w:val="0"/>
        </w:numPr>
        <w:ind w:left="567" w:hanging="567"/>
        <w:jc w:val="both"/>
      </w:pPr>
    </w:p>
    <w:p w14:paraId="1EAB2934" w14:textId="15F9C2E2" w:rsidR="00CA3AC4" w:rsidRPr="003C1CCC" w:rsidRDefault="00CA3AC4">
      <w:pPr>
        <w:rPr>
          <w:rFonts w:ascii="Arial" w:eastAsia="SimSun" w:hAnsi="Arial" w:cs="Arial"/>
          <w:sz w:val="22"/>
          <w:szCs w:val="22"/>
          <w:u w:val="single"/>
        </w:rPr>
      </w:pPr>
      <w:r>
        <w:br w:type="page"/>
      </w:r>
    </w:p>
    <w:p w14:paraId="4BFD4F5D" w14:textId="77777777" w:rsidR="00CA3AC4" w:rsidRPr="003C1CCC" w:rsidRDefault="00CA3AC4" w:rsidP="00CA3AC4">
      <w:pPr>
        <w:pageBreakBefore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u w:val="single"/>
        </w:rPr>
        <w:lastRenderedPageBreak/>
        <w:t>ANNEXE</w:t>
      </w:r>
    </w:p>
    <w:p w14:paraId="4FDA7847" w14:textId="585D963E" w:rsidR="00CA3AC4" w:rsidRPr="003C1CCC" w:rsidRDefault="00546647" w:rsidP="00CA3AC4">
      <w:pPr>
        <w:spacing w:after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Rapport du Comité à l’Assemblée générale sur ses activités</w:t>
      </w:r>
    </w:p>
    <w:p w14:paraId="21DFCE44" w14:textId="3828F43A" w:rsidR="0098637B" w:rsidRPr="003C1CCC" w:rsidRDefault="0098637B" w:rsidP="0085719A">
      <w:pPr>
        <w:keepNext/>
        <w:numPr>
          <w:ilvl w:val="0"/>
          <w:numId w:val="17"/>
        </w:numPr>
        <w:tabs>
          <w:tab w:val="num" w:pos="567"/>
        </w:tabs>
        <w:snapToGrid w:val="0"/>
        <w:spacing w:before="240" w:after="120"/>
        <w:ind w:left="562" w:hanging="562"/>
        <w:jc w:val="both"/>
        <w:rPr>
          <w:rFonts w:asciiTheme="minorBidi" w:hAnsiTheme="minorBidi" w:cstheme="minorBidi"/>
          <w:szCs w:val="22"/>
        </w:rPr>
      </w:pPr>
      <w:r>
        <w:rPr>
          <w:rFonts w:ascii="Arial" w:hAnsi="Arial"/>
          <w:b/>
          <w:sz w:val="22"/>
        </w:rPr>
        <w:t>Introduction</w:t>
      </w:r>
    </w:p>
    <w:p w14:paraId="0B451F4D" w14:textId="20B83CF8" w:rsidR="00CA3AC4" w:rsidRPr="003C1CCC" w:rsidRDefault="00CA3AC4" w:rsidP="008930DB">
      <w:pPr>
        <w:pStyle w:val="Marge"/>
        <w:numPr>
          <w:ilvl w:val="0"/>
          <w:numId w:val="16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/>
        </w:rPr>
        <w:t xml:space="preserve">Les fonctions du Comité sont </w:t>
      </w:r>
      <w:r w:rsidR="00457D5D">
        <w:rPr>
          <w:rFonts w:asciiTheme="minorBidi" w:hAnsiTheme="minorBidi"/>
        </w:rPr>
        <w:t>définies dans</w:t>
      </w:r>
      <w:r>
        <w:rPr>
          <w:rFonts w:asciiTheme="minorBidi" w:hAnsiTheme="minorBidi"/>
        </w:rPr>
        <w:t xml:space="preserve"> la Convention de 2003 pour la sauvegarde du patrimoine culturel immatériel, </w:t>
      </w:r>
      <w:r w:rsidR="00457D5D">
        <w:rPr>
          <w:rFonts w:asciiTheme="minorBidi" w:hAnsiTheme="minorBidi"/>
        </w:rPr>
        <w:t>plus précisément</w:t>
      </w:r>
      <w:r>
        <w:rPr>
          <w:rFonts w:asciiTheme="minorBidi" w:hAnsiTheme="minorBidi"/>
        </w:rPr>
        <w:t xml:space="preserve"> à </w:t>
      </w:r>
      <w:r w:rsidR="00457D5D">
        <w:rPr>
          <w:rFonts w:asciiTheme="minorBidi" w:hAnsiTheme="minorBidi"/>
        </w:rPr>
        <w:t>l’</w:t>
      </w:r>
      <w:r>
        <w:rPr>
          <w:rFonts w:asciiTheme="minorBidi" w:hAnsiTheme="minorBidi"/>
        </w:rPr>
        <w:t xml:space="preserve">article 7. Le présent rapport suit l’ordre des fonctions </w:t>
      </w:r>
      <w:r w:rsidR="00457D5D">
        <w:rPr>
          <w:rFonts w:asciiTheme="minorBidi" w:hAnsiTheme="minorBidi"/>
        </w:rPr>
        <w:t xml:space="preserve">énoncées dans cet </w:t>
      </w:r>
      <w:r>
        <w:rPr>
          <w:rFonts w:asciiTheme="minorBidi" w:hAnsiTheme="minorBidi"/>
        </w:rPr>
        <w:t>article.</w:t>
      </w:r>
    </w:p>
    <w:p w14:paraId="75CE88D6" w14:textId="16419196" w:rsidR="00CA3AC4" w:rsidRPr="003C1CCC" w:rsidRDefault="00CA3AC4" w:rsidP="00CA3AC4">
      <w:pPr>
        <w:pStyle w:val="Marge"/>
        <w:numPr>
          <w:ilvl w:val="0"/>
          <w:numId w:val="16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/>
        </w:rPr>
        <w:t xml:space="preserve">En 2020, l’Assemblée générale a renouvelé la moitié du Comité en élisant douze États parties, qui </w:t>
      </w:r>
      <w:r w:rsidR="004326D0">
        <w:rPr>
          <w:rFonts w:asciiTheme="minorBidi" w:hAnsiTheme="minorBidi"/>
        </w:rPr>
        <w:t>exerceront un mandat</w:t>
      </w:r>
      <w:r w:rsidR="006B2A6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de quatre ans avec les membres </w:t>
      </w:r>
      <w:r w:rsidR="007A29DE">
        <w:rPr>
          <w:rFonts w:asciiTheme="minorBidi" w:hAnsiTheme="minorBidi"/>
        </w:rPr>
        <w:t>actuels</w:t>
      </w:r>
      <w:r>
        <w:rPr>
          <w:rFonts w:asciiTheme="minorBidi" w:hAnsiTheme="minorBidi"/>
        </w:rPr>
        <w:t xml:space="preserve"> : </w:t>
      </w:r>
      <w:r w:rsidR="00E6234F">
        <w:rPr>
          <w:rFonts w:asciiTheme="minorBidi" w:hAnsiTheme="minorBidi"/>
        </w:rPr>
        <w:t>Arabie saoudite*,</w:t>
      </w:r>
      <w:r w:rsidR="00D41E6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Azerbaïdjan, Botswana*, Brésil*, Cameroun, Chine, Côte d’Ivoire*,</w:t>
      </w:r>
      <w:r w:rsidR="00E6234F" w:rsidRPr="00E6234F">
        <w:t xml:space="preserve"> </w:t>
      </w:r>
      <w:r w:rsidR="00E6234F" w:rsidRPr="00E6234F">
        <w:rPr>
          <w:rFonts w:asciiTheme="minorBidi" w:hAnsiTheme="minorBidi"/>
        </w:rPr>
        <w:t>Djibouti</w:t>
      </w:r>
      <w:r>
        <w:rPr>
          <w:rFonts w:asciiTheme="minorBidi" w:hAnsiTheme="minorBidi"/>
        </w:rPr>
        <w:t xml:space="preserve">, Jamaïque, Japon, Kazakhstan, Koweït, Maroc*, </w:t>
      </w:r>
      <w:r w:rsidR="00E6234F">
        <w:rPr>
          <w:rFonts w:asciiTheme="minorBidi" w:hAnsiTheme="minorBidi"/>
        </w:rPr>
        <w:t xml:space="preserve">Panama*, </w:t>
      </w:r>
      <w:r>
        <w:rPr>
          <w:rFonts w:asciiTheme="minorBidi" w:hAnsiTheme="minorBidi"/>
        </w:rPr>
        <w:t>Pays-Bas, Pérou*, Pologne, République de Corée*</w:t>
      </w:r>
      <w:r w:rsidR="00E6234F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Rwanda*, Sri Lanka, Suède*, Suisse*</w:t>
      </w:r>
      <w:r w:rsidR="00982821">
        <w:rPr>
          <w:rFonts w:asciiTheme="minorBidi" w:hAnsiTheme="minorBidi"/>
        </w:rPr>
        <w:t xml:space="preserve">, </w:t>
      </w:r>
      <w:r w:rsidR="00982821" w:rsidRPr="00982821">
        <w:rPr>
          <w:rFonts w:asciiTheme="minorBidi" w:hAnsiTheme="minorBidi"/>
        </w:rPr>
        <w:t>Tchéquie</w:t>
      </w:r>
      <w:r w:rsidR="00982821">
        <w:rPr>
          <w:rFonts w:asciiTheme="minorBidi" w:hAnsiTheme="minorBidi"/>
        </w:rPr>
        <w:t>*</w:t>
      </w:r>
      <w:r>
        <w:rPr>
          <w:rFonts w:asciiTheme="minorBidi" w:hAnsiTheme="minorBidi"/>
        </w:rPr>
        <w:t xml:space="preserve"> et Togo (le mandat des membres du Comité marqués d’un astérisque sera de 2020 à 2024, et le mandat de ceux sans astérisque sera de 2018 à 2022).</w:t>
      </w:r>
    </w:p>
    <w:p w14:paraId="4CCB638E" w14:textId="1959BD44" w:rsidR="00303AFF" w:rsidRPr="00615D0C" w:rsidRDefault="00303AFF" w:rsidP="000C3849">
      <w:pPr>
        <w:pStyle w:val="Marge"/>
        <w:numPr>
          <w:ilvl w:val="0"/>
          <w:numId w:val="16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/>
        </w:rPr>
        <w:t>Le Comité s’est r</w:t>
      </w:r>
      <w:r w:rsidR="004326D0">
        <w:rPr>
          <w:rFonts w:asciiTheme="minorBidi" w:hAnsiTheme="minorBidi"/>
        </w:rPr>
        <w:t>éuni</w:t>
      </w:r>
      <w:r>
        <w:rPr>
          <w:rFonts w:asciiTheme="minorBidi" w:hAnsiTheme="minorBidi"/>
        </w:rPr>
        <w:t xml:space="preserve"> deux fois : du 14 au 19 décembre 2020 (en ligne) pour sa quinzième session (15.COM) et du 13 au 18 décembre 2021 (</w:t>
      </w:r>
      <w:r w:rsidR="001C6AA2">
        <w:rPr>
          <w:rFonts w:asciiTheme="minorBidi" w:hAnsiTheme="minorBidi"/>
        </w:rPr>
        <w:t>en ligne</w:t>
      </w:r>
      <w:r w:rsidRPr="00B0073F">
        <w:rPr>
          <w:rFonts w:asciiTheme="minorBidi" w:hAnsiTheme="minorBidi"/>
        </w:rPr>
        <w:t>)</w:t>
      </w:r>
      <w:r>
        <w:rPr>
          <w:rFonts w:asciiTheme="minorBidi" w:hAnsiTheme="minorBidi"/>
        </w:rPr>
        <w:t xml:space="preserve"> pour sa seizième session (16.COM). Le Bureau du 15.COM était composé de : Son Excellence Mme</w:t>
      </w:r>
      <w:r w:rsidR="00E310C2">
        <w:rPr>
          <w:rFonts w:asciiTheme="minorBidi" w:hAnsiTheme="minorBidi"/>
        </w:rPr>
        <w:t> </w:t>
      </w:r>
      <w:r>
        <w:rPr>
          <w:rFonts w:asciiTheme="minorBidi" w:hAnsiTheme="minorBidi"/>
        </w:rPr>
        <w:t xml:space="preserve">Olivia Grange (Jamaïque) en qualité de Présidente ; les Pays-Bas, l’Azerbaïdjan, la Chine, Djibouti et le Koweït en qualité de </w:t>
      </w:r>
      <w:r w:rsidR="000E347D">
        <w:rPr>
          <w:rFonts w:asciiTheme="minorBidi" w:hAnsiTheme="minorBidi"/>
        </w:rPr>
        <w:t>Vice-présidents</w:t>
      </w:r>
      <w:r>
        <w:rPr>
          <w:rFonts w:asciiTheme="minorBidi" w:hAnsiTheme="minorBidi"/>
        </w:rPr>
        <w:t> ; et M.</w:t>
      </w:r>
      <w:r w:rsidR="00E310C2">
        <w:rPr>
          <w:rFonts w:asciiTheme="minorBidi" w:hAnsiTheme="minorBidi"/>
        </w:rPr>
        <w:t> </w:t>
      </w:r>
      <w:r>
        <w:rPr>
          <w:rFonts w:asciiTheme="minorBidi" w:hAnsiTheme="minorBidi"/>
        </w:rPr>
        <w:t>Askar Abdrakhmanov (Kazakhstan) en qualité de Rapporteur (remplacé en octobre 2021 par les Pays-Bas). Le Bureau du 16.COM était composé</w:t>
      </w:r>
      <w:r w:rsidR="00880A2C">
        <w:rPr>
          <w:rFonts w:asciiTheme="minorBidi" w:hAnsiTheme="minorBidi"/>
        </w:rPr>
        <w:t xml:space="preserve"> </w:t>
      </w:r>
      <w:r w:rsidR="00C953BA">
        <w:rPr>
          <w:rFonts w:asciiTheme="minorBidi" w:hAnsiTheme="minorBidi"/>
        </w:rPr>
        <w:t>de :</w:t>
      </w:r>
      <w:r>
        <w:rPr>
          <w:rFonts w:asciiTheme="minorBidi" w:hAnsiTheme="minorBidi"/>
        </w:rPr>
        <w:t xml:space="preserve"> M.</w:t>
      </w:r>
      <w:r w:rsidR="00E310C2">
        <w:rPr>
          <w:rFonts w:asciiTheme="minorBidi" w:hAnsiTheme="minorBidi"/>
        </w:rPr>
        <w:t> </w:t>
      </w:r>
      <w:r>
        <w:rPr>
          <w:rFonts w:asciiTheme="minorBidi" w:hAnsiTheme="minorBidi"/>
        </w:rPr>
        <w:t xml:space="preserve">Punchinilame Meegaswatte (Sri Lanka) en qualité de Président ; la Suède, la République tchèque, le Brésil, le Sri Lanka, Djibouti et l’Arabie saoudite en qualité de </w:t>
      </w:r>
      <w:r w:rsidR="000E347D">
        <w:rPr>
          <w:rFonts w:asciiTheme="minorBidi" w:hAnsiTheme="minorBidi"/>
        </w:rPr>
        <w:t>Vice-présidents</w:t>
      </w:r>
      <w:r>
        <w:rPr>
          <w:rFonts w:asciiTheme="minorBidi" w:hAnsiTheme="minorBidi"/>
        </w:rPr>
        <w:t> ; et Mme</w:t>
      </w:r>
      <w:r w:rsidR="00E310C2">
        <w:rPr>
          <w:rFonts w:asciiTheme="minorBidi" w:hAnsiTheme="minorBidi"/>
        </w:rPr>
        <w:t> </w:t>
      </w:r>
      <w:r>
        <w:rPr>
          <w:rFonts w:asciiTheme="minorBidi" w:hAnsiTheme="minorBidi"/>
        </w:rPr>
        <w:t>Jun</w:t>
      </w:r>
      <w:r w:rsidR="00651261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Takai (Japon) en qualité de </w:t>
      </w:r>
      <w:r w:rsidRPr="00615D0C">
        <w:rPr>
          <w:rFonts w:asciiTheme="minorBidi" w:hAnsiTheme="minorBidi"/>
        </w:rPr>
        <w:t>Rapporteuse.</w:t>
      </w:r>
    </w:p>
    <w:p w14:paraId="51709B7F" w14:textId="03352FA5" w:rsidR="008D3A5E" w:rsidRPr="00615D0C" w:rsidRDefault="00CA3AC4" w:rsidP="008D3A5E">
      <w:pPr>
        <w:pStyle w:val="Marge"/>
        <w:numPr>
          <w:ilvl w:val="0"/>
          <w:numId w:val="16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 w:rsidRPr="00615D0C">
        <w:rPr>
          <w:rFonts w:asciiTheme="minorBidi" w:hAnsiTheme="minorBidi"/>
        </w:rPr>
        <w:t>Le Bureau s’est r</w:t>
      </w:r>
      <w:r w:rsidR="00386966" w:rsidRPr="00615D0C">
        <w:rPr>
          <w:rFonts w:asciiTheme="minorBidi" w:hAnsiTheme="minorBidi"/>
        </w:rPr>
        <w:t>éuni</w:t>
      </w:r>
      <w:r w:rsidRPr="00615D0C">
        <w:rPr>
          <w:rFonts w:asciiTheme="minorBidi" w:hAnsiTheme="minorBidi"/>
        </w:rPr>
        <w:t xml:space="preserve"> au cours des sessions du Comité du mardi au samedi. Pendant la période </w:t>
      </w:r>
      <w:r w:rsidR="00386966" w:rsidRPr="00615D0C">
        <w:rPr>
          <w:rFonts w:asciiTheme="minorBidi" w:hAnsiTheme="minorBidi"/>
        </w:rPr>
        <w:t>considérée</w:t>
      </w:r>
      <w:r w:rsidRPr="00615D0C">
        <w:rPr>
          <w:rFonts w:asciiTheme="minorBidi" w:hAnsiTheme="minorBidi"/>
        </w:rPr>
        <w:t>, le Bureau s’est également r</w:t>
      </w:r>
      <w:r w:rsidR="00233BE7" w:rsidRPr="00615D0C">
        <w:rPr>
          <w:rFonts w:asciiTheme="minorBidi" w:hAnsiTheme="minorBidi"/>
        </w:rPr>
        <w:t>éuni</w:t>
      </w:r>
      <w:r w:rsidRPr="00615D0C">
        <w:rPr>
          <w:rFonts w:asciiTheme="minorBidi" w:hAnsiTheme="minorBidi"/>
        </w:rPr>
        <w:t xml:space="preserve"> au siège de l’UNESCO le 11 septembre 2020 (15.COM 2.BUR), ainsi que </w:t>
      </w:r>
      <w:r w:rsidR="001C6AA2">
        <w:rPr>
          <w:rFonts w:asciiTheme="minorBidi" w:hAnsiTheme="minorBidi"/>
        </w:rPr>
        <w:t>six</w:t>
      </w:r>
      <w:r w:rsidR="001C6AA2" w:rsidRPr="00615D0C">
        <w:rPr>
          <w:rFonts w:asciiTheme="minorBidi" w:hAnsiTheme="minorBidi"/>
        </w:rPr>
        <w:t xml:space="preserve"> </w:t>
      </w:r>
      <w:r w:rsidRPr="00615D0C">
        <w:rPr>
          <w:rFonts w:asciiTheme="minorBidi" w:hAnsiTheme="minorBidi"/>
        </w:rPr>
        <w:t>fois en ligne, le 30 octobre 2020 (15.COM 3.BUR), le 8 mars 2021 (16.COM 1.BUR), le 21 mai 2021 (16.COM 2.BUR), le 4 octobre 2021 (16.COM 3.BUR)</w:t>
      </w:r>
      <w:r w:rsidR="001C6AA2">
        <w:rPr>
          <w:rFonts w:asciiTheme="minorBidi" w:hAnsiTheme="minorBidi"/>
        </w:rPr>
        <w:t xml:space="preserve">, </w:t>
      </w:r>
      <w:r w:rsidRPr="00615D0C">
        <w:rPr>
          <w:rFonts w:asciiTheme="minorBidi" w:hAnsiTheme="minorBidi"/>
        </w:rPr>
        <w:t>le 14 octobre 2021 (16.COM 4.BUR)</w:t>
      </w:r>
      <w:r w:rsidR="001C6AA2">
        <w:rPr>
          <w:rFonts w:asciiTheme="minorBidi" w:hAnsiTheme="minorBidi"/>
        </w:rPr>
        <w:t xml:space="preserve"> et le 3 décembre 2021 (16.COM BUR échange informel)</w:t>
      </w:r>
      <w:r w:rsidRPr="00615D0C">
        <w:rPr>
          <w:rFonts w:asciiTheme="minorBidi" w:hAnsiTheme="minorBidi"/>
        </w:rPr>
        <w:t>. Par ailleurs, deux consultations électroniques ont eu lieu en juillet 2020 (15.COM 1.BUR) et en novembre 2020 (15.COM 4.BUR).</w:t>
      </w:r>
    </w:p>
    <w:p w14:paraId="7C0F6AA8" w14:textId="2C51ADDD" w:rsidR="00B95BF2" w:rsidRPr="008D3A5E" w:rsidRDefault="00B37652" w:rsidP="008D3A5E">
      <w:pPr>
        <w:pStyle w:val="Marge"/>
        <w:numPr>
          <w:ilvl w:val="0"/>
          <w:numId w:val="16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 w:rsidRPr="008D3A5E">
        <w:rPr>
          <w:rFonts w:asciiTheme="minorBidi" w:hAnsiTheme="minorBidi"/>
        </w:rPr>
        <w:t xml:space="preserve">Pendant la période </w:t>
      </w:r>
      <w:r w:rsidR="00D97A49" w:rsidRPr="008D3A5E">
        <w:rPr>
          <w:rFonts w:asciiTheme="minorBidi" w:hAnsiTheme="minorBidi"/>
        </w:rPr>
        <w:t>considérée</w:t>
      </w:r>
      <w:r w:rsidRPr="008D3A5E">
        <w:rPr>
          <w:rFonts w:asciiTheme="minorBidi" w:hAnsiTheme="minorBidi"/>
        </w:rPr>
        <w:t xml:space="preserve">, le Comité et son Bureau ont examiné un total de </w:t>
      </w:r>
      <w:r w:rsidR="001C6AA2">
        <w:rPr>
          <w:rFonts w:asciiTheme="minorBidi" w:hAnsiTheme="minorBidi"/>
        </w:rPr>
        <w:t>soixante-dix-sept</w:t>
      </w:r>
      <w:r w:rsidRPr="008D3A5E">
        <w:rPr>
          <w:rFonts w:asciiTheme="minorBidi" w:hAnsiTheme="minorBidi"/>
        </w:rPr>
        <w:t xml:space="preserve"> </w:t>
      </w:r>
      <w:r w:rsidR="00FF7025" w:rsidRPr="008D3A5E">
        <w:rPr>
          <w:rFonts w:asciiTheme="minorBidi" w:hAnsiTheme="minorBidi"/>
        </w:rPr>
        <w:t>points</w:t>
      </w:r>
      <w:r w:rsidRPr="008D3A5E">
        <w:rPr>
          <w:rFonts w:asciiTheme="minorBidi" w:hAnsiTheme="minorBidi"/>
        </w:rPr>
        <w:t xml:space="preserve"> inscrits à leur</w:t>
      </w:r>
      <w:r w:rsidR="00FF7025" w:rsidRPr="008D3A5E">
        <w:rPr>
          <w:rFonts w:asciiTheme="minorBidi" w:hAnsiTheme="minorBidi"/>
        </w:rPr>
        <w:t xml:space="preserve"> ordre du jour</w:t>
      </w:r>
      <w:r w:rsidRPr="008D3A5E">
        <w:rPr>
          <w:rFonts w:asciiTheme="minorBidi" w:hAnsiTheme="minorBidi"/>
        </w:rPr>
        <w:t>,</w:t>
      </w:r>
      <w:r w:rsidR="00451FE6" w:rsidRPr="008D3A5E">
        <w:rPr>
          <w:rFonts w:asciiTheme="minorBidi" w:hAnsiTheme="minorBidi"/>
        </w:rPr>
        <w:t xml:space="preserve"> </w:t>
      </w:r>
      <w:r w:rsidRPr="008D3A5E">
        <w:rPr>
          <w:rFonts w:asciiTheme="minorBidi" w:hAnsiTheme="minorBidi"/>
        </w:rPr>
        <w:t>accompagnés de quatre-vingt-</w:t>
      </w:r>
      <w:r w:rsidR="001C6AA2">
        <w:rPr>
          <w:rFonts w:asciiTheme="minorBidi" w:hAnsiTheme="minorBidi"/>
        </w:rPr>
        <w:t>six</w:t>
      </w:r>
      <w:r w:rsidR="001C6AA2" w:rsidRPr="008D3A5E">
        <w:rPr>
          <w:rFonts w:asciiTheme="minorBidi" w:hAnsiTheme="minorBidi"/>
        </w:rPr>
        <w:t xml:space="preserve"> </w:t>
      </w:r>
      <w:r w:rsidRPr="008D3A5E">
        <w:rPr>
          <w:rFonts w:asciiTheme="minorBidi" w:hAnsiTheme="minorBidi"/>
        </w:rPr>
        <w:t xml:space="preserve">documents de travail ou d’information, </w:t>
      </w:r>
      <w:r w:rsidR="001C6AA2">
        <w:rPr>
          <w:rFonts w:asciiTheme="minorBidi" w:hAnsiTheme="minorBidi"/>
        </w:rPr>
        <w:t>neuf</w:t>
      </w:r>
      <w:r w:rsidR="001C6AA2" w:rsidRPr="008D3A5E">
        <w:rPr>
          <w:rFonts w:asciiTheme="minorBidi" w:hAnsiTheme="minorBidi"/>
        </w:rPr>
        <w:t xml:space="preserve"> </w:t>
      </w:r>
      <w:r w:rsidRPr="008D3A5E">
        <w:rPr>
          <w:rFonts w:asciiTheme="minorBidi" w:hAnsiTheme="minorBidi"/>
        </w:rPr>
        <w:t xml:space="preserve">candidatures pour la Liste de sauvegarde urgente, </w:t>
      </w:r>
      <w:r w:rsidR="001C6AA2">
        <w:rPr>
          <w:rFonts w:asciiTheme="minorBidi" w:hAnsiTheme="minorBidi"/>
        </w:rPr>
        <w:t>soixante-seize</w:t>
      </w:r>
      <w:r w:rsidRPr="008D3A5E">
        <w:rPr>
          <w:rFonts w:asciiTheme="minorBidi" w:hAnsiTheme="minorBidi"/>
        </w:rPr>
        <w:t xml:space="preserve"> candidatures pour la Liste représentative, </w:t>
      </w:r>
      <w:r w:rsidR="001C6AA2">
        <w:rPr>
          <w:rFonts w:asciiTheme="minorBidi" w:hAnsiTheme="minorBidi"/>
        </w:rPr>
        <w:t>huit</w:t>
      </w:r>
      <w:r w:rsidR="001C6AA2" w:rsidRPr="008D3A5E">
        <w:rPr>
          <w:rFonts w:asciiTheme="minorBidi" w:hAnsiTheme="minorBidi"/>
        </w:rPr>
        <w:t xml:space="preserve"> </w:t>
      </w:r>
      <w:r w:rsidRPr="008D3A5E">
        <w:rPr>
          <w:rFonts w:asciiTheme="minorBidi" w:hAnsiTheme="minorBidi"/>
        </w:rPr>
        <w:t>propositions de bonnes pratiques de sauvegarde, vingt-deux demandes d’</w:t>
      </w:r>
      <w:r w:rsidR="00B1198E" w:rsidRPr="008D3A5E">
        <w:rPr>
          <w:rFonts w:asciiTheme="minorBidi" w:hAnsiTheme="minorBidi"/>
        </w:rPr>
        <w:t>assistance</w:t>
      </w:r>
      <w:r w:rsidRPr="008D3A5E">
        <w:rPr>
          <w:rFonts w:asciiTheme="minorBidi" w:hAnsiTheme="minorBidi"/>
        </w:rPr>
        <w:t xml:space="preserve"> internationale, cinquante-six rapports soumis par les États parties et 105 demandes d’accréditation ou de renouvellement de la part d’organisations non gouvernementales.</w:t>
      </w:r>
    </w:p>
    <w:p w14:paraId="1A08F59A" w14:textId="0660DCCE" w:rsidR="0098637B" w:rsidRPr="003C1CCC" w:rsidRDefault="000343FC" w:rsidP="005F6391">
      <w:pPr>
        <w:pStyle w:val="Paragraphedeliste"/>
        <w:numPr>
          <w:ilvl w:val="0"/>
          <w:numId w:val="16"/>
        </w:numPr>
        <w:tabs>
          <w:tab w:val="clear" w:pos="502"/>
          <w:tab w:val="num" w:pos="567"/>
        </w:tabs>
        <w:spacing w:after="120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/>
          <w:b/>
          <w:sz w:val="22"/>
        </w:rPr>
        <w:t>Ajustements effectués en réponse à la pandémie de COVID-19</w:t>
      </w:r>
      <w:r>
        <w:rPr>
          <w:rFonts w:asciiTheme="minorBidi" w:hAnsiTheme="minorBidi"/>
          <w:sz w:val="22"/>
        </w:rPr>
        <w:t> :</w:t>
      </w:r>
      <w:r>
        <w:rPr>
          <w:rFonts w:asciiTheme="minorBidi" w:hAnsiTheme="minorBidi"/>
          <w:snapToGrid w:val="0"/>
          <w:sz w:val="22"/>
        </w:rPr>
        <w:t xml:space="preserve"> En raison de la propagation de la pandémie de COVID-19, les fonctions du Comité pendant la période</w:t>
      </w:r>
      <w:r w:rsidR="00FF16EE">
        <w:rPr>
          <w:rFonts w:asciiTheme="minorBidi" w:hAnsiTheme="minorBidi"/>
          <w:snapToGrid w:val="0"/>
          <w:sz w:val="22"/>
        </w:rPr>
        <w:t xml:space="preserve"> considérée</w:t>
      </w:r>
      <w:r>
        <w:rPr>
          <w:rFonts w:asciiTheme="minorBidi" w:hAnsiTheme="minorBidi"/>
          <w:snapToGrid w:val="0"/>
          <w:sz w:val="22"/>
        </w:rPr>
        <w:t xml:space="preserve"> ont été fortement impactées. Les circonstances difficiles de cette crise sanitaire mondiale ont nécessité d’importants ajustements </w:t>
      </w:r>
      <w:r w:rsidR="00701752">
        <w:rPr>
          <w:rFonts w:asciiTheme="minorBidi" w:hAnsiTheme="minorBidi"/>
          <w:snapToGrid w:val="0"/>
          <w:sz w:val="22"/>
        </w:rPr>
        <w:t>au</w:t>
      </w:r>
      <w:r>
        <w:rPr>
          <w:rFonts w:asciiTheme="minorBidi" w:hAnsiTheme="minorBidi"/>
          <w:snapToGrid w:val="0"/>
          <w:sz w:val="22"/>
        </w:rPr>
        <w:t xml:space="preserve"> travail du Comité et de ses organes consultatifs, notamment l’Organe d’évaluation, impliquant </w:t>
      </w:r>
      <w:r w:rsidR="00670E1D">
        <w:rPr>
          <w:rFonts w:asciiTheme="minorBidi" w:hAnsiTheme="minorBidi"/>
          <w:snapToGrid w:val="0"/>
          <w:sz w:val="22"/>
        </w:rPr>
        <w:t>la</w:t>
      </w:r>
      <w:r>
        <w:rPr>
          <w:rFonts w:asciiTheme="minorBidi" w:hAnsiTheme="minorBidi"/>
          <w:snapToGrid w:val="0"/>
          <w:sz w:val="22"/>
        </w:rPr>
        <w:t xml:space="preserve"> reprogrammation de réunions, </w:t>
      </w:r>
      <w:r w:rsidR="00670E1D">
        <w:rPr>
          <w:rFonts w:asciiTheme="minorBidi" w:hAnsiTheme="minorBidi"/>
          <w:snapToGrid w:val="0"/>
          <w:sz w:val="22"/>
        </w:rPr>
        <w:t>l</w:t>
      </w:r>
      <w:r>
        <w:rPr>
          <w:rFonts w:asciiTheme="minorBidi" w:hAnsiTheme="minorBidi"/>
          <w:snapToGrid w:val="0"/>
          <w:sz w:val="22"/>
        </w:rPr>
        <w:t xml:space="preserve">e report ou </w:t>
      </w:r>
      <w:r w:rsidR="00670E1D">
        <w:rPr>
          <w:rFonts w:asciiTheme="minorBidi" w:hAnsiTheme="minorBidi"/>
          <w:snapToGrid w:val="0"/>
          <w:sz w:val="22"/>
        </w:rPr>
        <w:t xml:space="preserve">la </w:t>
      </w:r>
      <w:r>
        <w:rPr>
          <w:rFonts w:asciiTheme="minorBidi" w:hAnsiTheme="minorBidi"/>
          <w:snapToGrid w:val="0"/>
          <w:sz w:val="22"/>
        </w:rPr>
        <w:t xml:space="preserve">reprogrammation de délais </w:t>
      </w:r>
      <w:r w:rsidR="006603BD">
        <w:rPr>
          <w:rFonts w:asciiTheme="minorBidi" w:hAnsiTheme="minorBidi"/>
          <w:snapToGrid w:val="0"/>
          <w:sz w:val="22"/>
        </w:rPr>
        <w:t>statutaires</w:t>
      </w:r>
      <w:r>
        <w:rPr>
          <w:rFonts w:asciiTheme="minorBidi" w:hAnsiTheme="minorBidi"/>
          <w:snapToGrid w:val="0"/>
          <w:sz w:val="22"/>
        </w:rPr>
        <w:t xml:space="preserve"> et </w:t>
      </w:r>
      <w:r w:rsidR="006603BD">
        <w:rPr>
          <w:rFonts w:asciiTheme="minorBidi" w:hAnsiTheme="minorBidi"/>
          <w:snapToGrid w:val="0"/>
          <w:sz w:val="22"/>
        </w:rPr>
        <w:t>l’</w:t>
      </w:r>
      <w:r>
        <w:rPr>
          <w:rFonts w:asciiTheme="minorBidi" w:hAnsiTheme="minorBidi"/>
          <w:snapToGrid w:val="0"/>
          <w:sz w:val="22"/>
        </w:rPr>
        <w:t>augmentation du soutien tech</w:t>
      </w:r>
      <w:r w:rsidR="002A3243">
        <w:rPr>
          <w:rFonts w:asciiTheme="minorBidi" w:hAnsiTheme="minorBidi"/>
          <w:snapToGrid w:val="0"/>
          <w:sz w:val="22"/>
        </w:rPr>
        <w:t>nologique</w:t>
      </w:r>
      <w:r>
        <w:rPr>
          <w:rFonts w:asciiTheme="minorBidi" w:hAnsiTheme="minorBidi"/>
          <w:snapToGrid w:val="0"/>
          <w:sz w:val="22"/>
        </w:rPr>
        <w:t xml:space="preserve"> ou l’adaptation du contenu de réunion à des formats en ligne (voir le document </w:t>
      </w:r>
      <w:hyperlink r:id="rId13" w:history="1">
        <w:r>
          <w:rPr>
            <w:rStyle w:val="Lienhypertexte"/>
            <w:rFonts w:asciiTheme="minorBidi" w:hAnsiTheme="minorBidi"/>
            <w:snapToGrid w:val="0"/>
            <w:sz w:val="22"/>
          </w:rPr>
          <w:t>LHE/20/8.GA/6 Add</w:t>
        </w:r>
      </w:hyperlink>
      <w:r w:rsidR="00264B0A">
        <w:rPr>
          <w:rStyle w:val="Lienhypertexte"/>
          <w:rFonts w:asciiTheme="minorBidi" w:hAnsiTheme="minorBidi"/>
          <w:snapToGrid w:val="0"/>
          <w:sz w:val="22"/>
        </w:rPr>
        <w:t>.</w:t>
      </w:r>
      <w:r>
        <w:rPr>
          <w:rFonts w:asciiTheme="minorBidi" w:hAnsiTheme="minorBidi"/>
          <w:snapToGrid w:val="0"/>
          <w:sz w:val="22"/>
        </w:rPr>
        <w:t xml:space="preserve"> et le </w:t>
      </w:r>
      <w:r w:rsidR="00ED6464">
        <w:rPr>
          <w:rFonts w:asciiTheme="minorBidi" w:hAnsiTheme="minorBidi"/>
          <w:snapToGrid w:val="0"/>
          <w:sz w:val="22"/>
        </w:rPr>
        <w:t xml:space="preserve">Rapport du Secrétariat </w:t>
      </w:r>
      <w:hyperlink r:id="rId14" w:history="1">
        <w:r w:rsidRPr="008D3A5E">
          <w:rPr>
            <w:rStyle w:val="Lienhypertexte"/>
            <w:rFonts w:asciiTheme="minorBidi" w:hAnsiTheme="minorBidi"/>
            <w:snapToGrid w:val="0"/>
            <w:sz w:val="22"/>
          </w:rPr>
          <w:t>LHE/21/16.COM/5.b</w:t>
        </w:r>
      </w:hyperlink>
      <w:r w:rsidRPr="0055339B">
        <w:rPr>
          <w:rFonts w:asciiTheme="minorBidi" w:hAnsiTheme="minorBidi"/>
          <w:snapToGrid w:val="0"/>
          <w:sz w:val="22"/>
        </w:rPr>
        <w:t>).</w:t>
      </w:r>
    </w:p>
    <w:p w14:paraId="250C2949" w14:textId="5128AE56" w:rsidR="005F6391" w:rsidRPr="003C1CCC" w:rsidRDefault="00B0073F" w:rsidP="005F6391">
      <w:pPr>
        <w:pStyle w:val="Paragraphedeliste"/>
        <w:numPr>
          <w:ilvl w:val="0"/>
          <w:numId w:val="16"/>
        </w:numPr>
        <w:tabs>
          <w:tab w:val="clear" w:pos="502"/>
          <w:tab w:val="num" w:pos="567"/>
        </w:tabs>
        <w:spacing w:after="120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/>
          <w:snapToGrid w:val="0"/>
          <w:sz w:val="22"/>
        </w:rPr>
        <w:t>Un bon exemple à cet égard, en réponse à la pandémie mondiale, a été la nécessité de modifier le</w:t>
      </w:r>
      <w:r w:rsidR="00CC2399">
        <w:rPr>
          <w:rFonts w:asciiTheme="minorBidi" w:hAnsiTheme="minorBidi"/>
          <w:snapToGrid w:val="0"/>
          <w:sz w:val="22"/>
        </w:rPr>
        <w:t xml:space="preserve"> lieu de réunion pour le 15.COM et le 16.COM. Dans les deux cas, le Bureau a demandé un échange électronique avec le</w:t>
      </w:r>
      <w:r w:rsidR="00F4035F">
        <w:rPr>
          <w:rFonts w:asciiTheme="minorBidi" w:hAnsiTheme="minorBidi"/>
          <w:snapToGrid w:val="0"/>
          <w:sz w:val="22"/>
        </w:rPr>
        <w:t>s membres du</w:t>
      </w:r>
      <w:r w:rsidR="00CC2399">
        <w:rPr>
          <w:rFonts w:asciiTheme="minorBidi" w:hAnsiTheme="minorBidi"/>
          <w:snapToGrid w:val="0"/>
          <w:sz w:val="22"/>
        </w:rPr>
        <w:t xml:space="preserve"> Comité avant de décider de modifier les modalités de réunion pour un format en ligne,</w:t>
      </w:r>
      <w:r w:rsidR="00D244EF">
        <w:rPr>
          <w:rFonts w:asciiTheme="minorBidi" w:hAnsiTheme="minorBidi"/>
          <w:snapToGrid w:val="0"/>
          <w:sz w:val="22"/>
        </w:rPr>
        <w:t xml:space="preserve"> </w:t>
      </w:r>
      <w:r w:rsidR="00CC2399">
        <w:rPr>
          <w:rFonts w:asciiTheme="minorBidi" w:hAnsiTheme="minorBidi"/>
          <w:snapToGrid w:val="0"/>
          <w:sz w:val="22"/>
        </w:rPr>
        <w:t>la Présidente</w:t>
      </w:r>
      <w:r w:rsidR="00D244EF">
        <w:rPr>
          <w:rFonts w:asciiTheme="minorBidi" w:hAnsiTheme="minorBidi"/>
          <w:snapToGrid w:val="0"/>
          <w:sz w:val="22"/>
        </w:rPr>
        <w:t xml:space="preserve"> se connectant</w:t>
      </w:r>
      <w:r w:rsidR="00CC2399">
        <w:rPr>
          <w:rFonts w:asciiTheme="minorBidi" w:hAnsiTheme="minorBidi"/>
          <w:snapToGrid w:val="0"/>
          <w:sz w:val="22"/>
        </w:rPr>
        <w:t xml:space="preserve"> depuis Kingston</w:t>
      </w:r>
      <w:r w:rsidR="00A66021">
        <w:rPr>
          <w:rFonts w:asciiTheme="minorBidi" w:hAnsiTheme="minorBidi"/>
          <w:snapToGrid w:val="0"/>
          <w:sz w:val="22"/>
        </w:rPr>
        <w:t>,</w:t>
      </w:r>
      <w:r w:rsidR="00CC2399">
        <w:rPr>
          <w:rFonts w:asciiTheme="minorBidi" w:hAnsiTheme="minorBidi"/>
          <w:snapToGrid w:val="0"/>
          <w:sz w:val="22"/>
        </w:rPr>
        <w:t xml:space="preserve"> Jamaïqu</w:t>
      </w:r>
      <w:r w:rsidR="00A66021">
        <w:rPr>
          <w:rFonts w:asciiTheme="minorBidi" w:hAnsiTheme="minorBidi"/>
          <w:snapToGrid w:val="0"/>
          <w:sz w:val="22"/>
        </w:rPr>
        <w:t>e,</w:t>
      </w:r>
      <w:r w:rsidR="00CC2399">
        <w:rPr>
          <w:rFonts w:asciiTheme="minorBidi" w:hAnsiTheme="minorBidi"/>
          <w:snapToGrid w:val="0"/>
          <w:sz w:val="22"/>
        </w:rPr>
        <w:t xml:space="preserve"> en 2020,</w:t>
      </w:r>
      <w:r w:rsidR="001C6AA2">
        <w:rPr>
          <w:rFonts w:asciiTheme="minorBidi" w:hAnsiTheme="minorBidi"/>
          <w:snapToGrid w:val="0"/>
          <w:sz w:val="22"/>
        </w:rPr>
        <w:t xml:space="preserve"> pour la 15.COM,</w:t>
      </w:r>
      <w:r w:rsidR="00CC2399">
        <w:rPr>
          <w:rFonts w:asciiTheme="minorBidi" w:hAnsiTheme="minorBidi"/>
          <w:snapToGrid w:val="0"/>
          <w:sz w:val="22"/>
        </w:rPr>
        <w:t xml:space="preserve"> et</w:t>
      </w:r>
      <w:r w:rsidR="00D244EF">
        <w:rPr>
          <w:rFonts w:asciiTheme="minorBidi" w:hAnsiTheme="minorBidi"/>
          <w:snapToGrid w:val="0"/>
          <w:sz w:val="22"/>
        </w:rPr>
        <w:t xml:space="preserve"> le </w:t>
      </w:r>
      <w:r w:rsidR="001C6AA2">
        <w:rPr>
          <w:rFonts w:asciiTheme="minorBidi" w:hAnsiTheme="minorBidi"/>
          <w:snapToGrid w:val="0"/>
          <w:sz w:val="22"/>
        </w:rPr>
        <w:t>Président</w:t>
      </w:r>
      <w:r w:rsidR="00D244EF">
        <w:rPr>
          <w:rFonts w:asciiTheme="minorBidi" w:hAnsiTheme="minorBidi"/>
          <w:snapToGrid w:val="0"/>
          <w:sz w:val="22"/>
        </w:rPr>
        <w:t xml:space="preserve"> au siège de l’UNESCO</w:t>
      </w:r>
      <w:r w:rsidR="00673720">
        <w:rPr>
          <w:rFonts w:asciiTheme="minorBidi" w:hAnsiTheme="minorBidi"/>
          <w:snapToGrid w:val="0"/>
          <w:sz w:val="22"/>
        </w:rPr>
        <w:t xml:space="preserve"> à Paris</w:t>
      </w:r>
      <w:r w:rsidR="00CC2399">
        <w:rPr>
          <w:rFonts w:asciiTheme="minorBidi" w:hAnsiTheme="minorBidi"/>
          <w:snapToGrid w:val="0"/>
          <w:sz w:val="22"/>
        </w:rPr>
        <w:t xml:space="preserve"> </w:t>
      </w:r>
      <w:r w:rsidR="001C6AA2">
        <w:rPr>
          <w:rFonts w:asciiTheme="minorBidi" w:hAnsiTheme="minorBidi"/>
          <w:snapToGrid w:val="0"/>
          <w:sz w:val="22"/>
        </w:rPr>
        <w:t>pour la 16.COM</w:t>
      </w:r>
      <w:r w:rsidR="00CC2399">
        <w:rPr>
          <w:rFonts w:asciiTheme="minorBidi" w:hAnsiTheme="minorBidi"/>
          <w:snapToGrid w:val="0"/>
          <w:sz w:val="22"/>
        </w:rPr>
        <w:t>.</w:t>
      </w:r>
    </w:p>
    <w:p w14:paraId="49AC610A" w14:textId="50A80139" w:rsidR="00CA3AC4" w:rsidRPr="003C1CCC" w:rsidRDefault="00CA3AC4" w:rsidP="007029B7">
      <w:pPr>
        <w:keepNext/>
        <w:numPr>
          <w:ilvl w:val="0"/>
          <w:numId w:val="17"/>
        </w:numPr>
        <w:tabs>
          <w:tab w:val="num" w:pos="567"/>
        </w:tabs>
        <w:snapToGrid w:val="0"/>
        <w:spacing w:before="240" w:after="120"/>
        <w:ind w:left="562" w:hanging="56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Prom</w:t>
      </w:r>
      <w:r w:rsidR="00352F96">
        <w:rPr>
          <w:rFonts w:ascii="Arial" w:hAnsi="Arial"/>
          <w:b/>
          <w:sz w:val="22"/>
        </w:rPr>
        <w:t>ouvoir</w:t>
      </w:r>
      <w:r>
        <w:rPr>
          <w:rFonts w:ascii="Arial" w:hAnsi="Arial"/>
          <w:b/>
          <w:sz w:val="22"/>
        </w:rPr>
        <w:t xml:space="preserve"> </w:t>
      </w:r>
      <w:r w:rsidR="00352F96">
        <w:rPr>
          <w:rFonts w:ascii="Arial" w:hAnsi="Arial"/>
          <w:b/>
          <w:sz w:val="22"/>
        </w:rPr>
        <w:t>l</w:t>
      </w:r>
      <w:r>
        <w:rPr>
          <w:rFonts w:ascii="Arial" w:hAnsi="Arial"/>
          <w:b/>
          <w:sz w:val="22"/>
        </w:rPr>
        <w:t>es objectifs de la Convention, encourage</w:t>
      </w:r>
      <w:r w:rsidR="00352F96">
        <w:rPr>
          <w:rFonts w:ascii="Arial" w:hAnsi="Arial"/>
          <w:b/>
          <w:sz w:val="22"/>
        </w:rPr>
        <w:t>r</w:t>
      </w:r>
      <w:r>
        <w:rPr>
          <w:rFonts w:ascii="Arial" w:hAnsi="Arial"/>
          <w:b/>
          <w:sz w:val="22"/>
        </w:rPr>
        <w:t xml:space="preserve"> et </w:t>
      </w:r>
      <w:r w:rsidR="00352F96">
        <w:rPr>
          <w:rFonts w:ascii="Arial" w:hAnsi="Arial"/>
          <w:b/>
          <w:sz w:val="22"/>
        </w:rPr>
        <w:t xml:space="preserve">assurer le suivi </w:t>
      </w:r>
      <w:r>
        <w:rPr>
          <w:rFonts w:ascii="Arial" w:hAnsi="Arial"/>
          <w:b/>
          <w:sz w:val="22"/>
        </w:rPr>
        <w:t>de sa mise en œuvre,</w:t>
      </w:r>
      <w:r w:rsidR="00352F96">
        <w:rPr>
          <w:rFonts w:ascii="Arial" w:hAnsi="Arial"/>
          <w:b/>
          <w:sz w:val="22"/>
        </w:rPr>
        <w:t xml:space="preserve"> et donner des conseils sur </w:t>
      </w:r>
      <w:r>
        <w:rPr>
          <w:rFonts w:ascii="Arial" w:hAnsi="Arial"/>
          <w:b/>
          <w:sz w:val="22"/>
        </w:rPr>
        <w:t xml:space="preserve">les mesures de sauvegarde et les bonnes pratiques </w:t>
      </w:r>
      <w:r>
        <w:rPr>
          <w:rFonts w:ascii="Arial" w:hAnsi="Arial"/>
          <w:sz w:val="22"/>
        </w:rPr>
        <w:t>(articles 7[a] et 7[b])</w:t>
      </w:r>
    </w:p>
    <w:p w14:paraId="75139E69" w14:textId="77777777" w:rsidR="00CA3AC4" w:rsidRPr="003C1CCC" w:rsidRDefault="00CA3AC4" w:rsidP="008D3A5E">
      <w:pPr>
        <w:pStyle w:val="Paragraphedeliste"/>
        <w:keepNext/>
        <w:numPr>
          <w:ilvl w:val="0"/>
          <w:numId w:val="18"/>
        </w:numPr>
        <w:tabs>
          <w:tab w:val="num" w:pos="567"/>
        </w:tabs>
        <w:snapToGrid w:val="0"/>
        <w:spacing w:before="240" w:after="120"/>
        <w:ind w:left="562" w:hanging="562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Ratification</w:t>
      </w:r>
    </w:p>
    <w:p w14:paraId="0CB123EC" w14:textId="565CFCCF" w:rsidR="00CA3AC4" w:rsidRPr="003C1CCC" w:rsidRDefault="00CA3AC4" w:rsidP="000C3849">
      <w:pPr>
        <w:pStyle w:val="Marge"/>
        <w:keepNext/>
        <w:numPr>
          <w:ilvl w:val="0"/>
          <w:numId w:val="16"/>
        </w:numPr>
        <w:tabs>
          <w:tab w:val="clear" w:pos="502"/>
          <w:tab w:val="num" w:pos="567"/>
        </w:tabs>
        <w:spacing w:after="120"/>
        <w:ind w:left="567" w:hanging="567"/>
        <w:rPr>
          <w:rFonts w:cs="Arial"/>
          <w:szCs w:val="22"/>
        </w:rPr>
      </w:pPr>
      <w:r>
        <w:t>Deux États (Angola et</w:t>
      </w:r>
      <w:r w:rsidR="0027080F">
        <w:t xml:space="preserve"> </w:t>
      </w:r>
      <w:r>
        <w:t>Somalie) ont ratifié la Convention entre janvier 2020</w:t>
      </w:r>
      <w:r w:rsidR="00C27E0B">
        <w:t xml:space="preserve"> </w:t>
      </w:r>
      <w:r>
        <w:t>et décembre 2021. À la fin</w:t>
      </w:r>
      <w:r w:rsidR="00E97D72">
        <w:t xml:space="preserve"> de l’année</w:t>
      </w:r>
      <w:r w:rsidR="00E310C2">
        <w:t> </w:t>
      </w:r>
      <w:r>
        <w:t xml:space="preserve">2021, 180 États étaient </w:t>
      </w:r>
      <w:r w:rsidR="006A57D5">
        <w:t>parties</w:t>
      </w:r>
      <w:r>
        <w:t xml:space="preserve"> </w:t>
      </w:r>
      <w:r w:rsidR="006A57D5">
        <w:t>de</w:t>
      </w:r>
      <w:r>
        <w:t xml:space="preserve"> la Convention.</w:t>
      </w:r>
    </w:p>
    <w:p w14:paraId="02BBDF4B" w14:textId="49FC874E" w:rsidR="00CA3AC4" w:rsidRPr="003C1CCC" w:rsidRDefault="008C7AC5" w:rsidP="00CA3AC4">
      <w:pPr>
        <w:pStyle w:val="Paragraphedeliste"/>
        <w:keepNext/>
        <w:numPr>
          <w:ilvl w:val="0"/>
          <w:numId w:val="18"/>
        </w:numPr>
        <w:spacing w:before="240" w:after="120"/>
        <w:ind w:left="567" w:hanging="567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B</w:t>
      </w:r>
      <w:r w:rsidR="00CA3AC4">
        <w:rPr>
          <w:rFonts w:ascii="Arial" w:hAnsi="Arial"/>
          <w:b/>
          <w:sz w:val="22"/>
        </w:rPr>
        <w:t>onne gouvernance</w:t>
      </w:r>
      <w:r>
        <w:rPr>
          <w:rFonts w:ascii="Arial" w:hAnsi="Arial"/>
          <w:b/>
          <w:sz w:val="22"/>
        </w:rPr>
        <w:t xml:space="preserve"> garantie</w:t>
      </w:r>
    </w:p>
    <w:p w14:paraId="39160399" w14:textId="20B4F2B5" w:rsidR="00CA3AC4" w:rsidRPr="003C1CCC" w:rsidRDefault="00F076AC" w:rsidP="00F076AC">
      <w:pPr>
        <w:pStyle w:val="Marge"/>
        <w:numPr>
          <w:ilvl w:val="0"/>
          <w:numId w:val="16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/>
        </w:rPr>
        <w:t>L’Assemblée générale</w:t>
      </w:r>
      <w:r w:rsidR="008A1042">
        <w:rPr>
          <w:rFonts w:asciiTheme="minorBidi" w:hAnsiTheme="minorBidi"/>
        </w:rPr>
        <w:t>, lors de sa huitième session</w:t>
      </w:r>
      <w:r>
        <w:rPr>
          <w:rFonts w:asciiTheme="minorBidi" w:hAnsiTheme="minorBidi"/>
        </w:rPr>
        <w:t xml:space="preserve"> (8-10 septembre 2021, siège de l’UNESCO, ci-après dénommée le « 8.GA »)</w:t>
      </w:r>
      <w:r w:rsidR="00082F7C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</w:t>
      </w:r>
      <w:r w:rsidR="00082F7C">
        <w:rPr>
          <w:rFonts w:asciiTheme="minorBidi" w:hAnsiTheme="minorBidi"/>
        </w:rPr>
        <w:t>a</w:t>
      </w:r>
      <w:r>
        <w:rPr>
          <w:rFonts w:asciiTheme="minorBidi" w:hAnsiTheme="minorBidi"/>
        </w:rPr>
        <w:t xml:space="preserve"> approuvé un plan </w:t>
      </w:r>
      <w:r w:rsidR="00246318">
        <w:rPr>
          <w:rFonts w:asciiTheme="minorBidi" w:hAnsiTheme="minorBidi"/>
        </w:rPr>
        <w:t>d</w:t>
      </w:r>
      <w:r>
        <w:rPr>
          <w:rFonts w:asciiTheme="minorBidi" w:hAnsiTheme="minorBidi"/>
        </w:rPr>
        <w:t>’utilisation des ressources du Fonds du patrimoine culturel immatériel (ci-après dénommé le</w:t>
      </w:r>
      <w:r w:rsidR="002E2296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« Fonds ») pour la période du 1</w:t>
      </w:r>
      <w:r>
        <w:rPr>
          <w:rFonts w:asciiTheme="minorBidi" w:hAnsiTheme="minorBidi"/>
          <w:vertAlign w:val="superscript"/>
        </w:rPr>
        <w:t>er</w:t>
      </w:r>
      <w:r>
        <w:rPr>
          <w:rFonts w:asciiTheme="minorBidi" w:hAnsiTheme="minorBidi"/>
        </w:rPr>
        <w:t> janvier 2020 au 31 décembre 2021</w:t>
      </w:r>
      <w:r w:rsidR="002E2296">
        <w:rPr>
          <w:rFonts w:asciiTheme="minorBidi" w:hAnsiTheme="minorBidi"/>
        </w:rPr>
        <w:t xml:space="preserve">. Ce plan a </w:t>
      </w:r>
      <w:r w:rsidR="00090C37">
        <w:rPr>
          <w:rFonts w:asciiTheme="minorBidi" w:hAnsiTheme="minorBidi"/>
        </w:rPr>
        <w:t>consacré</w:t>
      </w:r>
      <w:r>
        <w:rPr>
          <w:rFonts w:asciiTheme="minorBidi" w:hAnsiTheme="minorBidi"/>
        </w:rPr>
        <w:t xml:space="preserve"> 20 pour cent du budget (1 568 076 </w:t>
      </w:r>
      <w:r w:rsidR="002E2296" w:rsidRPr="002E2296">
        <w:rPr>
          <w:rFonts w:asciiTheme="minorBidi" w:hAnsiTheme="minorBidi"/>
        </w:rPr>
        <w:t>dollars</w:t>
      </w:r>
      <w:r w:rsidR="00CE7491">
        <w:rPr>
          <w:rFonts w:asciiTheme="minorBidi" w:hAnsiTheme="minorBidi"/>
        </w:rPr>
        <w:t xml:space="preserve"> </w:t>
      </w:r>
      <w:r w:rsidR="002E2296" w:rsidRPr="002E2296">
        <w:rPr>
          <w:rFonts w:asciiTheme="minorBidi" w:hAnsiTheme="minorBidi"/>
        </w:rPr>
        <w:t xml:space="preserve">des États-Unis </w:t>
      </w:r>
      <w:r>
        <w:rPr>
          <w:rFonts w:asciiTheme="minorBidi" w:hAnsiTheme="minorBidi"/>
        </w:rPr>
        <w:t>)</w:t>
      </w:r>
      <w:r w:rsidR="002E2296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aux « </w:t>
      </w:r>
      <w:r w:rsidR="007627F1">
        <w:rPr>
          <w:rFonts w:asciiTheme="minorBidi" w:hAnsiTheme="minorBidi"/>
        </w:rPr>
        <w:t>a</w:t>
      </w:r>
      <w:r>
        <w:rPr>
          <w:rFonts w:asciiTheme="minorBidi" w:hAnsiTheme="minorBidi"/>
        </w:rPr>
        <w:t>utres fonctions du Comité », et une somme totale de 423 380 </w:t>
      </w:r>
      <w:r w:rsidR="002E2296" w:rsidRPr="002E2296">
        <w:rPr>
          <w:rFonts w:asciiTheme="minorBidi" w:hAnsiTheme="minorBidi"/>
        </w:rPr>
        <w:t>dollars des États-Unis</w:t>
      </w:r>
      <w:r>
        <w:rPr>
          <w:rFonts w:asciiTheme="minorBidi" w:hAnsiTheme="minorBidi"/>
        </w:rPr>
        <w:t xml:space="preserve"> (27 pour cent de la ligne « </w:t>
      </w:r>
      <w:r w:rsidR="002300A7">
        <w:rPr>
          <w:rFonts w:asciiTheme="minorBidi" w:hAnsiTheme="minorBidi"/>
        </w:rPr>
        <w:t>a</w:t>
      </w:r>
      <w:r>
        <w:rPr>
          <w:rFonts w:asciiTheme="minorBidi" w:hAnsiTheme="minorBidi"/>
        </w:rPr>
        <w:t>utres fonctions du Comité ») a été allouée afin de garantie une bonne gouvernance (</w:t>
      </w:r>
      <w:r w:rsidR="001A2A26" w:rsidRPr="001A2A26">
        <w:rPr>
          <w:rFonts w:asciiTheme="minorBidi" w:hAnsiTheme="minorBidi"/>
        </w:rPr>
        <w:t>Résolution </w:t>
      </w:r>
      <w:hyperlink r:id="rId15" w:history="1">
        <w:r w:rsidR="001A2A26">
          <w:rPr>
            <w:rStyle w:val="Lienhypertexte"/>
            <w:rFonts w:asciiTheme="minorBidi" w:hAnsiTheme="minorBidi"/>
          </w:rPr>
          <w:t>8.</w:t>
        </w:r>
      </w:hyperlink>
      <w:hyperlink r:id="rId16" w:history="1">
        <w:r>
          <w:rPr>
            <w:rStyle w:val="Lienhypertexte"/>
            <w:rFonts w:asciiTheme="minorBidi" w:hAnsiTheme="minorBidi"/>
          </w:rPr>
          <w:t xml:space="preserve"> GA 7</w:t>
        </w:r>
      </w:hyperlink>
      <w:r>
        <w:rPr>
          <w:rStyle w:val="Lienhypertexte"/>
          <w:rFonts w:asciiTheme="minorBidi" w:hAnsiTheme="minorBidi"/>
        </w:rPr>
        <w:t>)</w:t>
      </w:r>
      <w:r>
        <w:rPr>
          <w:rFonts w:asciiTheme="minorBidi" w:hAnsiTheme="minorBidi"/>
        </w:rPr>
        <w:t>.</w:t>
      </w:r>
    </w:p>
    <w:p w14:paraId="4E41B55E" w14:textId="56B7455F" w:rsidR="00F37BCB" w:rsidRPr="00A7508B" w:rsidRDefault="00F37BCB" w:rsidP="00F37BCB">
      <w:pPr>
        <w:pStyle w:val="Marge"/>
        <w:numPr>
          <w:ilvl w:val="0"/>
          <w:numId w:val="16"/>
        </w:numPr>
        <w:tabs>
          <w:tab w:val="clear" w:pos="502"/>
          <w:tab w:val="num" w:pos="567"/>
        </w:tabs>
        <w:spacing w:after="120"/>
        <w:ind w:left="567" w:hanging="567"/>
        <w:rPr>
          <w:rFonts w:cs="Arial"/>
          <w:szCs w:val="22"/>
        </w:rPr>
      </w:pPr>
      <w:r>
        <w:rPr>
          <w:rFonts w:asciiTheme="minorBidi" w:hAnsiTheme="minorBidi"/>
          <w:snapToGrid/>
        </w:rPr>
        <w:t xml:space="preserve">La réflexion </w:t>
      </w:r>
      <w:r>
        <w:rPr>
          <w:rFonts w:asciiTheme="minorBidi" w:hAnsiTheme="minorBidi"/>
        </w:rPr>
        <w:t xml:space="preserve">globale sur les mécanismes d’inscription sur les listes de la Convention de 2003, lancée à l’occasion </w:t>
      </w:r>
      <w:r>
        <w:t xml:space="preserve">de la douzième </w:t>
      </w:r>
      <w:r>
        <w:rPr>
          <w:rFonts w:asciiTheme="minorBidi" w:hAnsiTheme="minorBidi"/>
          <w:shd w:val="clear" w:color="auto" w:fill="FFFFFF"/>
        </w:rPr>
        <w:t>session</w:t>
      </w:r>
      <w:r>
        <w:t xml:space="preserve"> du Comité (</w:t>
      </w:r>
      <w:r w:rsidR="001A2A26" w:rsidRPr="001A2A26">
        <w:t>Décision </w:t>
      </w:r>
      <w:hyperlink r:id="rId17" w:history="1">
        <w:r w:rsidR="001A2A26">
          <w:rPr>
            <w:rStyle w:val="Lienhypertexte"/>
          </w:rPr>
          <w:t>12.COM 14</w:t>
        </w:r>
      </w:hyperlink>
      <w:r>
        <w:t xml:space="preserve">), avait pour objectif d’établir des recommandations concrètes et de les présenter au Comité lors de sa seizième </w:t>
      </w:r>
      <w:r w:rsidRPr="000A54C6">
        <w:t>session sous la forme de propositions d</w:t>
      </w:r>
      <w:r w:rsidR="00F0262F" w:rsidRPr="000A54C6">
        <w:t>’amendements aux</w:t>
      </w:r>
      <w:r w:rsidRPr="000A54C6">
        <w:t xml:space="preserve"> </w:t>
      </w:r>
      <w:r w:rsidR="000A54C6">
        <w:t>d</w:t>
      </w:r>
      <w:r w:rsidRPr="000A54C6">
        <w:t>irectives opérationnelles (document </w:t>
      </w:r>
      <w:hyperlink r:id="rId18" w:history="1">
        <w:r w:rsidRPr="000A54C6">
          <w:rPr>
            <w:rStyle w:val="Lienhypertexte"/>
            <w:rFonts w:asciiTheme="minorBidi" w:hAnsiTheme="minorBidi"/>
          </w:rPr>
          <w:t>LHE/21/16.COM/14</w:t>
        </w:r>
      </w:hyperlink>
      <w:r w:rsidRPr="000A54C6">
        <w:rPr>
          <w:rFonts w:asciiTheme="minorBidi" w:hAnsiTheme="minorBidi"/>
        </w:rPr>
        <w:t>)</w:t>
      </w:r>
      <w:r w:rsidRPr="000A54C6">
        <w:t>. Ces</w:t>
      </w:r>
      <w:r>
        <w:t xml:space="preserve"> recommandations ont fait l’objet d’une procédure de consultation</w:t>
      </w:r>
      <w:r w:rsidR="00DA0E05">
        <w:t xml:space="preserve"> multipartite</w:t>
      </w:r>
      <w:r>
        <w:t xml:space="preserve">, qui a débuté par une </w:t>
      </w:r>
      <w:r>
        <w:rPr>
          <w:rFonts w:asciiTheme="minorBidi" w:hAnsiTheme="minorBidi"/>
          <w:snapToGrid/>
        </w:rPr>
        <w:t>e</w:t>
      </w:r>
      <w:r>
        <w:t>nquête en ligne auprès d’experts entre mars et avril 202</w:t>
      </w:r>
      <w:r w:rsidR="009C0D14">
        <w:t>1 et</w:t>
      </w:r>
      <w:r>
        <w:t xml:space="preserve"> une réunion en ligne d’experts de catégorie VI en mai 2021 afin d’identifier les principa</w:t>
      </w:r>
      <w:r w:rsidR="00AB0215">
        <w:t>ux défis</w:t>
      </w:r>
      <w:r>
        <w:t xml:space="preserve"> </w:t>
      </w:r>
      <w:r w:rsidR="00DD3465">
        <w:t>liés</w:t>
      </w:r>
      <w:r>
        <w:t xml:space="preserve"> </w:t>
      </w:r>
      <w:r w:rsidR="009E6463">
        <w:rPr>
          <w:color w:val="000000"/>
          <w:shd w:val="clear" w:color="auto" w:fill="FFFFFF"/>
        </w:rPr>
        <w:t xml:space="preserve">aux </w:t>
      </w:r>
      <w:r>
        <w:rPr>
          <w:color w:val="000000"/>
          <w:shd w:val="clear" w:color="auto" w:fill="FFFFFF"/>
        </w:rPr>
        <w:t>mécanismes d’inscription sur les listes</w:t>
      </w:r>
      <w:r>
        <w:t xml:space="preserve"> et les solutions possibles. Sur la base des recommandations préliminaires des experts, le groupe de travail intergouvernemental </w:t>
      </w:r>
      <w:r w:rsidR="00C96F7A" w:rsidRPr="00C96F7A">
        <w:t>à composition non limitée</w:t>
      </w:r>
      <w:r>
        <w:t xml:space="preserve"> s’est r</w:t>
      </w:r>
      <w:r w:rsidR="00597424">
        <w:t>éuni</w:t>
      </w:r>
      <w:r>
        <w:t xml:space="preserve"> deux fois, du 8 au 9 juillet et du 9 au 10 septembre 2021, </w:t>
      </w:r>
      <w:r>
        <w:rPr>
          <w:rFonts w:asciiTheme="minorBidi" w:hAnsiTheme="minorBidi"/>
          <w:snapToGrid/>
        </w:rPr>
        <w:t>afin de débattre des q</w:t>
      </w:r>
      <w:r>
        <w:t>uestions liées aux critères d’inscription, au suivi des éléments inscrits et à la méthodologie</w:t>
      </w:r>
      <w:r w:rsidR="0090623D">
        <w:t xml:space="preserve"> </w:t>
      </w:r>
      <w:r>
        <w:t xml:space="preserve">pour l’évaluation des </w:t>
      </w:r>
      <w:r w:rsidRPr="000A54C6">
        <w:t>candidatures. [Le</w:t>
      </w:r>
      <w:r w:rsidRPr="008C43B5">
        <w:t xml:space="preserve"> Comité a également décidé </w:t>
      </w:r>
      <w:r w:rsidRPr="008C43B5">
        <w:rPr>
          <w:rFonts w:asciiTheme="minorBidi" w:hAnsiTheme="minorBidi"/>
        </w:rPr>
        <w:t>d</w:t>
      </w:r>
      <w:r w:rsidR="005B1EF9" w:rsidRPr="008C43B5">
        <w:rPr>
          <w:rFonts w:asciiTheme="minorBidi" w:hAnsiTheme="minorBidi"/>
        </w:rPr>
        <w:t>e prolonger</w:t>
      </w:r>
      <w:r w:rsidRPr="008C43B5">
        <w:rPr>
          <w:rFonts w:asciiTheme="minorBidi" w:hAnsiTheme="minorBidi"/>
        </w:rPr>
        <w:t xml:space="preserve"> le mandat du </w:t>
      </w:r>
      <w:r w:rsidRPr="008C43B5">
        <w:t xml:space="preserve">groupe de travail intergouvernemental </w:t>
      </w:r>
      <w:r w:rsidR="00E56049" w:rsidRPr="008C43B5">
        <w:t>à composition non limitée</w:t>
      </w:r>
      <w:r w:rsidR="00E56049" w:rsidRPr="008C4CF6">
        <w:t xml:space="preserve"> </w:t>
      </w:r>
      <w:r w:rsidRPr="008C43B5">
        <w:t xml:space="preserve">afin de lui permettre </w:t>
      </w:r>
      <w:r w:rsidRPr="008C43B5">
        <w:rPr>
          <w:rFonts w:asciiTheme="minorBidi" w:hAnsiTheme="minorBidi"/>
        </w:rPr>
        <w:t>d’aborder les questions restantes</w:t>
      </w:r>
      <w:r w:rsidR="005B1EF9" w:rsidRPr="008C43B5">
        <w:rPr>
          <w:rFonts w:asciiTheme="minorBidi" w:hAnsiTheme="minorBidi"/>
        </w:rPr>
        <w:t xml:space="preserve"> dans le cadre</w:t>
      </w:r>
      <w:r w:rsidRPr="008C43B5">
        <w:rPr>
          <w:rFonts w:asciiTheme="minorBidi" w:hAnsiTheme="minorBidi"/>
        </w:rPr>
        <w:t xml:space="preserve"> d’une réunion en ligne supplémentaire </w:t>
      </w:r>
      <w:r w:rsidR="005B1EF9" w:rsidRPr="008C43B5">
        <w:rPr>
          <w:rFonts w:asciiTheme="minorBidi" w:hAnsiTheme="minorBidi"/>
        </w:rPr>
        <w:t>qui sera convoquée</w:t>
      </w:r>
      <w:r w:rsidRPr="008C43B5">
        <w:rPr>
          <w:rFonts w:asciiTheme="minorBidi" w:hAnsiTheme="minorBidi"/>
        </w:rPr>
        <w:t xml:space="preserve"> début</w:t>
      </w:r>
      <w:r w:rsidR="00E310C2" w:rsidRPr="008C43B5">
        <w:rPr>
          <w:rFonts w:asciiTheme="minorBidi" w:hAnsiTheme="minorBidi"/>
        </w:rPr>
        <w:t> </w:t>
      </w:r>
      <w:r w:rsidRPr="008C43B5">
        <w:rPr>
          <w:rFonts w:asciiTheme="minorBidi" w:hAnsiTheme="minorBidi"/>
        </w:rPr>
        <w:t xml:space="preserve">2022. Les résultats de cette réunion pourront être examinés lors d’une session extraordinaire du Comité sous la forme d’une révision des </w:t>
      </w:r>
      <w:r w:rsidR="000A54C6">
        <w:rPr>
          <w:rFonts w:asciiTheme="minorBidi" w:hAnsiTheme="minorBidi"/>
        </w:rPr>
        <w:t>d</w:t>
      </w:r>
      <w:r w:rsidRPr="008C43B5">
        <w:rPr>
          <w:rFonts w:asciiTheme="minorBidi" w:hAnsiTheme="minorBidi"/>
        </w:rPr>
        <w:t xml:space="preserve">irectives opérationnelles, qui sera ensuite présentée pour approbation définitive lors de la neuvième session de l’Assemblée générale à la mi-2022 </w:t>
      </w:r>
      <w:r w:rsidRPr="007910AD">
        <w:rPr>
          <w:rFonts w:asciiTheme="minorBidi" w:hAnsiTheme="minorBidi"/>
        </w:rPr>
        <w:t>(</w:t>
      </w:r>
      <w:r w:rsidRPr="00A7508B">
        <w:rPr>
          <w:rFonts w:asciiTheme="minorBidi" w:hAnsiTheme="minorBidi"/>
        </w:rPr>
        <w:t>Décision </w:t>
      </w:r>
      <w:r w:rsidRPr="00A7508B">
        <w:t>16.COM 14)</w:t>
      </w:r>
      <w:r w:rsidRPr="00C953BA">
        <w:rPr>
          <w:rFonts w:asciiTheme="minorBidi" w:hAnsiTheme="minorBidi"/>
        </w:rPr>
        <w:t>.]</w:t>
      </w:r>
    </w:p>
    <w:p w14:paraId="4FED3344" w14:textId="1EE9C471" w:rsidR="001C6AA2" w:rsidRPr="003C1CCC" w:rsidRDefault="001C6AA2" w:rsidP="00F37BCB">
      <w:pPr>
        <w:pStyle w:val="Marge"/>
        <w:numPr>
          <w:ilvl w:val="0"/>
          <w:numId w:val="16"/>
        </w:numPr>
        <w:tabs>
          <w:tab w:val="clear" w:pos="502"/>
          <w:tab w:val="num" w:pos="567"/>
        </w:tabs>
        <w:spacing w:after="120"/>
        <w:ind w:left="567" w:hanging="567"/>
        <w:rPr>
          <w:rFonts w:cs="Arial"/>
          <w:szCs w:val="22"/>
        </w:rPr>
      </w:pPr>
      <w:r>
        <w:rPr>
          <w:rFonts w:asciiTheme="minorBidi" w:hAnsiTheme="minorBidi"/>
        </w:rPr>
        <w:t>Le Comité a examiné à sa seizième session l’évaluation de la Convention de 2003</w:t>
      </w:r>
      <w:r w:rsidR="00673720">
        <w:rPr>
          <w:rFonts w:asciiTheme="minorBidi" w:hAnsiTheme="minorBidi"/>
        </w:rPr>
        <w:t>,</w:t>
      </w:r>
      <w:r w:rsidR="00CF606F">
        <w:rPr>
          <w:rFonts w:asciiTheme="minorBidi" w:hAnsiTheme="minorBidi"/>
        </w:rPr>
        <w:t xml:space="preserve"> et une série de douze recommandations, menée par le Service d’évaluation et d’audit de l’UNESCO. En outre, il a demandé au Secrétariat d’élaborer une feuille de route qui tient compte de ces recommandations, et de faire rapport sur l’état de leur mise en œuvre à la dix-septième session du Comité (Décision 16.COM 10).</w:t>
      </w:r>
    </w:p>
    <w:p w14:paraId="59252155" w14:textId="27485C0A" w:rsidR="008A63CF" w:rsidRPr="003C1CCC" w:rsidRDefault="00D43A2C" w:rsidP="000C3849">
      <w:pPr>
        <w:pStyle w:val="Marge"/>
        <w:numPr>
          <w:ilvl w:val="0"/>
          <w:numId w:val="16"/>
        </w:numPr>
        <w:tabs>
          <w:tab w:val="clear" w:pos="502"/>
          <w:tab w:val="num" w:pos="567"/>
        </w:tabs>
        <w:spacing w:after="120"/>
        <w:ind w:left="567" w:hanging="567"/>
      </w:pPr>
      <w:bookmarkStart w:id="1" w:name="_Hlk87901533"/>
      <w:r>
        <w:t xml:space="preserve">Les services de gestion des connaissances de la Convention </w:t>
      </w:r>
      <w:r w:rsidR="0019500D">
        <w:t xml:space="preserve">ont été assurés afin de soutenir </w:t>
      </w:r>
      <w:r>
        <w:t xml:space="preserve">la bonne gouvernance de la Convention et </w:t>
      </w:r>
      <w:r w:rsidR="00ED6363">
        <w:t>ont</w:t>
      </w:r>
      <w:r>
        <w:t xml:space="preserve"> répond</w:t>
      </w:r>
      <w:r w:rsidR="00ED6363">
        <w:t>u</w:t>
      </w:r>
      <w:r>
        <w:t xml:space="preserve"> de manière adéquate au besoin de nouvelles modalités visant à faciliter le travail des </w:t>
      </w:r>
      <w:r w:rsidR="00C02D81">
        <w:t>organes directeurs</w:t>
      </w:r>
      <w:r>
        <w:t xml:space="preserve"> de la Convention. Ceci inclut notamment le bon fonctionnement de l’interface en ligne de rapport périodique, qui a été utilisée par les États parties </w:t>
      </w:r>
      <w:r w:rsidR="004C2B54">
        <w:t xml:space="preserve">de la </w:t>
      </w:r>
      <w:r>
        <w:t xml:space="preserve">région Amérique latine et Caraïbes en 2020, et </w:t>
      </w:r>
      <w:r w:rsidR="00F65A5E">
        <w:t xml:space="preserve">la </w:t>
      </w:r>
      <w:r>
        <w:t xml:space="preserve">région </w:t>
      </w:r>
      <w:r w:rsidR="00F65A5E">
        <w:t>Europe</w:t>
      </w:r>
      <w:r>
        <w:t xml:space="preserve"> en 2021. </w:t>
      </w:r>
      <w:r w:rsidR="0063502F">
        <w:t>Divers outils pédagogiques</w:t>
      </w:r>
      <w:r w:rsidR="009A6350">
        <w:t xml:space="preserve"> et </w:t>
      </w:r>
      <w:r>
        <w:t>de gestion</w:t>
      </w:r>
      <w:r w:rsidR="009A6350">
        <w:t xml:space="preserve"> </w:t>
      </w:r>
      <w:r>
        <w:t>de</w:t>
      </w:r>
      <w:r w:rsidR="0063502F">
        <w:t>s</w:t>
      </w:r>
      <w:r>
        <w:t xml:space="preserve"> connaissance</w:t>
      </w:r>
      <w:r w:rsidR="0063502F">
        <w:t>s</w:t>
      </w:r>
      <w:r>
        <w:t xml:space="preserve"> ont également été mis à disposition en ligne</w:t>
      </w:r>
      <w:r w:rsidR="00F06D5B">
        <w:t xml:space="preserve"> en</w:t>
      </w:r>
      <w:r w:rsidR="000C4BF7">
        <w:t xml:space="preserve"> </w:t>
      </w:r>
      <w:r w:rsidR="00F06D5B">
        <w:t>libre</w:t>
      </w:r>
      <w:r w:rsidR="000C4BF7">
        <w:t xml:space="preserve"> accès</w:t>
      </w:r>
      <w:r>
        <w:t>, afin d</w:t>
      </w:r>
      <w:r w:rsidR="00936CDF">
        <w:t>’améliorer</w:t>
      </w:r>
      <w:r>
        <w:t xml:space="preserve"> l</w:t>
      </w:r>
      <w:r w:rsidR="00C34E07">
        <w:t>eur</w:t>
      </w:r>
      <w:r>
        <w:t xml:space="preserve"> diffusion et utilisatio</w:t>
      </w:r>
      <w:r w:rsidR="00C34E07">
        <w:t xml:space="preserve">n. </w:t>
      </w:r>
    </w:p>
    <w:bookmarkEnd w:id="1"/>
    <w:p w14:paraId="1CEE1365" w14:textId="1772FEC0" w:rsidR="00663DEB" w:rsidRPr="00C953BA" w:rsidRDefault="00CA3AC4" w:rsidP="00663DEB">
      <w:pPr>
        <w:pStyle w:val="Paragraphedeliste"/>
        <w:keepNext/>
        <w:numPr>
          <w:ilvl w:val="0"/>
          <w:numId w:val="18"/>
        </w:numPr>
        <w:tabs>
          <w:tab w:val="num" w:pos="567"/>
        </w:tabs>
        <w:spacing w:before="240" w:after="120"/>
        <w:ind w:left="567" w:hanging="56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Consolidation du programme de renforcement des capacités et orientations sur les mesures de sauvegarde et les bonnes pratiques</w:t>
      </w:r>
    </w:p>
    <w:p w14:paraId="41C56B18" w14:textId="39A8D7E9" w:rsidR="00475922" w:rsidRPr="00C953BA" w:rsidRDefault="00C953BA" w:rsidP="00C953BA">
      <w:pPr>
        <w:pStyle w:val="Marge"/>
        <w:numPr>
          <w:ilvl w:val="0"/>
          <w:numId w:val="16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/>
          <w:szCs w:val="22"/>
        </w:rPr>
      </w:pPr>
      <w:r>
        <w:t>Le</w:t>
      </w:r>
      <w:r w:rsidR="00254EBC" w:rsidRPr="00C953BA">
        <w:rPr>
          <w:rFonts w:asciiTheme="minorBidi" w:hAnsiTheme="minorBidi"/>
          <w:szCs w:val="22"/>
        </w:rPr>
        <w:t xml:space="preserve"> renforcement des capacités demeure un thème central dans le mandat de la Convention de 2003, s’agissant de l’une des deux priorités globales de financement de la Convention : « Renforcement des capacités pour la sauvegarde du patrimoine culturel immatériel et la contribution au développement durable » (2018-2021). Par conséquent, un montant total de 517 465 </w:t>
      </w:r>
      <w:r w:rsidR="00BB7882" w:rsidRPr="00C953BA">
        <w:rPr>
          <w:rFonts w:asciiTheme="minorBidi" w:hAnsiTheme="minorBidi"/>
          <w:szCs w:val="22"/>
        </w:rPr>
        <w:t xml:space="preserve">dollars des États-Unis </w:t>
      </w:r>
      <w:r w:rsidR="006559B4" w:rsidRPr="00C953BA">
        <w:rPr>
          <w:rFonts w:asciiTheme="minorBidi" w:hAnsiTheme="minorBidi"/>
          <w:szCs w:val="22"/>
        </w:rPr>
        <w:t xml:space="preserve">– </w:t>
      </w:r>
      <w:r w:rsidR="00254EBC" w:rsidRPr="00C953BA">
        <w:rPr>
          <w:rFonts w:asciiTheme="minorBidi" w:hAnsiTheme="minorBidi"/>
          <w:szCs w:val="22"/>
        </w:rPr>
        <w:t>soit 33 pour cent de la ligne « </w:t>
      </w:r>
      <w:r w:rsidR="006559B4" w:rsidRPr="00C953BA">
        <w:rPr>
          <w:rFonts w:asciiTheme="minorBidi" w:hAnsiTheme="minorBidi"/>
          <w:szCs w:val="22"/>
        </w:rPr>
        <w:t>a</w:t>
      </w:r>
      <w:r w:rsidR="00254EBC" w:rsidRPr="00C953BA">
        <w:rPr>
          <w:rFonts w:asciiTheme="minorBidi" w:hAnsiTheme="minorBidi"/>
          <w:szCs w:val="22"/>
        </w:rPr>
        <w:t>utres fonctions du Comité »</w:t>
      </w:r>
      <w:r w:rsidR="00585D08" w:rsidRPr="00C953BA">
        <w:rPr>
          <w:rFonts w:asciiTheme="minorBidi" w:hAnsiTheme="minorBidi"/>
          <w:szCs w:val="22"/>
        </w:rPr>
        <w:t xml:space="preserve"> – </w:t>
      </w:r>
      <w:r w:rsidR="00254EBC" w:rsidRPr="00C953BA">
        <w:rPr>
          <w:rFonts w:asciiTheme="minorBidi" w:hAnsiTheme="minorBidi"/>
          <w:szCs w:val="22"/>
        </w:rPr>
        <w:t>a été alloué pour la période de janvier 2020 à décembre 2021.</w:t>
      </w:r>
      <w:r w:rsidR="00996351" w:rsidRPr="00C953BA">
        <w:rPr>
          <w:rFonts w:asciiTheme="minorBidi" w:hAnsiTheme="minorBidi"/>
          <w:szCs w:val="22"/>
        </w:rPr>
        <w:t xml:space="preserve"> Un résultat important a été le taux élevé de soumission des rapports périodiques par les États </w:t>
      </w:r>
      <w:r w:rsidR="00A50283" w:rsidRPr="00C953BA">
        <w:rPr>
          <w:rFonts w:asciiTheme="minorBidi" w:hAnsiTheme="minorBidi"/>
          <w:szCs w:val="22"/>
        </w:rPr>
        <w:t>d’Amérique latine et des Caraïbes</w:t>
      </w:r>
      <w:r w:rsidR="008D7B5F" w:rsidRPr="00C953BA">
        <w:rPr>
          <w:rFonts w:asciiTheme="minorBidi" w:hAnsiTheme="minorBidi"/>
          <w:szCs w:val="22"/>
        </w:rPr>
        <w:t xml:space="preserve">, </w:t>
      </w:r>
      <w:r w:rsidR="0070090D" w:rsidRPr="00C953BA">
        <w:rPr>
          <w:rFonts w:asciiTheme="minorBidi" w:hAnsiTheme="minorBidi"/>
          <w:szCs w:val="22"/>
        </w:rPr>
        <w:t>lors du</w:t>
      </w:r>
      <w:r w:rsidR="008D7B5F" w:rsidRPr="00C953BA">
        <w:rPr>
          <w:rFonts w:asciiTheme="minorBidi" w:hAnsiTheme="minorBidi"/>
          <w:szCs w:val="22"/>
        </w:rPr>
        <w:t xml:space="preserve"> premier cycle régional de soumission des rapports.</w:t>
      </w:r>
      <w:r w:rsidR="00510B4F" w:rsidRPr="00C953BA">
        <w:rPr>
          <w:rFonts w:asciiTheme="minorBidi" w:hAnsiTheme="minorBidi"/>
          <w:szCs w:val="22"/>
        </w:rPr>
        <w:t xml:space="preserve"> Des activités clés pour la sauvegarde du patrimoine vivant dans le contexte de </w:t>
      </w:r>
      <w:r w:rsidR="00DF5A27" w:rsidRPr="00C953BA">
        <w:rPr>
          <w:rFonts w:asciiTheme="minorBidi" w:hAnsiTheme="minorBidi"/>
          <w:szCs w:val="22"/>
        </w:rPr>
        <w:t xml:space="preserve">la </w:t>
      </w:r>
      <w:r w:rsidR="00510B4F" w:rsidRPr="00C953BA">
        <w:rPr>
          <w:rFonts w:asciiTheme="minorBidi" w:hAnsiTheme="minorBidi"/>
          <w:szCs w:val="22"/>
        </w:rPr>
        <w:t>réduction des risques de catastrophe</w:t>
      </w:r>
      <w:r w:rsidR="00DF5A27" w:rsidRPr="00C953BA">
        <w:rPr>
          <w:rFonts w:asciiTheme="minorBidi" w:hAnsiTheme="minorBidi"/>
          <w:szCs w:val="22"/>
        </w:rPr>
        <w:t xml:space="preserve"> aux Philippines et au Honduras</w:t>
      </w:r>
      <w:r w:rsidR="009D231E" w:rsidRPr="00C953BA">
        <w:rPr>
          <w:rFonts w:asciiTheme="minorBidi" w:hAnsiTheme="minorBidi"/>
          <w:szCs w:val="22"/>
        </w:rPr>
        <w:t xml:space="preserve"> ont également été </w:t>
      </w:r>
      <w:r w:rsidR="0011550C" w:rsidRPr="00C953BA">
        <w:rPr>
          <w:rFonts w:asciiTheme="minorBidi" w:hAnsiTheme="minorBidi"/>
          <w:szCs w:val="22"/>
        </w:rPr>
        <w:t>pilotées en ligne.</w:t>
      </w:r>
      <w:r w:rsidR="00FA07C7" w:rsidRPr="00C953BA">
        <w:rPr>
          <w:rFonts w:asciiTheme="minorBidi" w:hAnsiTheme="minorBidi"/>
          <w:szCs w:val="22"/>
        </w:rPr>
        <w:t xml:space="preserve"> Le Comité, lors de sa seizième session, a donc accueilli le repositionnement stratégique du programme global de renforcement des capacités vers une approche multimodale (en présentiel, entièrement en ligne, hybride, et formats de </w:t>
      </w:r>
      <w:r w:rsidR="00FE418A" w:rsidRPr="00C953BA">
        <w:rPr>
          <w:rFonts w:asciiTheme="minorBidi" w:hAnsiTheme="minorBidi"/>
          <w:szCs w:val="22"/>
        </w:rPr>
        <w:t>prestation</w:t>
      </w:r>
      <w:r w:rsidR="00FA07C7" w:rsidRPr="00C953BA">
        <w:rPr>
          <w:rFonts w:asciiTheme="minorBidi" w:hAnsiTheme="minorBidi"/>
          <w:szCs w:val="22"/>
        </w:rPr>
        <w:t xml:space="preserve"> mixtes) (</w:t>
      </w:r>
      <w:r w:rsidR="00FA07C7" w:rsidRPr="00A7508B">
        <w:rPr>
          <w:rFonts w:asciiTheme="minorBidi" w:hAnsiTheme="minorBidi"/>
          <w:szCs w:val="22"/>
        </w:rPr>
        <w:t>Décision 16.COM 5.b)</w:t>
      </w:r>
      <w:r w:rsidR="00FA07C7" w:rsidRPr="00C67C21">
        <w:rPr>
          <w:rFonts w:asciiTheme="minorBidi" w:hAnsiTheme="minorBidi"/>
          <w:szCs w:val="22"/>
        </w:rPr>
        <w:t>.</w:t>
      </w:r>
      <w:r w:rsidR="00FA07C7" w:rsidRPr="00C953BA">
        <w:rPr>
          <w:rFonts w:asciiTheme="minorBidi" w:hAnsiTheme="minorBidi"/>
          <w:szCs w:val="22"/>
        </w:rPr>
        <w:t xml:space="preserve"> </w:t>
      </w:r>
    </w:p>
    <w:p w14:paraId="08DE9670" w14:textId="55615213" w:rsidR="00CA3AC4" w:rsidRPr="003C1CCC" w:rsidRDefault="00CA3AC4" w:rsidP="00CA3AC4">
      <w:pPr>
        <w:pStyle w:val="Paragraphedeliste"/>
        <w:keepNext/>
        <w:numPr>
          <w:ilvl w:val="0"/>
          <w:numId w:val="18"/>
        </w:numPr>
        <w:spacing w:before="240" w:after="120"/>
        <w:ind w:left="567" w:hanging="567"/>
        <w:contextualSpacing w:val="0"/>
        <w:jc w:val="both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/>
          <w:b/>
          <w:sz w:val="22"/>
        </w:rPr>
        <w:t xml:space="preserve">Intégration du patrimoine culturel immatériel dans </w:t>
      </w:r>
      <w:r w:rsidR="003E1E99">
        <w:rPr>
          <w:rFonts w:asciiTheme="minorBidi" w:hAnsiTheme="minorBidi"/>
          <w:b/>
          <w:sz w:val="22"/>
        </w:rPr>
        <w:t>d</w:t>
      </w:r>
      <w:r>
        <w:rPr>
          <w:rFonts w:asciiTheme="minorBidi" w:hAnsiTheme="minorBidi"/>
          <w:b/>
          <w:sz w:val="22"/>
        </w:rPr>
        <w:t xml:space="preserve">es </w:t>
      </w:r>
      <w:r w:rsidR="00E02462">
        <w:rPr>
          <w:rFonts w:asciiTheme="minorBidi" w:hAnsiTheme="minorBidi"/>
          <w:b/>
          <w:sz w:val="22"/>
        </w:rPr>
        <w:t>programmes</w:t>
      </w:r>
      <w:r>
        <w:rPr>
          <w:rFonts w:asciiTheme="minorBidi" w:hAnsiTheme="minorBidi"/>
          <w:b/>
          <w:sz w:val="22"/>
        </w:rPr>
        <w:t xml:space="preserve">, </w:t>
      </w:r>
      <w:r w:rsidR="00E02462">
        <w:rPr>
          <w:rFonts w:asciiTheme="minorBidi" w:hAnsiTheme="minorBidi"/>
          <w:b/>
          <w:sz w:val="22"/>
        </w:rPr>
        <w:t xml:space="preserve">des </w:t>
      </w:r>
      <w:r>
        <w:rPr>
          <w:rFonts w:asciiTheme="minorBidi" w:hAnsiTheme="minorBidi"/>
          <w:b/>
          <w:sz w:val="22"/>
        </w:rPr>
        <w:t>politiques et</w:t>
      </w:r>
      <w:r w:rsidR="00E02462">
        <w:rPr>
          <w:rFonts w:asciiTheme="minorBidi" w:hAnsiTheme="minorBidi"/>
          <w:b/>
          <w:sz w:val="22"/>
        </w:rPr>
        <w:t xml:space="preserve"> des plans</w:t>
      </w:r>
      <w:r>
        <w:rPr>
          <w:rFonts w:asciiTheme="minorBidi" w:hAnsiTheme="minorBidi"/>
          <w:b/>
          <w:sz w:val="22"/>
        </w:rPr>
        <w:t xml:space="preserve"> de développement</w:t>
      </w:r>
    </w:p>
    <w:p w14:paraId="2A9B2F74" w14:textId="6AB0EAAC" w:rsidR="00753013" w:rsidRPr="00705E91" w:rsidRDefault="00CA3AC4" w:rsidP="00A7508B">
      <w:pPr>
        <w:pStyle w:val="Marge"/>
        <w:numPr>
          <w:ilvl w:val="0"/>
          <w:numId w:val="41"/>
        </w:numPr>
        <w:tabs>
          <w:tab w:val="clear" w:pos="567"/>
        </w:tabs>
        <w:spacing w:after="120"/>
        <w:ind w:hanging="502"/>
        <w:rPr>
          <w:rFonts w:asciiTheme="minorBidi" w:hAnsiTheme="minorBidi" w:cstheme="minorBidi"/>
          <w:szCs w:val="22"/>
        </w:rPr>
      </w:pPr>
      <w:r>
        <w:rPr>
          <w:rFonts w:asciiTheme="minorBidi" w:hAnsiTheme="minorBidi"/>
        </w:rPr>
        <w:t xml:space="preserve">L’intégration du patrimoine culturel immatériel dans </w:t>
      </w:r>
      <w:r w:rsidR="00291427">
        <w:rPr>
          <w:rFonts w:asciiTheme="minorBidi" w:hAnsiTheme="minorBidi"/>
        </w:rPr>
        <w:t>l</w:t>
      </w:r>
      <w:r w:rsidR="00D804BF">
        <w:rPr>
          <w:rFonts w:asciiTheme="minorBidi" w:hAnsiTheme="minorBidi"/>
        </w:rPr>
        <w:t>es programmes</w:t>
      </w:r>
      <w:r>
        <w:rPr>
          <w:rFonts w:asciiTheme="minorBidi" w:hAnsiTheme="minorBidi"/>
        </w:rPr>
        <w:t>, politiques et</w:t>
      </w:r>
      <w:r w:rsidR="00291427">
        <w:rPr>
          <w:rFonts w:asciiTheme="minorBidi" w:hAnsiTheme="minorBidi"/>
        </w:rPr>
        <w:t xml:space="preserve"> </w:t>
      </w:r>
      <w:r w:rsidR="00D804BF">
        <w:rPr>
          <w:rFonts w:asciiTheme="minorBidi" w:hAnsiTheme="minorBidi"/>
        </w:rPr>
        <w:t>plans</w:t>
      </w:r>
      <w:r>
        <w:rPr>
          <w:rFonts w:asciiTheme="minorBidi" w:hAnsiTheme="minorBidi"/>
        </w:rPr>
        <w:t xml:space="preserve"> de développement est essentielle</w:t>
      </w:r>
      <w:r w:rsidR="00FF54A3">
        <w:rPr>
          <w:rFonts w:asciiTheme="minorBidi" w:hAnsiTheme="minorBidi"/>
        </w:rPr>
        <w:t xml:space="preserve"> pour</w:t>
      </w:r>
      <w:r>
        <w:rPr>
          <w:rFonts w:asciiTheme="minorBidi" w:hAnsiTheme="minorBidi"/>
        </w:rPr>
        <w:t xml:space="preserve"> promouvoir les objectifs de la Convention dans le cadre </w:t>
      </w:r>
      <w:r w:rsidR="009B4676">
        <w:rPr>
          <w:rFonts w:asciiTheme="minorBidi" w:hAnsiTheme="minorBidi"/>
        </w:rPr>
        <w:t>du</w:t>
      </w:r>
      <w:r w:rsidR="009B4676">
        <w:t xml:space="preserve"> Programme de </w:t>
      </w:r>
      <w:r>
        <w:rPr>
          <w:rFonts w:asciiTheme="minorBidi" w:hAnsiTheme="minorBidi"/>
        </w:rPr>
        <w:t xml:space="preserve">développement </w:t>
      </w:r>
      <w:r w:rsidRPr="00AB2181">
        <w:rPr>
          <w:rFonts w:asciiTheme="minorBidi" w:hAnsiTheme="minorBidi"/>
        </w:rPr>
        <w:t>durable</w:t>
      </w:r>
      <w:r w:rsidR="009B4676" w:rsidRPr="009B4676">
        <w:t xml:space="preserve"> </w:t>
      </w:r>
      <w:r w:rsidR="009B4676">
        <w:t>à l’horizon 2030</w:t>
      </w:r>
      <w:r w:rsidRPr="0049046F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Un montant total de 203 850 </w:t>
      </w:r>
      <w:r w:rsidR="001D53CD" w:rsidRPr="001D53CD">
        <w:rPr>
          <w:rFonts w:asciiTheme="minorBidi" w:hAnsiTheme="minorBidi"/>
        </w:rPr>
        <w:t>dollars des États-Unis</w:t>
      </w:r>
      <w:r w:rsidR="001D53CD">
        <w:rPr>
          <w:rFonts w:asciiTheme="minorBidi" w:hAnsiTheme="minorBidi"/>
        </w:rPr>
        <w:t xml:space="preserve"> – </w:t>
      </w:r>
      <w:r>
        <w:rPr>
          <w:rFonts w:asciiTheme="minorBidi" w:hAnsiTheme="minorBidi"/>
        </w:rPr>
        <w:t>soit 13 pour cent de la ligne « </w:t>
      </w:r>
      <w:r w:rsidR="001D53CD">
        <w:rPr>
          <w:rFonts w:asciiTheme="minorBidi" w:hAnsiTheme="minorBidi"/>
        </w:rPr>
        <w:t>a</w:t>
      </w:r>
      <w:r>
        <w:rPr>
          <w:rFonts w:asciiTheme="minorBidi" w:hAnsiTheme="minorBidi"/>
        </w:rPr>
        <w:t>utres fonctions du Comité »</w:t>
      </w:r>
      <w:r w:rsidR="001D53CD">
        <w:rPr>
          <w:rFonts w:asciiTheme="minorBidi" w:hAnsiTheme="minorBidi"/>
        </w:rPr>
        <w:t xml:space="preserve"> –</w:t>
      </w:r>
      <w:r>
        <w:rPr>
          <w:rFonts w:asciiTheme="minorBidi" w:hAnsiTheme="minorBidi"/>
        </w:rPr>
        <w:t xml:space="preserve"> a été alloué à cette fin pour la période</w:t>
      </w:r>
      <w:r w:rsidR="00E310C2">
        <w:rPr>
          <w:rFonts w:asciiTheme="minorBidi" w:hAnsiTheme="minorBidi"/>
        </w:rPr>
        <w:t> </w:t>
      </w:r>
      <w:r>
        <w:rPr>
          <w:rFonts w:asciiTheme="minorBidi" w:hAnsiTheme="minorBidi"/>
        </w:rPr>
        <w:t>2020-2021. Afin de soutenir la deuxième priorité globale de financement de la Convention, « Sauvegarde du patrimoine culturel immatériel dans l’éducation formelle et non formelle »</w:t>
      </w:r>
      <w:r w:rsidR="00355A64">
        <w:rPr>
          <w:rFonts w:asciiTheme="minorBidi" w:hAnsiTheme="minorBidi"/>
        </w:rPr>
        <w:t xml:space="preserve">, une cinquantaine de pays ont mis en valeur l’intégration du patrimoine vivant dans leurs contextes éducatifs. Un réseau d’apprentissage mondiale, avec des personnes ressources pertinentes, le centre mondial d’échange d’information </w:t>
      </w:r>
      <w:r w:rsidR="00E65D25">
        <w:rPr>
          <w:rFonts w:asciiTheme="minorBidi" w:hAnsiTheme="minorBidi"/>
        </w:rPr>
        <w:t>pour le partage des connaissances sur le patrimoine vivant et l’éducation, ainsi qu’une formation en ligne ouverte à tous sur la sauvegarde du patrimoine culturel immatériel et le développement durable ont été également développés.</w:t>
      </w:r>
      <w:r w:rsidR="00705E91">
        <w:rPr>
          <w:rFonts w:asciiTheme="minorBidi" w:hAnsiTheme="minorBidi"/>
        </w:rPr>
        <w:t xml:space="preserve"> </w:t>
      </w:r>
      <w:r w:rsidRPr="00705E91">
        <w:rPr>
          <w:rFonts w:asciiTheme="minorBidi" w:hAnsiTheme="minorBidi"/>
        </w:rPr>
        <w:t xml:space="preserve">Ces exemples concrets permettent de promouvoir la transmission du patrimoine vivant via l’éducation formelle et non formelle, s’agissant d’une mesure de sauvegarde importante conformément à l’article 2 de la Convention et permettant de contribuer à </w:t>
      </w:r>
      <w:r w:rsidR="00992011">
        <w:rPr>
          <w:rFonts w:asciiTheme="minorBidi" w:hAnsiTheme="minorBidi"/>
        </w:rPr>
        <w:t xml:space="preserve">l’ODD 4 pour une éducation de qualité. </w:t>
      </w:r>
    </w:p>
    <w:p w14:paraId="437DCECF" w14:textId="77777777" w:rsidR="00CA3AC4" w:rsidRPr="003C1CCC" w:rsidRDefault="00CA3AC4" w:rsidP="00CA3AC4">
      <w:pPr>
        <w:pStyle w:val="Paragraphedeliste"/>
        <w:keepNext/>
        <w:numPr>
          <w:ilvl w:val="0"/>
          <w:numId w:val="18"/>
        </w:numPr>
        <w:tabs>
          <w:tab w:val="num" w:pos="567"/>
        </w:tabs>
        <w:spacing w:before="240" w:after="120"/>
        <w:ind w:left="567" w:hanging="567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Sensibilisation et diffusion</w:t>
      </w:r>
    </w:p>
    <w:p w14:paraId="14947494" w14:textId="72D6230D" w:rsidR="00F64EEC" w:rsidRPr="003C1CCC" w:rsidRDefault="006B7D69" w:rsidP="00C953BA">
      <w:pPr>
        <w:pStyle w:val="Marge"/>
        <w:numPr>
          <w:ilvl w:val="0"/>
          <w:numId w:val="41"/>
        </w:numPr>
        <w:tabs>
          <w:tab w:val="clear" w:pos="567"/>
        </w:tabs>
        <w:spacing w:after="120"/>
        <w:ind w:left="567" w:hanging="567"/>
        <w:rPr>
          <w:rFonts w:cs="Arial"/>
          <w:szCs w:val="22"/>
        </w:rPr>
      </w:pPr>
      <w:r>
        <w:t xml:space="preserve">La sensibilisation à l’importance du patrimoine culturel immatériel et la promotion des objectifs de la Convention sont considérées comme des mesures de sauvegarde en elles-mêmes, comme indiqué à l’article 2.3 de la Convention. </w:t>
      </w:r>
      <w:r w:rsidRPr="00AB2181">
        <w:t>Un montant total de 423</w:t>
      </w:r>
      <w:r w:rsidR="008B60FD">
        <w:t> </w:t>
      </w:r>
      <w:r w:rsidRPr="00AB2181">
        <w:t>381</w:t>
      </w:r>
      <w:r w:rsidR="008B60FD">
        <w:t xml:space="preserve"> </w:t>
      </w:r>
      <w:r w:rsidR="008B60FD" w:rsidRPr="008B60FD">
        <w:t>dollars des États-Unis</w:t>
      </w:r>
      <w:r w:rsidRPr="00AB2181">
        <w:t> </w:t>
      </w:r>
      <w:r w:rsidR="00D27E42">
        <w:t xml:space="preserve">– </w:t>
      </w:r>
      <w:r>
        <w:t>soit 27 pour cent de la ligne « </w:t>
      </w:r>
      <w:r w:rsidR="00736AFA">
        <w:t>a</w:t>
      </w:r>
      <w:r>
        <w:t>utres fonctions du Comité »</w:t>
      </w:r>
      <w:r w:rsidR="00D27E42">
        <w:t xml:space="preserve"> – a</w:t>
      </w:r>
      <w:r>
        <w:t xml:space="preserve"> été alloué en vue de soutenir l’initiative du Secrétariat dans ces domaines d’action pour la période 2020–2021.</w:t>
      </w:r>
    </w:p>
    <w:p w14:paraId="55731890" w14:textId="1DACF8AD" w:rsidR="00280601" w:rsidRPr="003C1CCC" w:rsidRDefault="003615DD" w:rsidP="00C953BA">
      <w:pPr>
        <w:pStyle w:val="Paragraphedeliste"/>
        <w:numPr>
          <w:ilvl w:val="0"/>
          <w:numId w:val="41"/>
        </w:numPr>
        <w:spacing w:after="120"/>
        <w:ind w:left="567" w:hanging="567"/>
        <w:contextualSpacing w:val="0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/>
          <w:snapToGrid w:val="0"/>
          <w:sz w:val="22"/>
        </w:rPr>
        <w:t>L’outil interactif en ligne « </w:t>
      </w:r>
      <w:hyperlink r:id="rId19" w:history="1">
        <w:r>
          <w:rPr>
            <w:rStyle w:val="Lienhypertexte"/>
            <w:rFonts w:asciiTheme="minorBidi" w:hAnsiTheme="minorBidi"/>
            <w:sz w:val="22"/>
          </w:rPr>
          <w:t>Plongez dans le patrimoine culturel immatériel</w:t>
        </w:r>
      </w:hyperlink>
      <w:r>
        <w:rPr>
          <w:rFonts w:asciiTheme="minorBidi" w:hAnsiTheme="minorBidi"/>
          <w:snapToGrid w:val="0"/>
          <w:sz w:val="22"/>
        </w:rPr>
        <w:t xml:space="preserve"> », mis au point en 2019, </w:t>
      </w:r>
      <w:r w:rsidR="00736AFA">
        <w:rPr>
          <w:rFonts w:asciiTheme="minorBidi" w:hAnsiTheme="minorBidi"/>
          <w:snapToGrid w:val="0"/>
          <w:sz w:val="22"/>
        </w:rPr>
        <w:t>a été</w:t>
      </w:r>
      <w:r>
        <w:rPr>
          <w:rFonts w:asciiTheme="minorBidi" w:hAnsiTheme="minorBidi"/>
          <w:snapToGrid w:val="0"/>
          <w:sz w:val="22"/>
        </w:rPr>
        <w:t xml:space="preserve"> suivi d’un autre outil, </w:t>
      </w:r>
      <w:r>
        <w:rPr>
          <w:rFonts w:asciiTheme="minorBidi" w:hAnsiTheme="minorBidi"/>
          <w:sz w:val="22"/>
        </w:rPr>
        <w:t>« </w:t>
      </w:r>
      <w:hyperlink r:id="rId20" w:history="1">
        <w:r>
          <w:rPr>
            <w:rStyle w:val="Lienhypertexte"/>
            <w:rFonts w:asciiTheme="minorBidi" w:hAnsiTheme="minorBidi"/>
            <w:sz w:val="22"/>
          </w:rPr>
          <w:t>Plongez dans le patrimoine vivant et le développement durable</w:t>
        </w:r>
      </w:hyperlink>
      <w:r>
        <w:rPr>
          <w:rFonts w:asciiTheme="minorBidi" w:hAnsiTheme="minorBidi"/>
          <w:sz w:val="22"/>
        </w:rPr>
        <w:t xml:space="preserve"> », </w:t>
      </w:r>
      <w:r>
        <w:rPr>
          <w:rFonts w:asciiTheme="minorBidi" w:hAnsiTheme="minorBidi"/>
          <w:snapToGrid w:val="0"/>
          <w:sz w:val="22"/>
        </w:rPr>
        <w:t xml:space="preserve">tel que présenté au Comité lors de </w:t>
      </w:r>
      <w:r>
        <w:rPr>
          <w:rFonts w:ascii="Arial" w:hAnsi="Arial"/>
          <w:snapToGrid w:val="0"/>
          <w:sz w:val="22"/>
        </w:rPr>
        <w:t xml:space="preserve">sa quinzième session en décembre 2020. Ceci </w:t>
      </w:r>
      <w:r>
        <w:rPr>
          <w:rFonts w:ascii="Arial" w:hAnsi="Arial"/>
          <w:sz w:val="22"/>
        </w:rPr>
        <w:t xml:space="preserve">démontre les nombreuses façons permettant aux expressions et pratiques du patrimoine vivant et leur sauvegarde de contribuer </w:t>
      </w:r>
      <w:r w:rsidR="00521B56">
        <w:rPr>
          <w:rFonts w:ascii="Arial" w:hAnsi="Arial"/>
          <w:sz w:val="22"/>
        </w:rPr>
        <w:t>aux dix-sept objectifs</w:t>
      </w:r>
      <w:r>
        <w:rPr>
          <w:rFonts w:ascii="Arial" w:hAnsi="Arial"/>
          <w:sz w:val="22"/>
        </w:rPr>
        <w:t xml:space="preserve"> de développement durable dans le cadre de l’Agenda 2030. Chacun des éléments inscrits est analysé</w:t>
      </w:r>
      <w:r w:rsidR="00ED2086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par concept (par ex</w:t>
      </w:r>
      <w:r w:rsidR="00DF3194">
        <w:rPr>
          <w:rFonts w:ascii="Arial" w:hAnsi="Arial"/>
          <w:sz w:val="22"/>
        </w:rPr>
        <w:t xml:space="preserve">emple </w:t>
      </w:r>
      <w:r>
        <w:rPr>
          <w:rFonts w:ascii="Arial" w:hAnsi="Arial"/>
          <w:sz w:val="22"/>
        </w:rPr>
        <w:t>danse, arbres, poterie, etc.) ou par pays</w:t>
      </w:r>
      <w:r w:rsidR="00ED2086">
        <w:rPr>
          <w:rFonts w:ascii="Arial" w:hAnsi="Arial"/>
          <w:sz w:val="22"/>
        </w:rPr>
        <w:t xml:space="preserve"> –</w:t>
      </w:r>
      <w:r>
        <w:rPr>
          <w:rFonts w:ascii="Arial" w:hAnsi="Arial"/>
          <w:sz w:val="22"/>
        </w:rPr>
        <w:t xml:space="preserve"> afin de proposer une visualisation panoramique des objectifs auxquels ils contribuent.</w:t>
      </w:r>
    </w:p>
    <w:p w14:paraId="2F24AE3E" w14:textId="54280571" w:rsidR="00AB679A" w:rsidRPr="003C1CCC" w:rsidRDefault="00A11BA0" w:rsidP="00C67C21">
      <w:pPr>
        <w:pStyle w:val="Marge"/>
        <w:numPr>
          <w:ilvl w:val="0"/>
          <w:numId w:val="41"/>
        </w:numPr>
        <w:tabs>
          <w:tab w:val="clear" w:pos="567"/>
        </w:tabs>
        <w:spacing w:after="120"/>
        <w:ind w:left="567" w:hanging="567"/>
        <w:rPr>
          <w:rFonts w:asciiTheme="minorBidi" w:hAnsiTheme="minorBidi" w:cstheme="minorBidi"/>
        </w:rPr>
      </w:pPr>
      <w:r>
        <w:rPr>
          <w:rStyle w:val="hps"/>
        </w:rPr>
        <w:t xml:space="preserve">Le </w:t>
      </w:r>
      <w:r>
        <w:rPr>
          <w:shd w:val="clear" w:color="auto" w:fill="FFFFFF"/>
        </w:rPr>
        <w:t xml:space="preserve">processus de réflexion sur les fonctions consultatives </w:t>
      </w:r>
      <w:r w:rsidR="00355C4F">
        <w:rPr>
          <w:shd w:val="clear" w:color="auto" w:fill="FFFFFF"/>
        </w:rPr>
        <w:t>à remplir</w:t>
      </w:r>
      <w:r>
        <w:rPr>
          <w:shd w:val="clear" w:color="auto" w:fill="FFFFFF"/>
        </w:rPr>
        <w:t xml:space="preserve"> par les ONG </w:t>
      </w:r>
      <w:r w:rsidR="00355C4F">
        <w:rPr>
          <w:shd w:val="clear" w:color="auto" w:fill="FFFFFF"/>
        </w:rPr>
        <w:t>accréditées</w:t>
      </w:r>
      <w:r>
        <w:rPr>
          <w:shd w:val="clear" w:color="auto" w:fill="FFFFFF"/>
        </w:rPr>
        <w:t xml:space="preserve">, entrepris de manière collective en collaboration avec les </w:t>
      </w:r>
      <w:r>
        <w:t xml:space="preserve">ONG </w:t>
      </w:r>
      <w:r w:rsidR="00355C4F">
        <w:t>accréditées</w:t>
      </w:r>
      <w:r>
        <w:t>, le Forum</w:t>
      </w:r>
      <w:r w:rsidR="00F142FD">
        <w:t xml:space="preserve"> des ONG du PCI</w:t>
      </w:r>
      <w:r>
        <w:t>, le</w:t>
      </w:r>
      <w:r w:rsidR="004A2B7C">
        <w:t xml:space="preserve"> g</w:t>
      </w:r>
      <w:r w:rsidR="004A2B7C" w:rsidRPr="004A2B7C">
        <w:t>roupe de travail</w:t>
      </w:r>
      <w:r w:rsidR="00AB2181">
        <w:t xml:space="preserve"> informel</w:t>
      </w:r>
      <w:r w:rsidR="004A2B7C">
        <w:t xml:space="preserve"> </w:t>
      </w:r>
      <w:r w:rsidR="00293C68">
        <w:rPr>
          <w:i/>
          <w:iCs/>
        </w:rPr>
        <w:t>ad hoc</w:t>
      </w:r>
      <w:r w:rsidR="00293C68" w:rsidRPr="004A2B7C">
        <w:t xml:space="preserve"> </w:t>
      </w:r>
      <w:r w:rsidR="004A2B7C" w:rsidRPr="004A2B7C">
        <w:t>à composition non limitée</w:t>
      </w:r>
      <w:r>
        <w:t xml:space="preserve">, les États parties et le Secrétariat, a continué pendant la période </w:t>
      </w:r>
      <w:r w:rsidR="007135CD">
        <w:t>considérée</w:t>
      </w:r>
      <w:r>
        <w:t xml:space="preserve">. Suite à la décision prise lors de la quatorzième session du Comité </w:t>
      </w:r>
      <w:r>
        <w:rPr>
          <w:color w:val="414042"/>
        </w:rPr>
        <w:t>(</w:t>
      </w:r>
      <w:hyperlink r:id="rId21" w:history="1">
        <w:r>
          <w:rPr>
            <w:rStyle w:val="Lienhypertexte"/>
            <w:rFonts w:asciiTheme="minorBidi" w:hAnsiTheme="minorBidi"/>
          </w:rPr>
          <w:t>Décision 14.COM 15</w:t>
        </w:r>
      </w:hyperlink>
      <w:r>
        <w:t xml:space="preserve">), la quinzième session du Comité </w:t>
      </w:r>
      <w:r w:rsidR="007135CD">
        <w:t>a</w:t>
      </w:r>
      <w:r>
        <w:t xml:space="preserve"> examiné sur une base expérimentale le « Rapport du Forum des organisations non gouvernementales » sous la forme d’un point indépendant (</w:t>
      </w:r>
      <w:hyperlink r:id="rId22" w:history="1">
        <w:r>
          <w:rPr>
            <w:rStyle w:val="Lienhypertexte"/>
          </w:rPr>
          <w:t>Décision 15.COM 6</w:t>
        </w:r>
      </w:hyperlink>
      <w:r>
        <w:t>). Une pratique similaire a été effectuée lo</w:t>
      </w:r>
      <w:r w:rsidR="00C45901">
        <w:t>r</w:t>
      </w:r>
      <w:r>
        <w:t>s de la seizième session du Comité (</w:t>
      </w:r>
      <w:r w:rsidRPr="00A7508B">
        <w:t>Décision 16.COM</w:t>
      </w:r>
      <w:r w:rsidR="00C67C21" w:rsidRPr="00A7508B">
        <w:t> </w:t>
      </w:r>
      <w:r w:rsidR="00C45901" w:rsidRPr="00A7508B">
        <w:t>9</w:t>
      </w:r>
      <w:r>
        <w:t>).</w:t>
      </w:r>
    </w:p>
    <w:p w14:paraId="191239A5" w14:textId="24CE7A6A" w:rsidR="002D245C" w:rsidRPr="003C1CCC" w:rsidRDefault="00CA3AC4" w:rsidP="006E7D7B">
      <w:pPr>
        <w:keepNext/>
        <w:numPr>
          <w:ilvl w:val="0"/>
          <w:numId w:val="17"/>
        </w:numPr>
        <w:tabs>
          <w:tab w:val="num" w:pos="567"/>
        </w:tabs>
        <w:snapToGrid w:val="0"/>
        <w:spacing w:before="240" w:after="120"/>
        <w:ind w:left="562" w:hanging="5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Préparation d’un projet de plan </w:t>
      </w:r>
      <w:r w:rsidR="00D54E8C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’utilisation des ressources du Fonds et augmentation des ressources du Fonds</w:t>
      </w:r>
      <w:r>
        <w:rPr>
          <w:rFonts w:ascii="Arial" w:hAnsi="Arial"/>
          <w:sz w:val="22"/>
        </w:rPr>
        <w:t xml:space="preserve"> (articles 7[c] et 7[d])</w:t>
      </w:r>
    </w:p>
    <w:p w14:paraId="713BF9E7" w14:textId="123B8FE2" w:rsidR="002D245C" w:rsidRPr="003C1CCC" w:rsidRDefault="002D245C" w:rsidP="00C953BA">
      <w:pPr>
        <w:pStyle w:val="Marge"/>
        <w:numPr>
          <w:ilvl w:val="0"/>
          <w:numId w:val="41"/>
        </w:numPr>
        <w:tabs>
          <w:tab w:val="clear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/>
        </w:rPr>
        <w:t xml:space="preserve">Lors de sa seizième session, le Comité a examiné un projet de plan </w:t>
      </w:r>
      <w:r w:rsidR="00E53EF9">
        <w:rPr>
          <w:rFonts w:asciiTheme="minorBidi" w:hAnsiTheme="minorBidi"/>
        </w:rPr>
        <w:t>d</w:t>
      </w:r>
      <w:r>
        <w:rPr>
          <w:rFonts w:asciiTheme="minorBidi" w:hAnsiTheme="minorBidi"/>
        </w:rPr>
        <w:t>’utilisation des ressources du Fonds pour la période du 1</w:t>
      </w:r>
      <w:r>
        <w:rPr>
          <w:rFonts w:asciiTheme="minorBidi" w:hAnsiTheme="minorBidi"/>
          <w:vertAlign w:val="superscript"/>
        </w:rPr>
        <w:t>er</w:t>
      </w:r>
      <w:r>
        <w:rPr>
          <w:rFonts w:asciiTheme="minorBidi" w:hAnsiTheme="minorBidi"/>
        </w:rPr>
        <w:t> janvier 2022 au 31 décembre 2023 et, de façon provisoire, pour la période du premier semestre 2024 (</w:t>
      </w:r>
      <w:r w:rsidRPr="00A7508B">
        <w:rPr>
          <w:rFonts w:asciiTheme="minorBidi" w:hAnsiTheme="minorBidi"/>
        </w:rPr>
        <w:t>Décision 16.COM 1</w:t>
      </w:r>
      <w:r w:rsidR="00E91607" w:rsidRPr="00A7508B">
        <w:rPr>
          <w:rFonts w:asciiTheme="minorBidi" w:hAnsiTheme="minorBidi"/>
        </w:rPr>
        <w:t>3</w:t>
      </w:r>
      <w:r>
        <w:rPr>
          <w:rFonts w:asciiTheme="minorBidi" w:hAnsiTheme="minorBidi"/>
        </w:rPr>
        <w:t>). Conformément à la nouvelle procédure d’approbation mise en place par le Comité en 2019 pour les « Autres fonctions du Comité » (</w:t>
      </w:r>
      <w:r w:rsidR="000A54C6" w:rsidRPr="000A54C6">
        <w:rPr>
          <w:rFonts w:asciiTheme="minorBidi" w:hAnsiTheme="minorBidi"/>
        </w:rPr>
        <w:t>Décision </w:t>
      </w:r>
      <w:hyperlink r:id="rId23" w:history="1">
        <w:r w:rsidR="000A54C6">
          <w:rPr>
            <w:rStyle w:val="Lienhypertexte"/>
            <w:rFonts w:asciiTheme="minorBidi" w:hAnsiTheme="minorBidi"/>
          </w:rPr>
          <w:t>14.COM 7</w:t>
        </w:r>
      </w:hyperlink>
      <w:r>
        <w:rPr>
          <w:rFonts w:asciiTheme="minorBidi" w:hAnsiTheme="minorBidi"/>
        </w:rPr>
        <w:t xml:space="preserve">), le projet de plan a été présenté en indiquant une répartition en pourcentage de la ligne </w:t>
      </w:r>
      <w:r w:rsidR="00A5568F">
        <w:rPr>
          <w:rFonts w:asciiTheme="minorBidi" w:hAnsiTheme="minorBidi"/>
        </w:rPr>
        <w:t>budgétaire</w:t>
      </w:r>
      <w:r>
        <w:rPr>
          <w:rFonts w:asciiTheme="minorBidi" w:hAnsiTheme="minorBidi"/>
        </w:rPr>
        <w:t xml:space="preserve"> « Autres fonctions du Comité », en termes de résultats attendus selon le C/5 approuvé, étant donné que le Bureau ne possède plus le pouvoir délégué d’approbation du plan de dépenses de cette ligne à partir de la période biennale 2020–2021. Le projet de plan sera soumis pour approbation lors de la neuvième session de l’Assemblée générale en 2022. Le plus grand pourcentage</w:t>
      </w:r>
      <w:r w:rsidR="005E0808">
        <w:rPr>
          <w:rFonts w:asciiTheme="minorBidi" w:hAnsiTheme="minorBidi"/>
        </w:rPr>
        <w:t xml:space="preserve"> continue d’être consacré </w:t>
      </w:r>
      <w:r>
        <w:rPr>
          <w:rFonts w:asciiTheme="minorBidi" w:hAnsiTheme="minorBidi"/>
        </w:rPr>
        <w:t>à l’</w:t>
      </w:r>
      <w:r w:rsidR="005E0808">
        <w:rPr>
          <w:rFonts w:asciiTheme="minorBidi" w:hAnsiTheme="minorBidi"/>
        </w:rPr>
        <w:t>assistance</w:t>
      </w:r>
      <w:r>
        <w:rPr>
          <w:rFonts w:asciiTheme="minorBidi" w:hAnsiTheme="minorBidi"/>
        </w:rPr>
        <w:t xml:space="preserve"> internationale. Consultez le </w:t>
      </w:r>
      <w:r w:rsidRPr="000A54C6">
        <w:rPr>
          <w:rFonts w:asciiTheme="minorBidi" w:hAnsiTheme="minorBidi"/>
        </w:rPr>
        <w:t>document </w:t>
      </w:r>
      <w:hyperlink r:id="rId24" w:history="1">
        <w:r w:rsidRPr="000A54C6">
          <w:rPr>
            <w:rStyle w:val="Lienhypertexte"/>
            <w:rFonts w:asciiTheme="minorBidi" w:hAnsiTheme="minorBidi"/>
          </w:rPr>
          <w:t>LHE/21/16.COM/1</w:t>
        </w:r>
        <w:r w:rsidR="00510752" w:rsidRPr="000A54C6">
          <w:rPr>
            <w:rStyle w:val="Lienhypertexte"/>
            <w:rFonts w:asciiTheme="minorBidi" w:hAnsiTheme="minorBidi"/>
          </w:rPr>
          <w:t>3</w:t>
        </w:r>
      </w:hyperlink>
      <w:r>
        <w:rPr>
          <w:rFonts w:asciiTheme="minorBidi" w:hAnsiTheme="minorBidi"/>
        </w:rPr>
        <w:t xml:space="preserve"> pour le plan détaillé.</w:t>
      </w:r>
    </w:p>
    <w:p w14:paraId="1D08BE56" w14:textId="0A988CC8" w:rsidR="00CA3AC4" w:rsidRPr="003C1CCC" w:rsidRDefault="00CA3AC4" w:rsidP="00C953BA">
      <w:pPr>
        <w:pStyle w:val="Marge"/>
        <w:numPr>
          <w:ilvl w:val="0"/>
          <w:numId w:val="41"/>
        </w:numPr>
        <w:tabs>
          <w:tab w:val="clear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/>
        </w:rPr>
        <w:t>Pendant la période</w:t>
      </w:r>
      <w:r w:rsidR="00E8505C">
        <w:rPr>
          <w:rFonts w:asciiTheme="minorBidi" w:hAnsiTheme="minorBidi"/>
        </w:rPr>
        <w:t xml:space="preserve"> considérée</w:t>
      </w:r>
      <w:r>
        <w:rPr>
          <w:rFonts w:asciiTheme="minorBidi" w:hAnsiTheme="minorBidi"/>
        </w:rPr>
        <w:t xml:space="preserve">, l’Azerbaïdjan, la France, le Koweït, la Suisse et le Centre international d’information et de travail en réseau sur le patrimoine culturel immatériel dans la région Asie-Pacifique sous l’égide de l’UNESCO (République de Corée) ont apporté au Fonds des contributions volontaires supplémentaires à hauteur de </w:t>
      </w:r>
      <w:r w:rsidRPr="00A7508B">
        <w:rPr>
          <w:rFonts w:asciiTheme="minorBidi" w:hAnsiTheme="minorBidi"/>
        </w:rPr>
        <w:t>716</w:t>
      </w:r>
      <w:r w:rsidR="003B70FA" w:rsidRPr="00A7508B">
        <w:rPr>
          <w:rFonts w:asciiTheme="minorBidi" w:hAnsiTheme="minorBidi"/>
        </w:rPr>
        <w:t> </w:t>
      </w:r>
      <w:r w:rsidRPr="00A7508B">
        <w:rPr>
          <w:rFonts w:asciiTheme="minorBidi" w:hAnsiTheme="minorBidi"/>
        </w:rPr>
        <w:t>445</w:t>
      </w:r>
      <w:r w:rsidR="003B70FA" w:rsidRPr="00A7508B">
        <w:rPr>
          <w:rFonts w:asciiTheme="minorBidi" w:hAnsiTheme="minorBidi"/>
        </w:rPr>
        <w:t xml:space="preserve"> </w:t>
      </w:r>
      <w:r w:rsidR="004D4840" w:rsidRPr="004D4840">
        <w:rPr>
          <w:rFonts w:asciiTheme="minorBidi" w:hAnsiTheme="minorBidi"/>
        </w:rPr>
        <w:t>dollars des États-Unis</w:t>
      </w:r>
      <w:r w:rsidR="00A770F8">
        <w:rPr>
          <w:rFonts w:asciiTheme="minorBidi" w:hAnsiTheme="minorBidi"/>
        </w:rPr>
        <w:t>,</w:t>
      </w:r>
      <w:r w:rsidR="004D4840" w:rsidRPr="004D484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afin de financer les deux priorités de financement, « Renforcement des capacités pour la sauvegarde du patrimoine culturel immatériel et la contribution au développement durable » et « Sauvegarde du patrimoine culturel immatériel dans l’éducation formelle et non formelle », qui ont été approuvées pour la période 2018-2021 (</w:t>
      </w:r>
      <w:r w:rsidR="000A54C6" w:rsidRPr="000A54C6">
        <w:rPr>
          <w:rFonts w:asciiTheme="minorBidi" w:hAnsiTheme="minorBidi"/>
        </w:rPr>
        <w:t>Décision </w:t>
      </w:r>
      <w:hyperlink r:id="rId25" w:history="1">
        <w:r w:rsidR="000A54C6">
          <w:rPr>
            <w:rStyle w:val="Lienhypertexte"/>
            <w:rFonts w:asciiTheme="minorBidi" w:hAnsiTheme="minorBidi"/>
          </w:rPr>
          <w:t>12.COM 6</w:t>
        </w:r>
      </w:hyperlink>
      <w:r>
        <w:rPr>
          <w:rFonts w:asciiTheme="minorBidi" w:hAnsiTheme="minorBidi"/>
        </w:rPr>
        <w:t>), puis renouvelées à l’occasion de la seizième session du Comité (</w:t>
      </w:r>
      <w:r w:rsidRPr="00A7508B">
        <w:rPr>
          <w:rFonts w:asciiTheme="minorBidi" w:hAnsiTheme="minorBidi"/>
        </w:rPr>
        <w:t>Décision 16.COM 1</w:t>
      </w:r>
      <w:r w:rsidR="00E16846" w:rsidRPr="00A7508B">
        <w:rPr>
          <w:rFonts w:asciiTheme="minorBidi" w:hAnsiTheme="minorBidi"/>
        </w:rPr>
        <w:t>2</w:t>
      </w:r>
      <w:r>
        <w:rPr>
          <w:rFonts w:asciiTheme="minorBidi" w:hAnsiTheme="minorBidi"/>
        </w:rPr>
        <w:t xml:space="preserve">). Le </w:t>
      </w:r>
      <w:r w:rsidR="00EC48F0">
        <w:rPr>
          <w:rFonts w:asciiTheme="minorBidi" w:hAnsiTheme="minorBidi"/>
        </w:rPr>
        <w:t>sous-f</w:t>
      </w:r>
      <w:r>
        <w:rPr>
          <w:rFonts w:asciiTheme="minorBidi" w:hAnsiTheme="minorBidi"/>
        </w:rPr>
        <w:t>onds</w:t>
      </w:r>
      <w:r w:rsidR="00EC48F0">
        <w:rPr>
          <w:rFonts w:asciiTheme="minorBidi" w:hAnsiTheme="minorBidi"/>
        </w:rPr>
        <w:t xml:space="preserve"> du Fonds</w:t>
      </w:r>
      <w:r>
        <w:rPr>
          <w:rFonts w:asciiTheme="minorBidi" w:hAnsiTheme="minorBidi"/>
        </w:rPr>
        <w:t xml:space="preserve">, </w:t>
      </w:r>
      <w:r w:rsidR="00EC48F0">
        <w:rPr>
          <w:rFonts w:asciiTheme="minorBidi" w:hAnsiTheme="minorBidi"/>
        </w:rPr>
        <w:t>consacré</w:t>
      </w:r>
      <w:r>
        <w:rPr>
          <w:rFonts w:asciiTheme="minorBidi" w:hAnsiTheme="minorBidi"/>
        </w:rPr>
        <w:t xml:space="preserve"> exclusivement </w:t>
      </w:r>
      <w:r w:rsidR="00EC48F0">
        <w:rPr>
          <w:rFonts w:asciiTheme="minorBidi" w:hAnsiTheme="minorBidi"/>
        </w:rPr>
        <w:t>au renforcement</w:t>
      </w:r>
      <w:r>
        <w:rPr>
          <w:rFonts w:asciiTheme="minorBidi" w:hAnsiTheme="minorBidi"/>
        </w:rPr>
        <w:t xml:space="preserve"> des capacités humaines du Secrétariat, a également reçu des contributions à hauteur de 40 822,76</w:t>
      </w:r>
      <w:r w:rsidR="00245F5B">
        <w:rPr>
          <w:rFonts w:asciiTheme="minorBidi" w:hAnsiTheme="minorBidi"/>
        </w:rPr>
        <w:t xml:space="preserve"> </w:t>
      </w:r>
      <w:r w:rsidR="00245F5B" w:rsidRPr="004D4840">
        <w:rPr>
          <w:rFonts w:asciiTheme="minorBidi" w:hAnsiTheme="minorBidi"/>
        </w:rPr>
        <w:t>dollars des États-Unis</w:t>
      </w:r>
      <w:r w:rsidR="00D11CF4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de la part de la Lituanie, de Monaco, de la Palestine, de la Slovaquie et de la Fondazione Museo del Violino Antonio Stradivari (Italie). Le document </w:t>
      </w:r>
      <w:hyperlink r:id="rId26" w:history="1">
        <w:r w:rsidRPr="0055339B">
          <w:rPr>
            <w:rStyle w:val="Lienhypertexte"/>
            <w:rFonts w:asciiTheme="minorBidi" w:hAnsiTheme="minorBidi"/>
          </w:rPr>
          <w:t>LHE/21/16.COM/INF.1</w:t>
        </w:r>
        <w:r w:rsidR="003767D6" w:rsidRPr="0055339B">
          <w:rPr>
            <w:rStyle w:val="Lienhypertexte"/>
            <w:rFonts w:asciiTheme="minorBidi" w:hAnsiTheme="minorBidi"/>
          </w:rPr>
          <w:t>3</w:t>
        </w:r>
        <w:r w:rsidRPr="0055339B">
          <w:rPr>
            <w:rStyle w:val="Lienhypertexte"/>
            <w:rFonts w:asciiTheme="minorBidi" w:hAnsiTheme="minorBidi"/>
          </w:rPr>
          <w:t>.1</w:t>
        </w:r>
      </w:hyperlink>
      <w:r w:rsidRPr="0087017B">
        <w:rPr>
          <w:rFonts w:asciiTheme="minorBidi" w:hAnsiTheme="minorBidi"/>
        </w:rPr>
        <w:t xml:space="preserve"> prévoit, dans son </w:t>
      </w:r>
      <w:r w:rsidRPr="008C4CF6">
        <w:rPr>
          <w:rFonts w:asciiTheme="minorBidi" w:hAnsiTheme="minorBidi"/>
        </w:rPr>
        <w:t>annexe II</w:t>
      </w:r>
      <w:r w:rsidRPr="0087017B">
        <w:rPr>
          <w:rFonts w:asciiTheme="minorBidi" w:hAnsiTheme="minorBidi"/>
        </w:rPr>
        <w:t>, une liste de telles contributions pour la période du 1</w:t>
      </w:r>
      <w:r w:rsidRPr="0087017B">
        <w:rPr>
          <w:rFonts w:asciiTheme="minorBidi" w:hAnsiTheme="minorBidi"/>
          <w:vertAlign w:val="superscript"/>
        </w:rPr>
        <w:t>er</w:t>
      </w:r>
      <w:r w:rsidRPr="0087017B">
        <w:rPr>
          <w:rFonts w:asciiTheme="minorBidi" w:hAnsiTheme="minorBidi"/>
        </w:rPr>
        <w:t> janvier 2020 au 30 juin 2021, ainsi qu’un</w:t>
      </w:r>
      <w:r w:rsidR="007E5D5D">
        <w:rPr>
          <w:rFonts w:asciiTheme="minorBidi" w:hAnsiTheme="minorBidi"/>
        </w:rPr>
        <w:t xml:space="preserve"> état des recettes et </w:t>
      </w:r>
      <w:r w:rsidRPr="0087017B">
        <w:rPr>
          <w:rFonts w:asciiTheme="minorBidi" w:hAnsiTheme="minorBidi"/>
        </w:rPr>
        <w:t>de</w:t>
      </w:r>
      <w:r w:rsidR="007E5D5D">
        <w:rPr>
          <w:rFonts w:asciiTheme="minorBidi" w:hAnsiTheme="minorBidi"/>
        </w:rPr>
        <w:t xml:space="preserve">s </w:t>
      </w:r>
      <w:r w:rsidRPr="0087017B">
        <w:rPr>
          <w:rFonts w:asciiTheme="minorBidi" w:hAnsiTheme="minorBidi"/>
        </w:rPr>
        <w:t xml:space="preserve">dépenses en </w:t>
      </w:r>
      <w:r w:rsidRPr="008C4CF6">
        <w:rPr>
          <w:rFonts w:asciiTheme="minorBidi" w:hAnsiTheme="minorBidi"/>
        </w:rPr>
        <w:t>annexe I</w:t>
      </w:r>
      <w:r w:rsidRPr="0087017B">
        <w:rPr>
          <w:rFonts w:asciiTheme="minorBidi" w:hAnsiTheme="minorBidi"/>
        </w:rPr>
        <w:t>.</w:t>
      </w:r>
    </w:p>
    <w:p w14:paraId="737A97EB" w14:textId="7BA72E77" w:rsidR="00CA3AC4" w:rsidRPr="003C1CCC" w:rsidRDefault="00CA3AC4" w:rsidP="006E7D7B">
      <w:pPr>
        <w:keepNext/>
        <w:numPr>
          <w:ilvl w:val="0"/>
          <w:numId w:val="17"/>
        </w:numPr>
        <w:tabs>
          <w:tab w:val="clear" w:pos="720"/>
        </w:tabs>
        <w:spacing w:before="240" w:after="120"/>
        <w:ind w:left="562" w:hanging="56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Préparation des </w:t>
      </w:r>
      <w:r w:rsidR="000A54C6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irectives opérationnelles pour la mise en œuvre de la Convention</w:t>
      </w:r>
      <w:r>
        <w:rPr>
          <w:rFonts w:ascii="Arial" w:hAnsi="Arial"/>
          <w:sz w:val="22"/>
        </w:rPr>
        <w:t xml:space="preserve"> (article 7[e])</w:t>
      </w:r>
    </w:p>
    <w:p w14:paraId="412318CB" w14:textId="5E5DF6D7" w:rsidR="00CA3AC4" w:rsidRPr="003C1CCC" w:rsidRDefault="00953C94" w:rsidP="00C953BA">
      <w:pPr>
        <w:pStyle w:val="Marge"/>
        <w:numPr>
          <w:ilvl w:val="0"/>
          <w:numId w:val="41"/>
        </w:numPr>
        <w:tabs>
          <w:tab w:val="clear" w:pos="567"/>
        </w:tabs>
        <w:spacing w:after="120"/>
        <w:ind w:left="567" w:hanging="567"/>
        <w:rPr>
          <w:rFonts w:eastAsia="Arial" w:cs="Arial"/>
          <w:i/>
          <w:szCs w:val="22"/>
        </w:rPr>
      </w:pPr>
      <w:r>
        <w:t>[</w:t>
      </w:r>
      <w:r w:rsidR="00CA3AC4">
        <w:t xml:space="preserve">Pendant la période </w:t>
      </w:r>
      <w:r w:rsidR="00F1442C">
        <w:t>considérée</w:t>
      </w:r>
      <w:r w:rsidR="00CA3AC4">
        <w:t xml:space="preserve">, le Comité a examiné les recommandations du groupe de travail intergouvernemental </w:t>
      </w:r>
      <w:r w:rsidR="00457A8C">
        <w:t xml:space="preserve">à composition non limitée </w:t>
      </w:r>
      <w:r w:rsidR="00CA3AC4">
        <w:t>dans le cadre de la réflexion globale susmentionnée, et a recommandé à l’Assemblée générale d’approuver</w:t>
      </w:r>
      <w:r w:rsidR="00457A8C">
        <w:t xml:space="preserve"> les amendements </w:t>
      </w:r>
      <w:r w:rsidR="00CA3AC4">
        <w:t xml:space="preserve">  aux </w:t>
      </w:r>
      <w:r w:rsidR="000A54C6">
        <w:t>d</w:t>
      </w:r>
      <w:r w:rsidR="00CA3AC4">
        <w:t>irectives opérationnelles concernant les mécanismes d’inscription sur les listes de la Convention (</w:t>
      </w:r>
      <w:r w:rsidR="00CA3AC4" w:rsidRPr="00A7508B">
        <w:t>Décision 16.COM 14</w:t>
      </w:r>
      <w:r w:rsidR="00CA3AC4">
        <w:t>).</w:t>
      </w:r>
      <w:r>
        <w:t>]</w:t>
      </w:r>
    </w:p>
    <w:p w14:paraId="23D3453C" w14:textId="25EA1A39" w:rsidR="00CA3AC4" w:rsidRPr="003C1CCC" w:rsidRDefault="00457A8C" w:rsidP="006E7D7B">
      <w:pPr>
        <w:keepNext/>
        <w:numPr>
          <w:ilvl w:val="0"/>
          <w:numId w:val="17"/>
        </w:numPr>
        <w:tabs>
          <w:tab w:val="clear" w:pos="720"/>
          <w:tab w:val="num" w:pos="567"/>
        </w:tabs>
        <w:spacing w:before="240" w:after="120"/>
        <w:ind w:left="562" w:hanging="562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Examen</w:t>
      </w:r>
      <w:r w:rsidR="00CA3AC4">
        <w:rPr>
          <w:rFonts w:ascii="Arial" w:hAnsi="Arial"/>
          <w:b/>
          <w:sz w:val="22"/>
        </w:rPr>
        <w:t xml:space="preserve"> des rapports périodiques</w:t>
      </w:r>
      <w:r w:rsidR="00CA3AC4">
        <w:rPr>
          <w:rFonts w:ascii="Arial" w:hAnsi="Arial"/>
          <w:sz w:val="22"/>
        </w:rPr>
        <w:t xml:space="preserve"> (article 7[f])</w:t>
      </w:r>
    </w:p>
    <w:p w14:paraId="3B87ABC9" w14:textId="65D800FF" w:rsidR="00204FE5" w:rsidRPr="003C1CCC" w:rsidRDefault="00C27655" w:rsidP="00C953BA">
      <w:pPr>
        <w:pStyle w:val="Marge"/>
        <w:numPr>
          <w:ilvl w:val="0"/>
          <w:numId w:val="41"/>
        </w:numPr>
        <w:tabs>
          <w:tab w:val="clear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/>
        </w:rPr>
        <w:t>Le Comité a examiné vingt-sept rapports sur l</w:t>
      </w:r>
      <w:r w:rsidR="007C3118">
        <w:rPr>
          <w:rFonts w:asciiTheme="minorBidi" w:hAnsiTheme="minorBidi"/>
        </w:rPr>
        <w:t>’état</w:t>
      </w:r>
      <w:r>
        <w:rPr>
          <w:rFonts w:asciiTheme="minorBidi" w:hAnsiTheme="minorBidi"/>
        </w:rPr>
        <w:t xml:space="preserve"> des éléments inscrits sur la Liste de sauvegarde urgente</w:t>
      </w:r>
      <w:r w:rsidR="007C3118">
        <w:rPr>
          <w:rFonts w:asciiTheme="minorBidi" w:hAnsiTheme="minorBidi"/>
        </w:rPr>
        <w:t xml:space="preserve"> – </w:t>
      </w:r>
      <w:r>
        <w:rPr>
          <w:rFonts w:asciiTheme="minorBidi" w:hAnsiTheme="minorBidi"/>
        </w:rPr>
        <w:t xml:space="preserve">neuf lors de </w:t>
      </w:r>
      <w:r w:rsidR="007C3118">
        <w:rPr>
          <w:rFonts w:asciiTheme="minorBidi" w:hAnsiTheme="minorBidi"/>
        </w:rPr>
        <w:t>s</w:t>
      </w:r>
      <w:r>
        <w:rPr>
          <w:rFonts w:asciiTheme="minorBidi" w:hAnsiTheme="minorBidi"/>
        </w:rPr>
        <w:t xml:space="preserve">a quinzième session en 2020 et dix-huit lors de </w:t>
      </w:r>
      <w:r w:rsidR="007C3118">
        <w:rPr>
          <w:rFonts w:asciiTheme="minorBidi" w:hAnsiTheme="minorBidi"/>
        </w:rPr>
        <w:t>s</w:t>
      </w:r>
      <w:r>
        <w:rPr>
          <w:rFonts w:asciiTheme="minorBidi" w:hAnsiTheme="minorBidi"/>
        </w:rPr>
        <w:t>a</w:t>
      </w:r>
      <w:r w:rsidR="007C3118">
        <w:rPr>
          <w:rFonts w:asciiTheme="minorBidi" w:hAnsiTheme="minorBidi"/>
        </w:rPr>
        <w:t xml:space="preserve"> seizième</w:t>
      </w:r>
      <w:r>
        <w:rPr>
          <w:rFonts w:asciiTheme="minorBidi" w:hAnsiTheme="minorBidi"/>
        </w:rPr>
        <w:t xml:space="preserve"> session </w:t>
      </w:r>
      <w:r w:rsidR="00F77901">
        <w:rPr>
          <w:rFonts w:asciiTheme="minorBidi" w:hAnsiTheme="minorBidi"/>
        </w:rPr>
        <w:t>en</w:t>
      </w:r>
      <w:r>
        <w:rPr>
          <w:rFonts w:asciiTheme="minorBidi" w:hAnsiTheme="minorBidi"/>
        </w:rPr>
        <w:t xml:space="preserve"> 2021. Lors d</w:t>
      </w:r>
      <w:r w:rsidR="00F77901">
        <w:rPr>
          <w:rFonts w:asciiTheme="minorBidi" w:hAnsiTheme="minorBidi"/>
        </w:rPr>
        <w:t>e l’examen</w:t>
      </w:r>
      <w:r>
        <w:rPr>
          <w:rFonts w:asciiTheme="minorBidi" w:hAnsiTheme="minorBidi"/>
        </w:rPr>
        <w:t xml:space="preserve"> de ces rapports, le Comité a reconnu la meilleure vi</w:t>
      </w:r>
      <w:r w:rsidR="00F77901">
        <w:rPr>
          <w:rFonts w:asciiTheme="minorBidi" w:hAnsiTheme="minorBidi"/>
        </w:rPr>
        <w:t>abilité</w:t>
      </w:r>
      <w:r>
        <w:rPr>
          <w:rFonts w:asciiTheme="minorBidi" w:hAnsiTheme="minorBidi"/>
        </w:rPr>
        <w:t xml:space="preserve"> de certains éléments inscrits, dont </w:t>
      </w:r>
      <w:r w:rsidR="00F77901">
        <w:rPr>
          <w:rFonts w:asciiTheme="minorBidi" w:hAnsiTheme="minorBidi"/>
        </w:rPr>
        <w:t>il a été signalé qu’ils ne nécessitaient plus de sauvegarde urgente</w:t>
      </w:r>
      <w:r>
        <w:rPr>
          <w:rFonts w:asciiTheme="minorBidi" w:hAnsiTheme="minorBidi"/>
        </w:rPr>
        <w:t>, et a pris note des États parties ayant exprimé leur souhait de transférer des éléments de la Liste de sauvegarde urgente à la Liste représentative (</w:t>
      </w:r>
      <w:r w:rsidR="000A54C6" w:rsidRPr="000A54C6">
        <w:rPr>
          <w:rFonts w:asciiTheme="minorBidi" w:hAnsiTheme="minorBidi"/>
        </w:rPr>
        <w:t>Décision </w:t>
      </w:r>
      <w:hyperlink r:id="rId27" w:history="1">
        <w:r w:rsidR="000A54C6">
          <w:rPr>
            <w:rStyle w:val="Lienhypertexte"/>
            <w:rFonts w:asciiTheme="minorBidi" w:hAnsiTheme="minorBidi"/>
          </w:rPr>
          <w:t>15.COM 7</w:t>
        </w:r>
      </w:hyperlink>
      <w:r>
        <w:rPr>
          <w:rFonts w:asciiTheme="minorBidi" w:hAnsiTheme="minorBidi"/>
        </w:rPr>
        <w:t xml:space="preserve"> </w:t>
      </w:r>
      <w:r w:rsidRPr="00A7508B">
        <w:rPr>
          <w:rFonts w:asciiTheme="minorBidi" w:hAnsiTheme="minorBidi"/>
        </w:rPr>
        <w:t>et Décision 16.COM 7.a</w:t>
      </w:r>
      <w:r>
        <w:rPr>
          <w:rFonts w:asciiTheme="minorBidi" w:hAnsiTheme="minorBidi"/>
        </w:rPr>
        <w:t>).</w:t>
      </w:r>
    </w:p>
    <w:p w14:paraId="4D98CFB2" w14:textId="5FF714C3" w:rsidR="00BB5288" w:rsidRPr="0049046F" w:rsidRDefault="00BB5288" w:rsidP="00C953BA">
      <w:pPr>
        <w:pStyle w:val="Marge"/>
        <w:numPr>
          <w:ilvl w:val="0"/>
          <w:numId w:val="41"/>
        </w:numPr>
        <w:tabs>
          <w:tab w:val="clear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/>
        </w:rPr>
        <w:t xml:space="preserve">Avec le lancement en 2020 du nouveau système de rapport périodique </w:t>
      </w:r>
      <w:r w:rsidR="001D40B8">
        <w:rPr>
          <w:rFonts w:asciiTheme="minorBidi" w:hAnsiTheme="minorBidi"/>
        </w:rPr>
        <w:t>sur</w:t>
      </w:r>
      <w:r>
        <w:rPr>
          <w:rFonts w:asciiTheme="minorBidi" w:hAnsiTheme="minorBidi"/>
        </w:rPr>
        <w:t xml:space="preserve"> la mise en œuvre de la Convention et </w:t>
      </w:r>
      <w:r w:rsidR="001D40B8">
        <w:rPr>
          <w:rFonts w:asciiTheme="minorBidi" w:hAnsiTheme="minorBidi"/>
        </w:rPr>
        <w:t>sur les</w:t>
      </w:r>
      <w:r>
        <w:rPr>
          <w:rFonts w:asciiTheme="minorBidi" w:hAnsiTheme="minorBidi"/>
        </w:rPr>
        <w:t xml:space="preserve"> éléments inscrits sur la Liste représentative du patrimoine culturel immatériel de l’humanité, qui est devenu un système de rapport à rotation régionale tous les six ans, le Comité a examiné, lors de sa seizième session</w:t>
      </w:r>
      <w:r w:rsidRPr="0049046F">
        <w:rPr>
          <w:rFonts w:asciiTheme="minorBidi" w:hAnsiTheme="minorBidi"/>
        </w:rPr>
        <w:t xml:space="preserve">, </w:t>
      </w:r>
      <w:r w:rsidRPr="008C4CF6">
        <w:rPr>
          <w:rFonts w:asciiTheme="minorBidi" w:hAnsiTheme="minorBidi"/>
        </w:rPr>
        <w:t>vingt-huit</w:t>
      </w:r>
      <w:r>
        <w:rPr>
          <w:rFonts w:asciiTheme="minorBidi" w:hAnsiTheme="minorBidi"/>
        </w:rPr>
        <w:t xml:space="preserve"> rapports soumis par les États parties de</w:t>
      </w:r>
      <w:r w:rsidR="00414037">
        <w:rPr>
          <w:rFonts w:asciiTheme="minorBidi" w:hAnsiTheme="minorBidi"/>
        </w:rPr>
        <w:t xml:space="preserve"> la</w:t>
      </w:r>
      <w:r>
        <w:rPr>
          <w:rFonts w:asciiTheme="minorBidi" w:hAnsiTheme="minorBidi"/>
        </w:rPr>
        <w:t xml:space="preserve"> région Amérique latine et Caraïbes, </w:t>
      </w:r>
      <w:r w:rsidR="00F6250D">
        <w:rPr>
          <w:rFonts w:asciiTheme="minorBidi" w:hAnsiTheme="minorBidi"/>
        </w:rPr>
        <w:t xml:space="preserve">en tant que </w:t>
      </w:r>
      <w:r>
        <w:rPr>
          <w:rFonts w:asciiTheme="minorBidi" w:hAnsiTheme="minorBidi"/>
        </w:rPr>
        <w:t>premier cycle de rapport régional (</w:t>
      </w:r>
      <w:r w:rsidRPr="00A7508B">
        <w:rPr>
          <w:rFonts w:asciiTheme="minorBidi" w:hAnsiTheme="minorBidi"/>
        </w:rPr>
        <w:t>Décision 16.COM 7.b</w:t>
      </w:r>
      <w:r>
        <w:rPr>
          <w:rFonts w:asciiTheme="minorBidi" w:hAnsiTheme="minorBidi"/>
        </w:rPr>
        <w:t xml:space="preserve">). </w:t>
      </w:r>
      <w:r w:rsidR="00F6250D">
        <w:rPr>
          <w:rFonts w:asciiTheme="minorBidi" w:hAnsiTheme="minorBidi"/>
        </w:rPr>
        <w:t>Cela représente le taux de soumission le plus élevé jamais enregistré, soit</w:t>
      </w:r>
      <w:r w:rsidR="00F6250D">
        <w:rPr>
          <w:rFonts w:asciiTheme="minorBidi" w:hAnsiTheme="minorBidi" w:cstheme="minorBidi"/>
          <w:szCs w:val="22"/>
        </w:rPr>
        <w:t xml:space="preserve"> </w:t>
      </w:r>
      <w:r w:rsidRPr="008C4CF6">
        <w:rPr>
          <w:rFonts w:asciiTheme="minorBidi" w:hAnsiTheme="minorBidi"/>
        </w:rPr>
        <w:t>88 pour cent</w:t>
      </w:r>
      <w:r w:rsidR="00F6250D" w:rsidRPr="008C4CF6">
        <w:rPr>
          <w:rFonts w:asciiTheme="minorBidi" w:hAnsiTheme="minorBidi"/>
        </w:rPr>
        <w:t xml:space="preserve"> des rapports attendus</w:t>
      </w:r>
      <w:r w:rsidRPr="008C4CF6">
        <w:rPr>
          <w:rFonts w:asciiTheme="minorBidi" w:hAnsiTheme="minorBidi"/>
        </w:rPr>
        <w:t xml:space="preserve"> (vingt-huit rapports</w:t>
      </w:r>
      <w:r w:rsidRPr="0049046F">
        <w:rPr>
          <w:rFonts w:asciiTheme="minorBidi" w:hAnsiTheme="minorBidi"/>
        </w:rPr>
        <w:t xml:space="preserve"> soumis sur un total de </w:t>
      </w:r>
      <w:r w:rsidR="006A1E89">
        <w:rPr>
          <w:rFonts w:asciiTheme="minorBidi" w:hAnsiTheme="minorBidi"/>
        </w:rPr>
        <w:t>trente-deux</w:t>
      </w:r>
      <w:r w:rsidRPr="00F6250D">
        <w:rPr>
          <w:rFonts w:asciiTheme="minorBidi" w:hAnsiTheme="minorBidi"/>
        </w:rPr>
        <w:t xml:space="preserve"> attendu</w:t>
      </w:r>
      <w:r w:rsidR="006A1E89">
        <w:rPr>
          <w:rFonts w:asciiTheme="minorBidi" w:hAnsiTheme="minorBidi"/>
        </w:rPr>
        <w:t>s</w:t>
      </w:r>
      <w:r w:rsidRPr="0049046F">
        <w:rPr>
          <w:rFonts w:asciiTheme="minorBidi" w:hAnsiTheme="minorBidi"/>
        </w:rPr>
        <w:t xml:space="preserve">), pour lequel le Comité a </w:t>
      </w:r>
      <w:r w:rsidR="006A1E89">
        <w:rPr>
          <w:rFonts w:asciiTheme="minorBidi" w:hAnsiTheme="minorBidi"/>
        </w:rPr>
        <w:t>reconnu</w:t>
      </w:r>
      <w:r w:rsidRPr="00F6250D">
        <w:rPr>
          <w:rFonts w:asciiTheme="minorBidi" w:hAnsiTheme="minorBidi"/>
        </w:rPr>
        <w:t xml:space="preserve"> des progrès remarquables par rapport aux derniers cycles de rapport (l</w:t>
      </w:r>
      <w:r w:rsidR="006A1E89">
        <w:rPr>
          <w:rFonts w:asciiTheme="minorBidi" w:hAnsiTheme="minorBidi"/>
        </w:rPr>
        <w:t>e</w:t>
      </w:r>
      <w:r w:rsidRPr="00F6250D">
        <w:rPr>
          <w:rFonts w:asciiTheme="minorBidi" w:hAnsiTheme="minorBidi"/>
        </w:rPr>
        <w:t xml:space="preserve"> taux de </w:t>
      </w:r>
      <w:r w:rsidR="006A1E89">
        <w:rPr>
          <w:rFonts w:asciiTheme="minorBidi" w:hAnsiTheme="minorBidi"/>
        </w:rPr>
        <w:t xml:space="preserve">soumission de rapports le plus bas </w:t>
      </w:r>
      <w:r w:rsidRPr="00F6250D">
        <w:rPr>
          <w:rFonts w:asciiTheme="minorBidi" w:hAnsiTheme="minorBidi"/>
        </w:rPr>
        <w:t xml:space="preserve">était de 16 pour cent </w:t>
      </w:r>
      <w:r w:rsidR="006A1E89">
        <w:rPr>
          <w:rFonts w:asciiTheme="minorBidi" w:hAnsiTheme="minorBidi"/>
        </w:rPr>
        <w:t>pour</w:t>
      </w:r>
      <w:r w:rsidRPr="00F6250D">
        <w:rPr>
          <w:rFonts w:asciiTheme="minorBidi" w:hAnsiTheme="minorBidi"/>
        </w:rPr>
        <w:t xml:space="preserve"> le cycle </w:t>
      </w:r>
      <w:r w:rsidRPr="0049046F">
        <w:rPr>
          <w:rFonts w:asciiTheme="minorBidi" w:hAnsiTheme="minorBidi"/>
        </w:rPr>
        <w:t>2016).</w:t>
      </w:r>
      <w:r w:rsidR="006A1E89">
        <w:rPr>
          <w:rFonts w:asciiTheme="minorBidi" w:hAnsiTheme="minorBidi"/>
        </w:rPr>
        <w:t xml:space="preserve"> Ce progrès remarquable dans le premier cycle du système</w:t>
      </w:r>
      <w:r w:rsidR="00C75EC8">
        <w:rPr>
          <w:rFonts w:asciiTheme="minorBidi" w:hAnsiTheme="minorBidi"/>
        </w:rPr>
        <w:t xml:space="preserve"> </w:t>
      </w:r>
      <w:r w:rsidR="006A1E89">
        <w:rPr>
          <w:rFonts w:asciiTheme="minorBidi" w:hAnsiTheme="minorBidi"/>
        </w:rPr>
        <w:t>régional</w:t>
      </w:r>
      <w:r w:rsidR="00C75EC8">
        <w:rPr>
          <w:rFonts w:asciiTheme="minorBidi" w:hAnsiTheme="minorBidi"/>
        </w:rPr>
        <w:t xml:space="preserve"> de rapport</w:t>
      </w:r>
      <w:r w:rsidR="006A1E89">
        <w:rPr>
          <w:rFonts w:asciiTheme="minorBidi" w:hAnsiTheme="minorBidi"/>
        </w:rPr>
        <w:t xml:space="preserve"> témoigne du succès de la réforme, qui a </w:t>
      </w:r>
      <w:r w:rsidR="00C75EC8">
        <w:rPr>
          <w:rFonts w:asciiTheme="minorBidi" w:hAnsiTheme="minorBidi"/>
        </w:rPr>
        <w:t xml:space="preserve">également </w:t>
      </w:r>
      <w:r w:rsidR="006A1E89">
        <w:rPr>
          <w:rFonts w:asciiTheme="minorBidi" w:hAnsiTheme="minorBidi"/>
        </w:rPr>
        <w:t>aligné l’exercice de</w:t>
      </w:r>
      <w:r w:rsidR="00C75EC8">
        <w:rPr>
          <w:rFonts w:asciiTheme="minorBidi" w:hAnsiTheme="minorBidi"/>
        </w:rPr>
        <w:t xml:space="preserve"> soumission des</w:t>
      </w:r>
      <w:r w:rsidR="006A1E89">
        <w:rPr>
          <w:rFonts w:asciiTheme="minorBidi" w:hAnsiTheme="minorBidi"/>
        </w:rPr>
        <w:t xml:space="preserve"> rapport</w:t>
      </w:r>
      <w:r w:rsidR="00C75EC8">
        <w:rPr>
          <w:rFonts w:asciiTheme="minorBidi" w:hAnsiTheme="minorBidi"/>
        </w:rPr>
        <w:t>s</w:t>
      </w:r>
      <w:r w:rsidR="006A1E89">
        <w:rPr>
          <w:rFonts w:asciiTheme="minorBidi" w:hAnsiTheme="minorBidi"/>
        </w:rPr>
        <w:t xml:space="preserve"> au Cadre </w:t>
      </w:r>
      <w:r w:rsidR="00C75EC8">
        <w:rPr>
          <w:rFonts w:asciiTheme="minorBidi" w:hAnsiTheme="minorBidi"/>
        </w:rPr>
        <w:t>global des résultats, afin d’encourager un</w:t>
      </w:r>
      <w:r w:rsidR="007149BB">
        <w:rPr>
          <w:rFonts w:asciiTheme="minorBidi" w:hAnsiTheme="minorBidi"/>
        </w:rPr>
        <w:t xml:space="preserve"> processus de rapport axé</w:t>
      </w:r>
      <w:r w:rsidR="00C75EC8">
        <w:rPr>
          <w:rFonts w:asciiTheme="minorBidi" w:hAnsiTheme="minorBidi"/>
        </w:rPr>
        <w:t xml:space="preserve"> </w:t>
      </w:r>
      <w:r w:rsidR="007149BB">
        <w:rPr>
          <w:rFonts w:asciiTheme="minorBidi" w:hAnsiTheme="minorBidi"/>
        </w:rPr>
        <w:t>sur les résultats, mais aussi de développer et mettre en œuvre une approche de renforcement des</w:t>
      </w:r>
      <w:r w:rsidR="00BA5635">
        <w:rPr>
          <w:rFonts w:asciiTheme="minorBidi" w:hAnsiTheme="minorBidi"/>
        </w:rPr>
        <w:t xml:space="preserve"> </w:t>
      </w:r>
      <w:r w:rsidR="007149BB">
        <w:rPr>
          <w:rFonts w:asciiTheme="minorBidi" w:hAnsiTheme="minorBidi"/>
        </w:rPr>
        <w:t xml:space="preserve">capacités pour accompagner les États dans la préparation de leurs rapports. </w:t>
      </w:r>
    </w:p>
    <w:p w14:paraId="42584ED9" w14:textId="24E45675" w:rsidR="00CA3AC4" w:rsidRPr="003C1CCC" w:rsidRDefault="00CA3AC4" w:rsidP="006E7D7B">
      <w:pPr>
        <w:keepNext/>
        <w:numPr>
          <w:ilvl w:val="0"/>
          <w:numId w:val="17"/>
        </w:numPr>
        <w:tabs>
          <w:tab w:val="clear" w:pos="720"/>
        </w:tabs>
        <w:spacing w:before="240" w:after="120"/>
        <w:ind w:left="562" w:hanging="56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Inscriptions sur les listes de la Convention, sélection des bonnes pratiques de sauvegarde et</w:t>
      </w:r>
      <w:r w:rsidR="00C923E5">
        <w:rPr>
          <w:rFonts w:ascii="Arial" w:hAnsi="Arial"/>
          <w:b/>
          <w:sz w:val="22"/>
        </w:rPr>
        <w:t xml:space="preserve"> octroi de l’assistance</w:t>
      </w:r>
      <w:r>
        <w:rPr>
          <w:rFonts w:ascii="Arial" w:hAnsi="Arial"/>
          <w:b/>
          <w:sz w:val="22"/>
        </w:rPr>
        <w:t xml:space="preserve"> internationale</w:t>
      </w:r>
      <w:r>
        <w:rPr>
          <w:rFonts w:ascii="Arial" w:hAnsi="Arial"/>
          <w:sz w:val="22"/>
        </w:rPr>
        <w:t xml:space="preserve"> (article 7[g])</w:t>
      </w:r>
    </w:p>
    <w:p w14:paraId="0EB81439" w14:textId="1EC6FCA2" w:rsidR="00814BE5" w:rsidRPr="003C1CCC" w:rsidRDefault="001D7317" w:rsidP="00C953BA">
      <w:pPr>
        <w:pStyle w:val="Marge"/>
        <w:numPr>
          <w:ilvl w:val="0"/>
          <w:numId w:val="41"/>
        </w:numPr>
        <w:tabs>
          <w:tab w:val="clear" w:pos="567"/>
        </w:tabs>
        <w:spacing w:after="120"/>
        <w:ind w:left="567" w:hanging="567"/>
        <w:rPr>
          <w:rFonts w:asciiTheme="minorBidi" w:hAnsiTheme="minorBidi"/>
          <w:szCs w:val="22"/>
        </w:rPr>
      </w:pPr>
      <w:r>
        <w:rPr>
          <w:rFonts w:asciiTheme="minorBidi" w:hAnsiTheme="minorBidi"/>
        </w:rPr>
        <w:t xml:space="preserve">Le </w:t>
      </w:r>
      <w:r w:rsidRPr="008D3A5E">
        <w:rPr>
          <w:rFonts w:asciiTheme="minorBidi" w:hAnsiTheme="minorBidi"/>
        </w:rPr>
        <w:t xml:space="preserve">Comité a examiné </w:t>
      </w:r>
      <w:r w:rsidR="00953C94">
        <w:rPr>
          <w:rFonts w:asciiTheme="minorBidi" w:hAnsiTheme="minorBidi"/>
        </w:rPr>
        <w:t>93</w:t>
      </w:r>
      <w:r w:rsidR="00953C94" w:rsidRPr="008D3A5E">
        <w:rPr>
          <w:rFonts w:asciiTheme="minorBidi" w:hAnsiTheme="minorBidi"/>
        </w:rPr>
        <w:t> </w:t>
      </w:r>
      <w:r w:rsidRPr="008D3A5E">
        <w:rPr>
          <w:rFonts w:asciiTheme="minorBidi" w:hAnsiTheme="minorBidi"/>
        </w:rPr>
        <w:t xml:space="preserve">dossiers et inscrit un total de </w:t>
      </w:r>
      <w:r w:rsidR="00953C94">
        <w:rPr>
          <w:rFonts w:asciiTheme="minorBidi" w:hAnsiTheme="minorBidi"/>
        </w:rPr>
        <w:t>soixante-quatorze</w:t>
      </w:r>
      <w:r w:rsidRPr="008D3A5E">
        <w:rPr>
          <w:rFonts w:asciiTheme="minorBidi" w:hAnsiTheme="minorBidi"/>
        </w:rPr>
        <w:t xml:space="preserve"> éléments sur les listes de la Convention : </w:t>
      </w:r>
      <w:r w:rsidR="00953C94">
        <w:rPr>
          <w:rFonts w:asciiTheme="minorBidi" w:hAnsiTheme="minorBidi"/>
        </w:rPr>
        <w:t>sept</w:t>
      </w:r>
      <w:r w:rsidR="00953C94" w:rsidRPr="008D3A5E">
        <w:rPr>
          <w:rFonts w:asciiTheme="minorBidi" w:hAnsiTheme="minorBidi"/>
        </w:rPr>
        <w:t xml:space="preserve"> </w:t>
      </w:r>
      <w:r w:rsidRPr="008D3A5E">
        <w:rPr>
          <w:rFonts w:asciiTheme="minorBidi" w:hAnsiTheme="minorBidi"/>
        </w:rPr>
        <w:t xml:space="preserve">sur la Liste de sauvegarde urgente et </w:t>
      </w:r>
      <w:r w:rsidR="00936052">
        <w:rPr>
          <w:rFonts w:asciiTheme="minorBidi" w:hAnsiTheme="minorBidi"/>
        </w:rPr>
        <w:t>soixante-sept</w:t>
      </w:r>
      <w:r w:rsidRPr="008D3A5E">
        <w:rPr>
          <w:rFonts w:asciiTheme="minorBidi" w:hAnsiTheme="minorBidi"/>
        </w:rPr>
        <w:t xml:space="preserve"> sur la Liste représentative. </w:t>
      </w:r>
      <w:r w:rsidR="00953C94">
        <w:rPr>
          <w:rFonts w:asciiTheme="minorBidi" w:hAnsiTheme="minorBidi"/>
        </w:rPr>
        <w:t>E</w:t>
      </w:r>
      <w:r w:rsidRPr="008D3A5E">
        <w:rPr>
          <w:rFonts w:asciiTheme="minorBidi" w:hAnsiTheme="minorBidi"/>
        </w:rPr>
        <w:t>n outre</w:t>
      </w:r>
      <w:r w:rsidR="00953C94">
        <w:rPr>
          <w:rFonts w:asciiTheme="minorBidi" w:hAnsiTheme="minorBidi"/>
        </w:rPr>
        <w:t>, il a</w:t>
      </w:r>
      <w:r w:rsidRPr="008D3A5E">
        <w:rPr>
          <w:rFonts w:asciiTheme="minorBidi" w:hAnsiTheme="minorBidi"/>
        </w:rPr>
        <w:t xml:space="preserve"> sélectionné </w:t>
      </w:r>
      <w:r w:rsidR="00953C94">
        <w:rPr>
          <w:rFonts w:asciiTheme="minorBidi" w:hAnsiTheme="minorBidi"/>
        </w:rPr>
        <w:t>sept</w:t>
      </w:r>
      <w:r w:rsidR="00953C94" w:rsidRPr="008D3A5E">
        <w:rPr>
          <w:rFonts w:asciiTheme="minorBidi" w:hAnsiTheme="minorBidi"/>
        </w:rPr>
        <w:t xml:space="preserve"> </w:t>
      </w:r>
      <w:r w:rsidRPr="008D3A5E">
        <w:rPr>
          <w:rFonts w:asciiTheme="minorBidi" w:hAnsiTheme="minorBidi"/>
        </w:rPr>
        <w:t xml:space="preserve">bonnes pratiques de sauvegarde. </w:t>
      </w:r>
      <w:r w:rsidR="00953C94">
        <w:rPr>
          <w:rFonts w:asciiTheme="minorBidi" w:hAnsiTheme="minorBidi" w:cstheme="minorBidi"/>
        </w:rPr>
        <w:t>Á</w:t>
      </w:r>
      <w:r w:rsidR="00953C94">
        <w:rPr>
          <w:rFonts w:asciiTheme="minorBidi" w:hAnsiTheme="minorBidi"/>
        </w:rPr>
        <w:t xml:space="preserve"> sa seizième session, le Comité a également décidé d’inscrire</w:t>
      </w:r>
      <w:r w:rsidR="00673720">
        <w:rPr>
          <w:rFonts w:asciiTheme="minorBidi" w:hAnsiTheme="minorBidi"/>
        </w:rPr>
        <w:t xml:space="preserve"> la</w:t>
      </w:r>
      <w:r w:rsidR="00953C94">
        <w:rPr>
          <w:rFonts w:asciiTheme="minorBidi" w:hAnsiTheme="minorBidi"/>
        </w:rPr>
        <w:t xml:space="preserve"> « </w:t>
      </w:r>
      <w:r w:rsidR="00673720">
        <w:rPr>
          <w:rFonts w:asciiTheme="minorBidi" w:hAnsiTheme="minorBidi"/>
        </w:rPr>
        <w:t>S</w:t>
      </w:r>
      <w:r w:rsidR="00953C94">
        <w:rPr>
          <w:rFonts w:asciiTheme="minorBidi" w:hAnsiTheme="minorBidi"/>
        </w:rPr>
        <w:t xml:space="preserve">oupe au giraumon », </w:t>
      </w:r>
      <w:r w:rsidR="00673720">
        <w:rPr>
          <w:rFonts w:asciiTheme="minorBidi" w:hAnsiTheme="minorBidi"/>
        </w:rPr>
        <w:t>soumise par</w:t>
      </w:r>
      <w:r w:rsidR="00953C94">
        <w:rPr>
          <w:rFonts w:asciiTheme="minorBidi" w:hAnsiTheme="minorBidi"/>
        </w:rPr>
        <w:t xml:space="preserve"> Haïti, sur la Liste représentative. </w:t>
      </w:r>
      <w:r w:rsidRPr="008D3A5E">
        <w:rPr>
          <w:rFonts w:asciiTheme="minorBidi" w:hAnsiTheme="minorBidi"/>
        </w:rPr>
        <w:t xml:space="preserve">Suite </w:t>
      </w:r>
      <w:r w:rsidR="00A81E2D" w:rsidRPr="008D3A5E">
        <w:rPr>
          <w:rFonts w:asciiTheme="minorBidi" w:hAnsiTheme="minorBidi"/>
        </w:rPr>
        <w:t>aux amendements aux</w:t>
      </w:r>
      <w:r w:rsidRPr="008D3A5E">
        <w:rPr>
          <w:rFonts w:asciiTheme="minorBidi" w:hAnsiTheme="minorBidi"/>
        </w:rPr>
        <w:t xml:space="preserve"> </w:t>
      </w:r>
      <w:r w:rsidR="000A54C6">
        <w:rPr>
          <w:rFonts w:asciiTheme="minorBidi" w:hAnsiTheme="minorBidi"/>
        </w:rPr>
        <w:t>d</w:t>
      </w:r>
      <w:r w:rsidRPr="008D3A5E">
        <w:rPr>
          <w:rFonts w:asciiTheme="minorBidi" w:hAnsiTheme="minorBidi"/>
        </w:rPr>
        <w:t>irectives opérationnelles approuvée</w:t>
      </w:r>
      <w:r>
        <w:rPr>
          <w:rFonts w:asciiTheme="minorBidi" w:hAnsiTheme="minorBidi"/>
        </w:rPr>
        <w:t xml:space="preserve"> par le 8.GA afin d’inclure </w:t>
      </w:r>
      <w:r>
        <w:rPr>
          <w:rFonts w:asciiTheme="minorBidi" w:hAnsiTheme="minorBidi"/>
          <w:shd w:val="clear" w:color="auto" w:fill="FFFFFF"/>
        </w:rPr>
        <w:t xml:space="preserve">une procédure de dialogue intermédiaire dans le cycle de candidature, le Comité a examiné onze dossiers (cycle 2020) et quinze dossiers (cycle 2021), pour lesquels la procédure de dialogue </w:t>
      </w:r>
      <w:r w:rsidR="00A81E2D">
        <w:rPr>
          <w:rFonts w:asciiTheme="minorBidi" w:hAnsiTheme="minorBidi"/>
          <w:shd w:val="clear" w:color="auto" w:fill="FFFFFF"/>
        </w:rPr>
        <w:t>a été initié</w:t>
      </w:r>
      <w:r w:rsidR="00BA5635">
        <w:rPr>
          <w:rFonts w:asciiTheme="minorBidi" w:hAnsiTheme="minorBidi"/>
          <w:shd w:val="clear" w:color="auto" w:fill="FFFFFF"/>
        </w:rPr>
        <w:t>e</w:t>
      </w:r>
      <w:r>
        <w:rPr>
          <w:rFonts w:asciiTheme="minorBidi" w:hAnsiTheme="minorBidi"/>
          <w:shd w:val="clear" w:color="auto" w:fill="FFFFFF"/>
        </w:rPr>
        <w:t>.</w:t>
      </w:r>
    </w:p>
    <w:p w14:paraId="047EEA8F" w14:textId="504436E2" w:rsidR="00DD585A" w:rsidRPr="003C1CCC" w:rsidRDefault="00023EC2" w:rsidP="00C953BA">
      <w:pPr>
        <w:pStyle w:val="Marge"/>
        <w:numPr>
          <w:ilvl w:val="0"/>
          <w:numId w:val="41"/>
        </w:numPr>
        <w:tabs>
          <w:tab w:val="clear" w:pos="567"/>
        </w:tabs>
        <w:spacing w:after="120"/>
        <w:ind w:left="567" w:hanging="567"/>
        <w:rPr>
          <w:rFonts w:cs="Arial"/>
          <w:szCs w:val="22"/>
        </w:rPr>
      </w:pPr>
      <w:r>
        <w:t>Le Comité</w:t>
      </w:r>
      <w:r w:rsidR="00BA5635">
        <w:t xml:space="preserve"> (pour les demandes supérieures à 100 000</w:t>
      </w:r>
      <w:r w:rsidR="00BA5635" w:rsidRPr="00BA5635">
        <w:rPr>
          <w:rFonts w:asciiTheme="minorBidi" w:hAnsiTheme="minorBidi"/>
        </w:rPr>
        <w:t xml:space="preserve"> </w:t>
      </w:r>
      <w:r w:rsidR="00BA5635" w:rsidRPr="004D4840">
        <w:rPr>
          <w:rFonts w:asciiTheme="minorBidi" w:hAnsiTheme="minorBidi"/>
        </w:rPr>
        <w:t>dollars des États-Uni</w:t>
      </w:r>
      <w:r w:rsidR="00BA5635">
        <w:rPr>
          <w:rFonts w:asciiTheme="minorBidi" w:hAnsiTheme="minorBidi"/>
        </w:rPr>
        <w:t>s</w:t>
      </w:r>
      <w:r w:rsidR="00BA5635">
        <w:t>)</w:t>
      </w:r>
      <w:r>
        <w:t xml:space="preserve"> lors de ses </w:t>
      </w:r>
      <w:r>
        <w:rPr>
          <w:rFonts w:asciiTheme="minorBidi" w:hAnsiTheme="minorBidi"/>
        </w:rPr>
        <w:t>quinzième et seizième sessions</w:t>
      </w:r>
      <w:r>
        <w:t xml:space="preserve">, et le Bureau (pour les demandes </w:t>
      </w:r>
      <w:r w:rsidR="00BA5635">
        <w:t>jusqu’à</w:t>
      </w:r>
      <w:r>
        <w:t xml:space="preserve"> 100 000 </w:t>
      </w:r>
      <w:r w:rsidR="00BA5635" w:rsidRPr="004D4840">
        <w:rPr>
          <w:rFonts w:asciiTheme="minorBidi" w:hAnsiTheme="minorBidi"/>
        </w:rPr>
        <w:t>dollars des États-Uni</w:t>
      </w:r>
      <w:r w:rsidR="00BA5635">
        <w:rPr>
          <w:rFonts w:asciiTheme="minorBidi" w:hAnsiTheme="minorBidi"/>
        </w:rPr>
        <w:t>s</w:t>
      </w:r>
      <w:r w:rsidR="00BA5635">
        <w:t xml:space="preserve"> </w:t>
      </w:r>
      <w:r>
        <w:t xml:space="preserve">et les demandes d’urgence) ont approuvé un total </w:t>
      </w:r>
      <w:r w:rsidRPr="008D3A5E">
        <w:t xml:space="preserve">de </w:t>
      </w:r>
      <w:r w:rsidR="00936052">
        <w:t>quinze</w:t>
      </w:r>
      <w:r w:rsidR="00936052" w:rsidRPr="008D3A5E">
        <w:t xml:space="preserve"> </w:t>
      </w:r>
      <w:r w:rsidRPr="008D3A5E">
        <w:t xml:space="preserve">demandes </w:t>
      </w:r>
      <w:r w:rsidRPr="008D3A5E">
        <w:rPr>
          <w:rFonts w:asciiTheme="minorBidi" w:hAnsiTheme="minorBidi"/>
        </w:rPr>
        <w:t>d’</w:t>
      </w:r>
      <w:r w:rsidR="00BA5635" w:rsidRPr="008D3A5E">
        <w:rPr>
          <w:rFonts w:asciiTheme="minorBidi" w:hAnsiTheme="minorBidi"/>
        </w:rPr>
        <w:t xml:space="preserve">assistance </w:t>
      </w:r>
      <w:r w:rsidRPr="008D3A5E">
        <w:rPr>
          <w:rFonts w:asciiTheme="minorBidi" w:hAnsiTheme="minorBidi"/>
        </w:rPr>
        <w:t>internationale</w:t>
      </w:r>
      <w:r w:rsidRPr="008D3A5E">
        <w:t xml:space="preserve"> sur vingt-deux, pour un montant total de 1 </w:t>
      </w:r>
      <w:r w:rsidR="00936052">
        <w:t>659</w:t>
      </w:r>
      <w:r w:rsidR="00936052" w:rsidRPr="008D3A5E">
        <w:t> </w:t>
      </w:r>
      <w:r w:rsidR="00936052">
        <w:t>443</w:t>
      </w:r>
      <w:r w:rsidR="00936052" w:rsidRPr="008D3A5E">
        <w:t> </w:t>
      </w:r>
      <w:r w:rsidR="00BA5635" w:rsidRPr="008D3A5E">
        <w:t>dollars</w:t>
      </w:r>
      <w:r w:rsidR="00BA5635" w:rsidRPr="00BA5635">
        <w:t xml:space="preserve"> des États-Unis</w:t>
      </w:r>
      <w:r>
        <w:t xml:space="preserve">, </w:t>
      </w:r>
      <w:r w:rsidR="006E5D7A">
        <w:t xml:space="preserve">durant </w:t>
      </w:r>
      <w:r>
        <w:t xml:space="preserve">la période </w:t>
      </w:r>
      <w:r w:rsidR="006E5D7A">
        <w:t>considérée</w:t>
      </w:r>
      <w:r>
        <w:t xml:space="preserve"> (voir également le document </w:t>
      </w:r>
      <w:hyperlink r:id="rId28" w:history="1">
        <w:r w:rsidRPr="008D3A5E">
          <w:rPr>
            <w:rStyle w:val="Lienhypertexte"/>
          </w:rPr>
          <w:t>LHE/21/16.COM/7.d</w:t>
        </w:r>
      </w:hyperlink>
      <w:r>
        <w:t xml:space="preserve"> pour le rapport sur l’utilisation de l’a</w:t>
      </w:r>
      <w:r w:rsidR="006E5D7A">
        <w:t>ssistance</w:t>
      </w:r>
      <w:r>
        <w:t xml:space="preserve"> internationale par les États parties). Un total de </w:t>
      </w:r>
      <w:r w:rsidR="00953C94">
        <w:t xml:space="preserve">trente et un </w:t>
      </w:r>
      <w:r w:rsidRPr="008D3A5E">
        <w:t>pays</w:t>
      </w:r>
      <w:r>
        <w:t xml:space="preserve"> a reçu une</w:t>
      </w:r>
      <w:r w:rsidR="006E5D7A">
        <w:t xml:space="preserve"> assistance financière</w:t>
      </w:r>
      <w:r>
        <w:t xml:space="preserve"> du Fonds durant la période </w:t>
      </w:r>
      <w:r w:rsidR="006E5D7A">
        <w:t xml:space="preserve">considérée. </w:t>
      </w:r>
    </w:p>
    <w:sectPr w:rsidR="00DD585A" w:rsidRPr="003C1CCC" w:rsidSect="00655736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DDB51" w14:textId="77777777" w:rsidR="00A55B0D" w:rsidRDefault="00A55B0D" w:rsidP="00655736">
      <w:r>
        <w:separator/>
      </w:r>
    </w:p>
  </w:endnote>
  <w:endnote w:type="continuationSeparator" w:id="0">
    <w:p w14:paraId="00606607" w14:textId="77777777" w:rsidR="00A55B0D" w:rsidRDefault="00A55B0D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82186" w14:textId="77777777" w:rsidR="00A636C5" w:rsidRDefault="00A636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D7B3E" w14:textId="77777777" w:rsidR="00A636C5" w:rsidRDefault="00A636C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7D313" w14:textId="77777777" w:rsidR="00A636C5" w:rsidRDefault="00A636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ED438" w14:textId="77777777" w:rsidR="00A55B0D" w:rsidRDefault="00A55B0D" w:rsidP="00655736">
      <w:r>
        <w:separator/>
      </w:r>
    </w:p>
  </w:footnote>
  <w:footnote w:type="continuationSeparator" w:id="0">
    <w:p w14:paraId="7B7945BA" w14:textId="77777777" w:rsidR="00A55B0D" w:rsidRDefault="00A55B0D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A055" w14:textId="75751E76" w:rsidR="00510D2D" w:rsidRPr="00C23A97" w:rsidRDefault="00510D2D" w:rsidP="00C5776D">
    <w:pPr>
      <w:pStyle w:val="En-tte"/>
      <w:rPr>
        <w:rFonts w:ascii="Arial" w:hAnsi="Arial" w:cs="Arial"/>
      </w:rPr>
    </w:pPr>
    <w:r>
      <w:rPr>
        <w:rFonts w:ascii="Arial" w:hAnsi="Arial"/>
        <w:sz w:val="20"/>
      </w:rPr>
      <w:t>LHE/21/16.COM/</w:t>
    </w:r>
    <w:r w:rsidRPr="008C4CF6">
      <w:rPr>
        <w:rFonts w:ascii="Arial" w:hAnsi="Arial"/>
        <w:sz w:val="20"/>
      </w:rPr>
      <w:t>5.a</w:t>
    </w:r>
    <w:r w:rsidR="00673720">
      <w:rPr>
        <w:rFonts w:ascii="Arial" w:hAnsi="Arial"/>
        <w:sz w:val="20"/>
      </w:rPr>
      <w:t xml:space="preserve"> Rev.</w:t>
    </w:r>
    <w:r>
      <w:rPr>
        <w:rFonts w:ascii="Arial" w:hAnsi="Arial"/>
        <w:sz w:val="20"/>
      </w:rPr>
      <w:t xml:space="preserve"> – page </w:t>
    </w:r>
    <w:r w:rsidRPr="00C23A97">
      <w:rPr>
        <w:rStyle w:val="Numrodepage"/>
        <w:rFonts w:ascii="Arial" w:hAnsi="Arial" w:cs="Arial"/>
        <w:sz w:val="20"/>
      </w:rPr>
      <w:fldChar w:fldCharType="begin"/>
    </w:r>
    <w:r w:rsidRPr="00C23A97">
      <w:rPr>
        <w:rStyle w:val="Numrodepage"/>
        <w:rFonts w:ascii="Arial" w:hAnsi="Arial" w:cs="Arial"/>
        <w:sz w:val="20"/>
      </w:rPr>
      <w:instrText xml:space="preserve"> PAGE </w:instrText>
    </w:r>
    <w:r w:rsidRPr="00C23A97">
      <w:rPr>
        <w:rStyle w:val="Numrodepage"/>
        <w:rFonts w:ascii="Arial" w:hAnsi="Arial" w:cs="Arial"/>
        <w:sz w:val="20"/>
      </w:rPr>
      <w:fldChar w:fldCharType="separate"/>
    </w:r>
    <w:r w:rsidR="00E310C2">
      <w:rPr>
        <w:rStyle w:val="Numrodepage"/>
        <w:rFonts w:ascii="Arial" w:hAnsi="Arial" w:cs="Arial"/>
        <w:noProof/>
        <w:sz w:val="20"/>
      </w:rPr>
      <w:t>4</w:t>
    </w:r>
    <w:r w:rsidRPr="00C23A97">
      <w:rPr>
        <w:rStyle w:val="Numrodepage"/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F231B" w14:textId="24596B76" w:rsidR="00510D2D" w:rsidRPr="0063300C" w:rsidRDefault="00510D2D" w:rsidP="00C5776D">
    <w:pPr>
      <w:pStyle w:val="En-tte"/>
      <w:jc w:val="right"/>
      <w:rPr>
        <w:rFonts w:ascii="Arial" w:hAnsi="Arial" w:cs="Arial"/>
      </w:rPr>
    </w:pPr>
    <w:r>
      <w:rPr>
        <w:rFonts w:ascii="Arial" w:hAnsi="Arial"/>
        <w:sz w:val="20"/>
      </w:rPr>
      <w:t>LHE/21/16.COM/</w:t>
    </w:r>
    <w:r w:rsidRPr="008C4CF6">
      <w:rPr>
        <w:rFonts w:ascii="Arial" w:hAnsi="Arial"/>
        <w:sz w:val="20"/>
      </w:rPr>
      <w:t>5.a</w:t>
    </w:r>
    <w:r>
      <w:rPr>
        <w:rFonts w:ascii="Arial" w:hAnsi="Arial"/>
        <w:sz w:val="20"/>
      </w:rPr>
      <w:t xml:space="preserve"> </w:t>
    </w:r>
    <w:r w:rsidR="00673720">
      <w:rPr>
        <w:rFonts w:ascii="Arial" w:hAnsi="Arial"/>
        <w:sz w:val="20"/>
      </w:rPr>
      <w:t xml:space="preserve">Rev. </w:t>
    </w:r>
    <w:r>
      <w:rPr>
        <w:rFonts w:ascii="Arial" w:hAnsi="Arial"/>
        <w:sz w:val="20"/>
      </w:rPr>
      <w:t>– page </w:t>
    </w:r>
    <w:r w:rsidRPr="0063300C">
      <w:rPr>
        <w:rStyle w:val="Numrodepage"/>
        <w:rFonts w:ascii="Arial" w:hAnsi="Arial" w:cs="Arial"/>
        <w:sz w:val="20"/>
      </w:rPr>
      <w:fldChar w:fldCharType="begin"/>
    </w:r>
    <w:r w:rsidRPr="0063300C">
      <w:rPr>
        <w:rStyle w:val="Numrodepage"/>
        <w:rFonts w:ascii="Arial" w:hAnsi="Arial" w:cs="Arial"/>
        <w:sz w:val="20"/>
      </w:rPr>
      <w:instrText xml:space="preserve"> PAGE </w:instrText>
    </w:r>
    <w:r w:rsidRPr="0063300C">
      <w:rPr>
        <w:rStyle w:val="Numrodepage"/>
        <w:rFonts w:ascii="Arial" w:hAnsi="Arial" w:cs="Arial"/>
        <w:sz w:val="20"/>
      </w:rPr>
      <w:fldChar w:fldCharType="separate"/>
    </w:r>
    <w:r w:rsidR="00E310C2">
      <w:rPr>
        <w:rStyle w:val="Numrodepage"/>
        <w:rFonts w:ascii="Arial" w:hAnsi="Arial" w:cs="Arial"/>
        <w:noProof/>
        <w:sz w:val="20"/>
      </w:rPr>
      <w:t>3</w:t>
    </w:r>
    <w:r w:rsidRPr="0063300C">
      <w:rPr>
        <w:rStyle w:val="Numrodepage"/>
        <w:rFonts w:ascii="Arial" w:hAnsi="Arial" w:cs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0B9E0" w14:textId="3349064D" w:rsidR="00510D2D" w:rsidRPr="00C67C21" w:rsidRDefault="008C4CF6">
    <w:pPr>
      <w:pStyle w:val="En-tte"/>
      <w:rPr>
        <w:sz w:val="22"/>
        <w:szCs w:val="22"/>
      </w:rPr>
    </w:pPr>
    <w:r w:rsidRPr="00C67C21"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8240" behindDoc="0" locked="0" layoutInCell="1" allowOverlap="1" wp14:anchorId="138383E1" wp14:editId="6605358C">
          <wp:simplePos x="0" y="0"/>
          <wp:positionH relativeFrom="column">
            <wp:posOffset>84455</wp:posOffset>
          </wp:positionH>
          <wp:positionV relativeFrom="paragraph">
            <wp:posOffset>58420</wp:posOffset>
          </wp:positionV>
          <wp:extent cx="1657350" cy="13919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7B917" w14:textId="1BA222D0" w:rsidR="00510D2D" w:rsidRPr="00C67C21" w:rsidRDefault="00510D2D" w:rsidP="00C5776D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C67C21">
      <w:rPr>
        <w:rFonts w:ascii="Arial" w:hAnsi="Arial"/>
        <w:b/>
        <w:sz w:val="44"/>
        <w:lang w:val="pt-PT"/>
      </w:rPr>
      <w:t>16 COM</w:t>
    </w:r>
  </w:p>
  <w:p w14:paraId="306484B8" w14:textId="2DB05488" w:rsidR="00510D2D" w:rsidRPr="00C67C21" w:rsidRDefault="00510D2D" w:rsidP="00C5776D">
    <w:pPr>
      <w:jc w:val="right"/>
      <w:rPr>
        <w:rFonts w:ascii="Arial" w:hAnsi="Arial" w:cs="Arial"/>
        <w:b/>
        <w:sz w:val="22"/>
        <w:szCs w:val="22"/>
        <w:lang w:val="pt-PT"/>
      </w:rPr>
    </w:pPr>
    <w:r w:rsidRPr="00C67C21">
      <w:rPr>
        <w:rFonts w:ascii="Arial" w:hAnsi="Arial"/>
        <w:b/>
        <w:sz w:val="22"/>
        <w:lang w:val="pt-PT"/>
      </w:rPr>
      <w:t>LHE/21/16.COM/5.a</w:t>
    </w:r>
    <w:r w:rsidR="00953C94">
      <w:rPr>
        <w:rFonts w:ascii="Arial" w:hAnsi="Arial"/>
        <w:b/>
        <w:sz w:val="22"/>
        <w:lang w:val="pt-PT"/>
      </w:rPr>
      <w:t xml:space="preserve"> Rev.</w:t>
    </w:r>
  </w:p>
  <w:p w14:paraId="1B4446C3" w14:textId="4558D397" w:rsidR="00510D2D" w:rsidRPr="00C67C21" w:rsidRDefault="00510D2D" w:rsidP="00655736">
    <w:pPr>
      <w:jc w:val="right"/>
      <w:rPr>
        <w:rFonts w:ascii="Arial" w:eastAsiaTheme="minorEastAsia" w:hAnsi="Arial" w:cs="Arial"/>
        <w:b/>
        <w:sz w:val="22"/>
        <w:szCs w:val="22"/>
        <w:lang w:val="pt-PT"/>
      </w:rPr>
    </w:pPr>
    <w:r w:rsidRPr="00C67C21">
      <w:rPr>
        <w:rFonts w:ascii="Arial" w:hAnsi="Arial"/>
        <w:b/>
        <w:sz w:val="22"/>
        <w:lang w:val="pt-PT"/>
      </w:rPr>
      <w:t xml:space="preserve">Paris, </w:t>
    </w:r>
    <w:r w:rsidR="00264DC9" w:rsidRPr="00C67C21">
      <w:rPr>
        <w:rFonts w:ascii="Arial" w:hAnsi="Arial"/>
        <w:b/>
        <w:sz w:val="22"/>
        <w:lang w:val="pt-PT"/>
      </w:rPr>
      <w:t xml:space="preserve">le </w:t>
    </w:r>
    <w:r w:rsidRPr="00C67C21">
      <w:rPr>
        <w:rFonts w:ascii="Arial" w:hAnsi="Arial"/>
        <w:b/>
        <w:sz w:val="22"/>
        <w:lang w:val="pt-PT"/>
      </w:rPr>
      <w:t>1</w:t>
    </w:r>
    <w:r w:rsidR="00391D2F">
      <w:rPr>
        <w:rFonts w:ascii="Arial" w:hAnsi="Arial"/>
        <w:b/>
        <w:sz w:val="22"/>
        <w:lang w:val="pt-PT"/>
      </w:rPr>
      <w:t>7</w:t>
    </w:r>
    <w:r w:rsidRPr="00C67C21">
      <w:rPr>
        <w:rFonts w:ascii="Arial" w:hAnsi="Arial"/>
        <w:b/>
        <w:sz w:val="22"/>
        <w:lang w:val="pt-PT"/>
      </w:rPr>
      <w:t> </w:t>
    </w:r>
    <w:r w:rsidR="00A636C5">
      <w:rPr>
        <w:rFonts w:ascii="Arial" w:hAnsi="Arial"/>
        <w:b/>
        <w:sz w:val="22"/>
        <w:lang w:val="pt-PT"/>
      </w:rPr>
      <w:t>décembre</w:t>
    </w:r>
    <w:r w:rsidRPr="00C67C21">
      <w:rPr>
        <w:rFonts w:ascii="Arial" w:hAnsi="Arial"/>
        <w:b/>
        <w:sz w:val="22"/>
        <w:lang w:val="pt-PT"/>
      </w:rPr>
      <w:t> 2021</w:t>
    </w:r>
  </w:p>
  <w:p w14:paraId="255B57FF" w14:textId="140FDE59" w:rsidR="00510D2D" w:rsidRPr="00F32C23" w:rsidRDefault="00510D2D" w:rsidP="000048ED">
    <w:pPr>
      <w:jc w:val="right"/>
      <w:rPr>
        <w:rFonts w:ascii="Arial" w:hAnsi="Arial" w:cs="Arial"/>
        <w:b/>
        <w:sz w:val="22"/>
        <w:szCs w:val="22"/>
      </w:rPr>
    </w:pPr>
    <w:r w:rsidRPr="00C67C21">
      <w:rPr>
        <w:rFonts w:ascii="Arial" w:hAnsi="Arial"/>
        <w:b/>
        <w:sz w:val="22"/>
      </w:rPr>
      <w:t>Original : Anglais</w:t>
    </w:r>
  </w:p>
  <w:p w14:paraId="3C4B8B1B" w14:textId="77777777" w:rsidR="00510D2D" w:rsidRPr="00E95AE2" w:rsidRDefault="00510D2D">
    <w:pPr>
      <w:pStyle w:val="En-tte"/>
      <w:rPr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1" w15:restartNumberingAfterBreak="0">
    <w:nsid w:val="0000000B"/>
    <w:multiLevelType w:val="multilevel"/>
    <w:tmpl w:val="52DE94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EA30D1"/>
    <w:multiLevelType w:val="multilevel"/>
    <w:tmpl w:val="F4A297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Arial" w:hAnsi="Arial" w:cs="Arial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0144B6"/>
    <w:multiLevelType w:val="hybridMultilevel"/>
    <w:tmpl w:val="DB165A9E"/>
    <w:lvl w:ilvl="0" w:tplc="B776D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411C8"/>
    <w:multiLevelType w:val="hybridMultilevel"/>
    <w:tmpl w:val="AFC481B0"/>
    <w:lvl w:ilvl="0" w:tplc="CF1ACF6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944"/>
    <w:multiLevelType w:val="hybridMultilevel"/>
    <w:tmpl w:val="8BA26BC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17E31CEB"/>
    <w:multiLevelType w:val="multilevel"/>
    <w:tmpl w:val="D33EA662"/>
    <w:lvl w:ilvl="0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7B6D05"/>
    <w:multiLevelType w:val="hybridMultilevel"/>
    <w:tmpl w:val="4C4EE242"/>
    <w:lvl w:ilvl="0" w:tplc="42E60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441036"/>
    <w:multiLevelType w:val="hybridMultilevel"/>
    <w:tmpl w:val="8CB6C26E"/>
    <w:lvl w:ilvl="0" w:tplc="87DEB68C">
      <w:start w:val="1"/>
      <w:numFmt w:val="decimal"/>
      <w:lvlText w:val="%1."/>
      <w:lvlJc w:val="left"/>
      <w:pPr>
        <w:ind w:left="845" w:hanging="420"/>
      </w:pPr>
      <w:rPr>
        <w:rFonts w:asciiTheme="minorBidi" w:hAnsiTheme="minorBidi" w:cstheme="minorBidi" w:hint="default"/>
        <w:i w:val="0"/>
        <w:iCs w:val="0"/>
      </w:rPr>
    </w:lvl>
    <w:lvl w:ilvl="1" w:tplc="D0E46A06">
      <w:start w:val="1"/>
      <w:numFmt w:val="lowerLetter"/>
      <w:lvlText w:val="(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45577AC"/>
    <w:multiLevelType w:val="hybridMultilevel"/>
    <w:tmpl w:val="2A30D5C0"/>
    <w:lvl w:ilvl="0" w:tplc="259C3E8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12006"/>
    <w:multiLevelType w:val="hybridMultilevel"/>
    <w:tmpl w:val="63FC1A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654D3"/>
    <w:multiLevelType w:val="multilevel"/>
    <w:tmpl w:val="D974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B35019"/>
    <w:multiLevelType w:val="multilevel"/>
    <w:tmpl w:val="BBCAB5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Arial" w:hAnsi="Arial" w:cs="Arial"/>
        <w:i w:val="0"/>
        <w:sz w:val="22"/>
        <w:szCs w:val="22"/>
        <w:lang w:val="en-GB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35369C"/>
    <w:multiLevelType w:val="hybridMultilevel"/>
    <w:tmpl w:val="77B4D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2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81F08E8"/>
    <w:multiLevelType w:val="multilevel"/>
    <w:tmpl w:val="BBCAB5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Arial" w:hAnsi="Arial" w:cs="Arial"/>
        <w:i w:val="0"/>
        <w:sz w:val="22"/>
        <w:szCs w:val="22"/>
        <w:lang w:val="en-GB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D4C79"/>
    <w:multiLevelType w:val="multilevel"/>
    <w:tmpl w:val="E0D8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934C95"/>
    <w:multiLevelType w:val="hybridMultilevel"/>
    <w:tmpl w:val="568CC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4573A"/>
    <w:multiLevelType w:val="hybridMultilevel"/>
    <w:tmpl w:val="7256B022"/>
    <w:lvl w:ilvl="0" w:tplc="A574CF6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45772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16959"/>
    <w:multiLevelType w:val="hybridMultilevel"/>
    <w:tmpl w:val="9D4AC826"/>
    <w:lvl w:ilvl="0" w:tplc="DAF2F5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AD1280"/>
    <w:multiLevelType w:val="hybridMultilevel"/>
    <w:tmpl w:val="4A3080B8"/>
    <w:lvl w:ilvl="0" w:tplc="82E866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25C2F4A"/>
    <w:multiLevelType w:val="hybridMultilevel"/>
    <w:tmpl w:val="CB46F902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35B52"/>
    <w:multiLevelType w:val="hybridMultilevel"/>
    <w:tmpl w:val="34982FDA"/>
    <w:lvl w:ilvl="0" w:tplc="040C0019">
      <w:start w:val="1"/>
      <w:numFmt w:val="lowerLetter"/>
      <w:lvlText w:val="%1."/>
      <w:lvlJc w:val="left"/>
      <w:pPr>
        <w:ind w:left="1429" w:hanging="360"/>
      </w:pPr>
    </w:lvl>
    <w:lvl w:ilvl="1" w:tplc="040C0019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1605062"/>
    <w:multiLevelType w:val="multilevel"/>
    <w:tmpl w:val="30BE5B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B1615D"/>
    <w:multiLevelType w:val="multilevel"/>
    <w:tmpl w:val="D8C4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E7E7D26"/>
    <w:multiLevelType w:val="hybridMultilevel"/>
    <w:tmpl w:val="83549F48"/>
    <w:lvl w:ilvl="0" w:tplc="8BD622B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9"/>
  </w:num>
  <w:num w:numId="2">
    <w:abstractNumId w:val="17"/>
  </w:num>
  <w:num w:numId="3">
    <w:abstractNumId w:val="8"/>
  </w:num>
  <w:num w:numId="4">
    <w:abstractNumId w:val="35"/>
  </w:num>
  <w:num w:numId="5">
    <w:abstractNumId w:val="31"/>
  </w:num>
  <w:num w:numId="6">
    <w:abstractNumId w:val="6"/>
  </w:num>
  <w:num w:numId="7">
    <w:abstractNumId w:val="9"/>
  </w:num>
  <w:num w:numId="8">
    <w:abstractNumId w:val="22"/>
  </w:num>
  <w:num w:numId="9">
    <w:abstractNumId w:val="16"/>
  </w:num>
  <w:num w:numId="10">
    <w:abstractNumId w:val="18"/>
  </w:num>
  <w:num w:numId="11">
    <w:abstractNumId w:val="21"/>
  </w:num>
  <w:num w:numId="12">
    <w:abstractNumId w:val="20"/>
  </w:num>
  <w:num w:numId="13">
    <w:abstractNumId w:val="36"/>
  </w:num>
  <w:num w:numId="14">
    <w:abstractNumId w:val="0"/>
  </w:num>
  <w:num w:numId="15">
    <w:abstractNumId w:val="5"/>
  </w:num>
  <w:num w:numId="16">
    <w:abstractNumId w:val="15"/>
  </w:num>
  <w:num w:numId="17">
    <w:abstractNumId w:val="1"/>
  </w:num>
  <w:num w:numId="18">
    <w:abstractNumId w:val="4"/>
  </w:num>
  <w:num w:numId="19">
    <w:abstractNumId w:val="10"/>
  </w:num>
  <w:num w:numId="20">
    <w:abstractNumId w:val="33"/>
    <w:lvlOverride w:ilvl="0">
      <w:lvl w:ilvl="0">
        <w:numFmt w:val="decimal"/>
        <w:lvlText w:val="%1."/>
        <w:lvlJc w:val="left"/>
      </w:lvl>
    </w:lvlOverride>
  </w:num>
  <w:num w:numId="21">
    <w:abstractNumId w:val="33"/>
    <w:lvlOverride w:ilvl="0">
      <w:lvl w:ilvl="0">
        <w:numFmt w:val="decimal"/>
        <w:lvlText w:val="%1."/>
        <w:lvlJc w:val="left"/>
      </w:lvl>
    </w:lvlOverride>
  </w:num>
  <w:num w:numId="22">
    <w:abstractNumId w:val="14"/>
  </w:num>
  <w:num w:numId="23">
    <w:abstractNumId w:val="37"/>
  </w:num>
  <w:num w:numId="24">
    <w:abstractNumId w:val="18"/>
    <w:lvlOverride w:ilvl="0">
      <w:startOverride w:val="1"/>
    </w:lvlOverride>
  </w:num>
  <w:num w:numId="25">
    <w:abstractNumId w:val="32"/>
  </w:num>
  <w:num w:numId="26">
    <w:abstractNumId w:val="24"/>
  </w:num>
  <w:num w:numId="27">
    <w:abstractNumId w:val="34"/>
  </w:num>
  <w:num w:numId="28">
    <w:abstractNumId w:val="13"/>
  </w:num>
  <w:num w:numId="29">
    <w:abstractNumId w:val="2"/>
  </w:num>
  <w:num w:numId="30">
    <w:abstractNumId w:val="3"/>
  </w:num>
  <w:num w:numId="31">
    <w:abstractNumId w:val="26"/>
  </w:num>
  <w:num w:numId="32">
    <w:abstractNumId w:val="30"/>
  </w:num>
  <w:num w:numId="33">
    <w:abstractNumId w:val="19"/>
  </w:num>
  <w:num w:numId="34">
    <w:abstractNumId w:val="28"/>
  </w:num>
  <w:num w:numId="35">
    <w:abstractNumId w:val="12"/>
  </w:num>
  <w:num w:numId="36">
    <w:abstractNumId w:val="16"/>
  </w:num>
  <w:num w:numId="37">
    <w:abstractNumId w:val="11"/>
  </w:num>
  <w:num w:numId="38">
    <w:abstractNumId w:val="23"/>
  </w:num>
  <w:num w:numId="39">
    <w:abstractNumId w:val="27"/>
  </w:num>
  <w:num w:numId="40">
    <w:abstractNumId w:val="2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42"/>
    <w:rsid w:val="000048ED"/>
    <w:rsid w:val="00011DFC"/>
    <w:rsid w:val="000145DE"/>
    <w:rsid w:val="0001488D"/>
    <w:rsid w:val="00023CE4"/>
    <w:rsid w:val="00023EC2"/>
    <w:rsid w:val="0002402A"/>
    <w:rsid w:val="00027059"/>
    <w:rsid w:val="000277D2"/>
    <w:rsid w:val="0003170A"/>
    <w:rsid w:val="000343FC"/>
    <w:rsid w:val="00035FAA"/>
    <w:rsid w:val="0003611E"/>
    <w:rsid w:val="0003618F"/>
    <w:rsid w:val="00037873"/>
    <w:rsid w:val="00041A66"/>
    <w:rsid w:val="00041E2A"/>
    <w:rsid w:val="00042D88"/>
    <w:rsid w:val="00047C65"/>
    <w:rsid w:val="00050B3D"/>
    <w:rsid w:val="0005176E"/>
    <w:rsid w:val="0005178B"/>
    <w:rsid w:val="000526FF"/>
    <w:rsid w:val="0005428A"/>
    <w:rsid w:val="000547C2"/>
    <w:rsid w:val="000555EA"/>
    <w:rsid w:val="00055FE1"/>
    <w:rsid w:val="00056A04"/>
    <w:rsid w:val="0005744A"/>
    <w:rsid w:val="00064D07"/>
    <w:rsid w:val="0006558D"/>
    <w:rsid w:val="0006768D"/>
    <w:rsid w:val="00067DDA"/>
    <w:rsid w:val="0007107E"/>
    <w:rsid w:val="00072442"/>
    <w:rsid w:val="00073066"/>
    <w:rsid w:val="0007476E"/>
    <w:rsid w:val="000765F7"/>
    <w:rsid w:val="00077AB7"/>
    <w:rsid w:val="0008119B"/>
    <w:rsid w:val="00081CD8"/>
    <w:rsid w:val="00082F7C"/>
    <w:rsid w:val="00085A95"/>
    <w:rsid w:val="00085E3C"/>
    <w:rsid w:val="000903EF"/>
    <w:rsid w:val="00090C37"/>
    <w:rsid w:val="000911E0"/>
    <w:rsid w:val="000929FC"/>
    <w:rsid w:val="0009320D"/>
    <w:rsid w:val="000A17E8"/>
    <w:rsid w:val="000A3734"/>
    <w:rsid w:val="000A3C10"/>
    <w:rsid w:val="000A54C6"/>
    <w:rsid w:val="000A5FFE"/>
    <w:rsid w:val="000A6AFC"/>
    <w:rsid w:val="000A7F0E"/>
    <w:rsid w:val="000B0000"/>
    <w:rsid w:val="000B1C8F"/>
    <w:rsid w:val="000B2A2C"/>
    <w:rsid w:val="000B4456"/>
    <w:rsid w:val="000C0D61"/>
    <w:rsid w:val="000C28F1"/>
    <w:rsid w:val="000C3849"/>
    <w:rsid w:val="000C4BF7"/>
    <w:rsid w:val="000D1161"/>
    <w:rsid w:val="000D45BF"/>
    <w:rsid w:val="000D649F"/>
    <w:rsid w:val="000D737F"/>
    <w:rsid w:val="000D7AC8"/>
    <w:rsid w:val="000E347D"/>
    <w:rsid w:val="000E35C5"/>
    <w:rsid w:val="000E43EA"/>
    <w:rsid w:val="000E666F"/>
    <w:rsid w:val="000E7B9A"/>
    <w:rsid w:val="000F00D2"/>
    <w:rsid w:val="000F0D68"/>
    <w:rsid w:val="000F2CFA"/>
    <w:rsid w:val="000F3A3F"/>
    <w:rsid w:val="000F461E"/>
    <w:rsid w:val="000F574F"/>
    <w:rsid w:val="000F5953"/>
    <w:rsid w:val="000F672A"/>
    <w:rsid w:val="000F6DA7"/>
    <w:rsid w:val="001000E5"/>
    <w:rsid w:val="00100A0A"/>
    <w:rsid w:val="00101160"/>
    <w:rsid w:val="00102557"/>
    <w:rsid w:val="00102D26"/>
    <w:rsid w:val="00104775"/>
    <w:rsid w:val="00107101"/>
    <w:rsid w:val="00107AF1"/>
    <w:rsid w:val="001132A5"/>
    <w:rsid w:val="0011550C"/>
    <w:rsid w:val="00115610"/>
    <w:rsid w:val="0012198C"/>
    <w:rsid w:val="0012399B"/>
    <w:rsid w:val="0012685D"/>
    <w:rsid w:val="00126CA9"/>
    <w:rsid w:val="00131894"/>
    <w:rsid w:val="00136EA9"/>
    <w:rsid w:val="00137421"/>
    <w:rsid w:val="001378A5"/>
    <w:rsid w:val="00140DEA"/>
    <w:rsid w:val="00141B27"/>
    <w:rsid w:val="001436C1"/>
    <w:rsid w:val="00147B04"/>
    <w:rsid w:val="00147BED"/>
    <w:rsid w:val="001517FB"/>
    <w:rsid w:val="00152AAE"/>
    <w:rsid w:val="00153ACC"/>
    <w:rsid w:val="00154EB1"/>
    <w:rsid w:val="00154F91"/>
    <w:rsid w:val="00155D7B"/>
    <w:rsid w:val="001601CC"/>
    <w:rsid w:val="00162B1A"/>
    <w:rsid w:val="00162D4A"/>
    <w:rsid w:val="00163048"/>
    <w:rsid w:val="0016366E"/>
    <w:rsid w:val="001648C9"/>
    <w:rsid w:val="00164D56"/>
    <w:rsid w:val="00167B10"/>
    <w:rsid w:val="001721BA"/>
    <w:rsid w:val="00173E3F"/>
    <w:rsid w:val="0017402F"/>
    <w:rsid w:val="0018111F"/>
    <w:rsid w:val="00184120"/>
    <w:rsid w:val="00190205"/>
    <w:rsid w:val="0019235F"/>
    <w:rsid w:val="001923C0"/>
    <w:rsid w:val="00194215"/>
    <w:rsid w:val="0019500D"/>
    <w:rsid w:val="00196C1B"/>
    <w:rsid w:val="001A0288"/>
    <w:rsid w:val="001A2A26"/>
    <w:rsid w:val="001A5DB6"/>
    <w:rsid w:val="001B0F73"/>
    <w:rsid w:val="001B1558"/>
    <w:rsid w:val="001B54B2"/>
    <w:rsid w:val="001B677C"/>
    <w:rsid w:val="001C2B70"/>
    <w:rsid w:val="001C2DB7"/>
    <w:rsid w:val="001C67C8"/>
    <w:rsid w:val="001C6A87"/>
    <w:rsid w:val="001C6AA2"/>
    <w:rsid w:val="001C7ACA"/>
    <w:rsid w:val="001D14FE"/>
    <w:rsid w:val="001D40B8"/>
    <w:rsid w:val="001D464E"/>
    <w:rsid w:val="001D53CD"/>
    <w:rsid w:val="001D591B"/>
    <w:rsid w:val="001D5C04"/>
    <w:rsid w:val="001D7317"/>
    <w:rsid w:val="001E08A3"/>
    <w:rsid w:val="001E129F"/>
    <w:rsid w:val="001E1ED8"/>
    <w:rsid w:val="001E332C"/>
    <w:rsid w:val="001E7BE0"/>
    <w:rsid w:val="001F1217"/>
    <w:rsid w:val="001F26CF"/>
    <w:rsid w:val="002015FB"/>
    <w:rsid w:val="00202A31"/>
    <w:rsid w:val="00203118"/>
    <w:rsid w:val="00204FE5"/>
    <w:rsid w:val="00205CFD"/>
    <w:rsid w:val="00207581"/>
    <w:rsid w:val="002104F4"/>
    <w:rsid w:val="002108D8"/>
    <w:rsid w:val="00211CF7"/>
    <w:rsid w:val="00220A09"/>
    <w:rsid w:val="002228ED"/>
    <w:rsid w:val="00222A2D"/>
    <w:rsid w:val="00223029"/>
    <w:rsid w:val="002245CB"/>
    <w:rsid w:val="00224BA8"/>
    <w:rsid w:val="002300A7"/>
    <w:rsid w:val="0023149A"/>
    <w:rsid w:val="00231B4C"/>
    <w:rsid w:val="00233BE7"/>
    <w:rsid w:val="00234745"/>
    <w:rsid w:val="002351A6"/>
    <w:rsid w:val="002407AF"/>
    <w:rsid w:val="0024085D"/>
    <w:rsid w:val="0024196A"/>
    <w:rsid w:val="00243CC0"/>
    <w:rsid w:val="00245F5B"/>
    <w:rsid w:val="00246318"/>
    <w:rsid w:val="00247262"/>
    <w:rsid w:val="0025179F"/>
    <w:rsid w:val="002523A8"/>
    <w:rsid w:val="00253077"/>
    <w:rsid w:val="00254EBC"/>
    <w:rsid w:val="00256C18"/>
    <w:rsid w:val="0026073E"/>
    <w:rsid w:val="002625EF"/>
    <w:rsid w:val="00264B0A"/>
    <w:rsid w:val="00264DC9"/>
    <w:rsid w:val="00265627"/>
    <w:rsid w:val="0027020B"/>
    <w:rsid w:val="0027080F"/>
    <w:rsid w:val="002732F4"/>
    <w:rsid w:val="0027466B"/>
    <w:rsid w:val="00275DCB"/>
    <w:rsid w:val="00276E88"/>
    <w:rsid w:val="00280601"/>
    <w:rsid w:val="002838A5"/>
    <w:rsid w:val="00285BB4"/>
    <w:rsid w:val="00291427"/>
    <w:rsid w:val="002925AE"/>
    <w:rsid w:val="00293C68"/>
    <w:rsid w:val="00294BA1"/>
    <w:rsid w:val="00294FE6"/>
    <w:rsid w:val="00296FFB"/>
    <w:rsid w:val="00297537"/>
    <w:rsid w:val="002A3243"/>
    <w:rsid w:val="002B03D1"/>
    <w:rsid w:val="002B3938"/>
    <w:rsid w:val="002B6C5D"/>
    <w:rsid w:val="002B70EA"/>
    <w:rsid w:val="002B76D2"/>
    <w:rsid w:val="002C09E3"/>
    <w:rsid w:val="002C2890"/>
    <w:rsid w:val="002C29CF"/>
    <w:rsid w:val="002C42BC"/>
    <w:rsid w:val="002C4D03"/>
    <w:rsid w:val="002C6266"/>
    <w:rsid w:val="002C763C"/>
    <w:rsid w:val="002C76DA"/>
    <w:rsid w:val="002D1244"/>
    <w:rsid w:val="002D245C"/>
    <w:rsid w:val="002D2498"/>
    <w:rsid w:val="002D79A2"/>
    <w:rsid w:val="002E2296"/>
    <w:rsid w:val="002E39DC"/>
    <w:rsid w:val="002E6061"/>
    <w:rsid w:val="002F0225"/>
    <w:rsid w:val="002F28C1"/>
    <w:rsid w:val="002F5199"/>
    <w:rsid w:val="003013DF"/>
    <w:rsid w:val="00303AFF"/>
    <w:rsid w:val="00304B61"/>
    <w:rsid w:val="003063A5"/>
    <w:rsid w:val="003102C6"/>
    <w:rsid w:val="00313122"/>
    <w:rsid w:val="00316AC3"/>
    <w:rsid w:val="00317697"/>
    <w:rsid w:val="00325771"/>
    <w:rsid w:val="00327198"/>
    <w:rsid w:val="00327C13"/>
    <w:rsid w:val="00330563"/>
    <w:rsid w:val="00330B26"/>
    <w:rsid w:val="00330B74"/>
    <w:rsid w:val="0033479F"/>
    <w:rsid w:val="00334CDC"/>
    <w:rsid w:val="00335C96"/>
    <w:rsid w:val="00337CEB"/>
    <w:rsid w:val="00343C25"/>
    <w:rsid w:val="00344B58"/>
    <w:rsid w:val="0034539A"/>
    <w:rsid w:val="00345CB4"/>
    <w:rsid w:val="003505BE"/>
    <w:rsid w:val="00351A31"/>
    <w:rsid w:val="00352F96"/>
    <w:rsid w:val="00353B03"/>
    <w:rsid w:val="00353CC7"/>
    <w:rsid w:val="00355A64"/>
    <w:rsid w:val="00355C4F"/>
    <w:rsid w:val="00357612"/>
    <w:rsid w:val="003600B8"/>
    <w:rsid w:val="003615DD"/>
    <w:rsid w:val="00363498"/>
    <w:rsid w:val="003662F5"/>
    <w:rsid w:val="00366321"/>
    <w:rsid w:val="00367B53"/>
    <w:rsid w:val="00371792"/>
    <w:rsid w:val="0037476F"/>
    <w:rsid w:val="003751E0"/>
    <w:rsid w:val="00375D42"/>
    <w:rsid w:val="003767D6"/>
    <w:rsid w:val="00382DD5"/>
    <w:rsid w:val="00383619"/>
    <w:rsid w:val="00384C3F"/>
    <w:rsid w:val="00385A89"/>
    <w:rsid w:val="00386966"/>
    <w:rsid w:val="00386BE4"/>
    <w:rsid w:val="00391D2F"/>
    <w:rsid w:val="00391D52"/>
    <w:rsid w:val="0039206C"/>
    <w:rsid w:val="00393F94"/>
    <w:rsid w:val="003A08D9"/>
    <w:rsid w:val="003A7904"/>
    <w:rsid w:val="003B0AC2"/>
    <w:rsid w:val="003B19F2"/>
    <w:rsid w:val="003B1E1E"/>
    <w:rsid w:val="003B4130"/>
    <w:rsid w:val="003B4435"/>
    <w:rsid w:val="003B70FA"/>
    <w:rsid w:val="003B759C"/>
    <w:rsid w:val="003C1CCC"/>
    <w:rsid w:val="003C2911"/>
    <w:rsid w:val="003C3AC4"/>
    <w:rsid w:val="003C6572"/>
    <w:rsid w:val="003D069C"/>
    <w:rsid w:val="003D4B10"/>
    <w:rsid w:val="003D5357"/>
    <w:rsid w:val="003D7369"/>
    <w:rsid w:val="003D7646"/>
    <w:rsid w:val="003E1E99"/>
    <w:rsid w:val="003E4E90"/>
    <w:rsid w:val="003E4FDD"/>
    <w:rsid w:val="003F0DDE"/>
    <w:rsid w:val="003F113A"/>
    <w:rsid w:val="003F1D76"/>
    <w:rsid w:val="003F275A"/>
    <w:rsid w:val="003F33F5"/>
    <w:rsid w:val="003F348E"/>
    <w:rsid w:val="003F3E63"/>
    <w:rsid w:val="003F48A5"/>
    <w:rsid w:val="003F7D7C"/>
    <w:rsid w:val="00400CA4"/>
    <w:rsid w:val="00402EEE"/>
    <w:rsid w:val="00406070"/>
    <w:rsid w:val="00406A38"/>
    <w:rsid w:val="00406EA8"/>
    <w:rsid w:val="00407480"/>
    <w:rsid w:val="00410B13"/>
    <w:rsid w:val="0041186A"/>
    <w:rsid w:val="00414037"/>
    <w:rsid w:val="004141B0"/>
    <w:rsid w:val="00414643"/>
    <w:rsid w:val="00414E59"/>
    <w:rsid w:val="00414E96"/>
    <w:rsid w:val="00415529"/>
    <w:rsid w:val="00416E19"/>
    <w:rsid w:val="0041704D"/>
    <w:rsid w:val="00417C33"/>
    <w:rsid w:val="00422769"/>
    <w:rsid w:val="004249F4"/>
    <w:rsid w:val="004316EA"/>
    <w:rsid w:val="004326D0"/>
    <w:rsid w:val="004421E5"/>
    <w:rsid w:val="004460D0"/>
    <w:rsid w:val="00447344"/>
    <w:rsid w:val="00447958"/>
    <w:rsid w:val="0045068C"/>
    <w:rsid w:val="004509F9"/>
    <w:rsid w:val="00450D21"/>
    <w:rsid w:val="00451FE6"/>
    <w:rsid w:val="00452284"/>
    <w:rsid w:val="00456B54"/>
    <w:rsid w:val="00457A8C"/>
    <w:rsid w:val="00457B38"/>
    <w:rsid w:val="00457C8E"/>
    <w:rsid w:val="00457D5D"/>
    <w:rsid w:val="00460BF7"/>
    <w:rsid w:val="00464BFA"/>
    <w:rsid w:val="00466059"/>
    <w:rsid w:val="00467C99"/>
    <w:rsid w:val="00475922"/>
    <w:rsid w:val="00480263"/>
    <w:rsid w:val="0048392E"/>
    <w:rsid w:val="004856CA"/>
    <w:rsid w:val="00486682"/>
    <w:rsid w:val="00487E67"/>
    <w:rsid w:val="0049046F"/>
    <w:rsid w:val="00492C37"/>
    <w:rsid w:val="00494082"/>
    <w:rsid w:val="00495A90"/>
    <w:rsid w:val="0049705E"/>
    <w:rsid w:val="004A159E"/>
    <w:rsid w:val="004A1C17"/>
    <w:rsid w:val="004A2875"/>
    <w:rsid w:val="004A2B7C"/>
    <w:rsid w:val="004A34A0"/>
    <w:rsid w:val="004A3F7A"/>
    <w:rsid w:val="004A4AA4"/>
    <w:rsid w:val="004A7E2E"/>
    <w:rsid w:val="004B2648"/>
    <w:rsid w:val="004B41E5"/>
    <w:rsid w:val="004B5585"/>
    <w:rsid w:val="004C0FC8"/>
    <w:rsid w:val="004C2361"/>
    <w:rsid w:val="004C2B54"/>
    <w:rsid w:val="004C3C93"/>
    <w:rsid w:val="004C72F7"/>
    <w:rsid w:val="004C731B"/>
    <w:rsid w:val="004C76FB"/>
    <w:rsid w:val="004C7C82"/>
    <w:rsid w:val="004D4840"/>
    <w:rsid w:val="004D49B9"/>
    <w:rsid w:val="004D5187"/>
    <w:rsid w:val="004D559B"/>
    <w:rsid w:val="004D7601"/>
    <w:rsid w:val="004E351D"/>
    <w:rsid w:val="004E7535"/>
    <w:rsid w:val="004E7DF7"/>
    <w:rsid w:val="004F0773"/>
    <w:rsid w:val="004F0862"/>
    <w:rsid w:val="004F0DE8"/>
    <w:rsid w:val="004F52F1"/>
    <w:rsid w:val="005008A8"/>
    <w:rsid w:val="00505651"/>
    <w:rsid w:val="0050570F"/>
    <w:rsid w:val="00505953"/>
    <w:rsid w:val="00505EAC"/>
    <w:rsid w:val="005068C7"/>
    <w:rsid w:val="005069C6"/>
    <w:rsid w:val="005076F3"/>
    <w:rsid w:val="00507910"/>
    <w:rsid w:val="00507FCA"/>
    <w:rsid w:val="00510752"/>
    <w:rsid w:val="00510894"/>
    <w:rsid w:val="00510B4F"/>
    <w:rsid w:val="00510D2D"/>
    <w:rsid w:val="005151C6"/>
    <w:rsid w:val="00517454"/>
    <w:rsid w:val="00517FD8"/>
    <w:rsid w:val="00521B56"/>
    <w:rsid w:val="0052517D"/>
    <w:rsid w:val="00526B7B"/>
    <w:rsid w:val="005308CE"/>
    <w:rsid w:val="005311EB"/>
    <w:rsid w:val="0053318C"/>
    <w:rsid w:val="00534419"/>
    <w:rsid w:val="00534954"/>
    <w:rsid w:val="0054455B"/>
    <w:rsid w:val="00546647"/>
    <w:rsid w:val="00546FE5"/>
    <w:rsid w:val="00547EEB"/>
    <w:rsid w:val="0055339B"/>
    <w:rsid w:val="0055368D"/>
    <w:rsid w:val="00554143"/>
    <w:rsid w:val="00554B0C"/>
    <w:rsid w:val="0056300F"/>
    <w:rsid w:val="00565D23"/>
    <w:rsid w:val="00573BB2"/>
    <w:rsid w:val="0057439C"/>
    <w:rsid w:val="005743A8"/>
    <w:rsid w:val="005745CE"/>
    <w:rsid w:val="00574C5E"/>
    <w:rsid w:val="00575499"/>
    <w:rsid w:val="00577E25"/>
    <w:rsid w:val="00577EE7"/>
    <w:rsid w:val="0058059A"/>
    <w:rsid w:val="00582D09"/>
    <w:rsid w:val="00582FA0"/>
    <w:rsid w:val="005840B3"/>
    <w:rsid w:val="00585D08"/>
    <w:rsid w:val="005879D1"/>
    <w:rsid w:val="00591C29"/>
    <w:rsid w:val="005937FF"/>
    <w:rsid w:val="00597424"/>
    <w:rsid w:val="005976E5"/>
    <w:rsid w:val="005976ED"/>
    <w:rsid w:val="005A3C6D"/>
    <w:rsid w:val="005A41FD"/>
    <w:rsid w:val="005A42AC"/>
    <w:rsid w:val="005A75C7"/>
    <w:rsid w:val="005B0127"/>
    <w:rsid w:val="005B0EA8"/>
    <w:rsid w:val="005B1EF9"/>
    <w:rsid w:val="005B7A35"/>
    <w:rsid w:val="005C4B73"/>
    <w:rsid w:val="005C55D8"/>
    <w:rsid w:val="005C5BDB"/>
    <w:rsid w:val="005C60D5"/>
    <w:rsid w:val="005D124D"/>
    <w:rsid w:val="005D3F9D"/>
    <w:rsid w:val="005E0808"/>
    <w:rsid w:val="005E081F"/>
    <w:rsid w:val="005E0A3F"/>
    <w:rsid w:val="005E1D2B"/>
    <w:rsid w:val="005E364B"/>
    <w:rsid w:val="005E4D1A"/>
    <w:rsid w:val="005E5493"/>
    <w:rsid w:val="005E687F"/>
    <w:rsid w:val="005E7074"/>
    <w:rsid w:val="005F05AE"/>
    <w:rsid w:val="005F222E"/>
    <w:rsid w:val="005F2BAF"/>
    <w:rsid w:val="005F373E"/>
    <w:rsid w:val="005F60E6"/>
    <w:rsid w:val="005F6391"/>
    <w:rsid w:val="005F7E04"/>
    <w:rsid w:val="00600CE1"/>
    <w:rsid w:val="00600D93"/>
    <w:rsid w:val="00601EDC"/>
    <w:rsid w:val="00604464"/>
    <w:rsid w:val="00604F55"/>
    <w:rsid w:val="006067DF"/>
    <w:rsid w:val="006102FF"/>
    <w:rsid w:val="006104D1"/>
    <w:rsid w:val="00610764"/>
    <w:rsid w:val="00610E16"/>
    <w:rsid w:val="00613526"/>
    <w:rsid w:val="00613622"/>
    <w:rsid w:val="00615D0C"/>
    <w:rsid w:val="00617576"/>
    <w:rsid w:val="006205DA"/>
    <w:rsid w:val="006222A0"/>
    <w:rsid w:val="00626279"/>
    <w:rsid w:val="00626BEA"/>
    <w:rsid w:val="00631DFB"/>
    <w:rsid w:val="0063300C"/>
    <w:rsid w:val="0063502F"/>
    <w:rsid w:val="00635BA0"/>
    <w:rsid w:val="006367FD"/>
    <w:rsid w:val="006377DD"/>
    <w:rsid w:val="00641E19"/>
    <w:rsid w:val="0064246A"/>
    <w:rsid w:val="00644D1A"/>
    <w:rsid w:val="00644FE8"/>
    <w:rsid w:val="006453AF"/>
    <w:rsid w:val="00647B6E"/>
    <w:rsid w:val="00647FB8"/>
    <w:rsid w:val="0065025A"/>
    <w:rsid w:val="00650FAB"/>
    <w:rsid w:val="00651261"/>
    <w:rsid w:val="00651A5B"/>
    <w:rsid w:val="00655736"/>
    <w:rsid w:val="006559B4"/>
    <w:rsid w:val="006560B9"/>
    <w:rsid w:val="00657275"/>
    <w:rsid w:val="006603BD"/>
    <w:rsid w:val="00660CD8"/>
    <w:rsid w:val="00662509"/>
    <w:rsid w:val="00662B04"/>
    <w:rsid w:val="00663B8D"/>
    <w:rsid w:val="00663DEB"/>
    <w:rsid w:val="006706B4"/>
    <w:rsid w:val="00670E1D"/>
    <w:rsid w:val="00673720"/>
    <w:rsid w:val="00674531"/>
    <w:rsid w:val="006761D1"/>
    <w:rsid w:val="00676A0F"/>
    <w:rsid w:val="00677359"/>
    <w:rsid w:val="00677650"/>
    <w:rsid w:val="00677E88"/>
    <w:rsid w:val="00683E66"/>
    <w:rsid w:val="0068490C"/>
    <w:rsid w:val="00686E9E"/>
    <w:rsid w:val="00693445"/>
    <w:rsid w:val="00693C7F"/>
    <w:rsid w:val="00696C8D"/>
    <w:rsid w:val="0069737B"/>
    <w:rsid w:val="006A1E89"/>
    <w:rsid w:val="006A1ED6"/>
    <w:rsid w:val="006A2485"/>
    <w:rsid w:val="006A268F"/>
    <w:rsid w:val="006A2752"/>
    <w:rsid w:val="006A2AC2"/>
    <w:rsid w:val="006A33E6"/>
    <w:rsid w:val="006A3617"/>
    <w:rsid w:val="006A41DB"/>
    <w:rsid w:val="006A57D5"/>
    <w:rsid w:val="006B0946"/>
    <w:rsid w:val="006B0D26"/>
    <w:rsid w:val="006B2A6D"/>
    <w:rsid w:val="006B4452"/>
    <w:rsid w:val="006B7D69"/>
    <w:rsid w:val="006C19F8"/>
    <w:rsid w:val="006C5F0C"/>
    <w:rsid w:val="006C7A6E"/>
    <w:rsid w:val="006D14B3"/>
    <w:rsid w:val="006D5ED3"/>
    <w:rsid w:val="006D7050"/>
    <w:rsid w:val="006D7A62"/>
    <w:rsid w:val="006E46E4"/>
    <w:rsid w:val="006E5D7A"/>
    <w:rsid w:val="006E6933"/>
    <w:rsid w:val="006E75EB"/>
    <w:rsid w:val="006E7D7B"/>
    <w:rsid w:val="006F2D9B"/>
    <w:rsid w:val="006F3035"/>
    <w:rsid w:val="0070090D"/>
    <w:rsid w:val="00701715"/>
    <w:rsid w:val="00701752"/>
    <w:rsid w:val="00701CEC"/>
    <w:rsid w:val="007029B7"/>
    <w:rsid w:val="00702DC2"/>
    <w:rsid w:val="00705E91"/>
    <w:rsid w:val="007111B1"/>
    <w:rsid w:val="00711435"/>
    <w:rsid w:val="007135CD"/>
    <w:rsid w:val="007136B5"/>
    <w:rsid w:val="007149BB"/>
    <w:rsid w:val="00714C06"/>
    <w:rsid w:val="00717705"/>
    <w:rsid w:val="00717DA5"/>
    <w:rsid w:val="00725036"/>
    <w:rsid w:val="007318A9"/>
    <w:rsid w:val="00731AA2"/>
    <w:rsid w:val="00732187"/>
    <w:rsid w:val="00733E93"/>
    <w:rsid w:val="007363CC"/>
    <w:rsid w:val="00736AFA"/>
    <w:rsid w:val="00737F5A"/>
    <w:rsid w:val="00741174"/>
    <w:rsid w:val="007430E1"/>
    <w:rsid w:val="00744484"/>
    <w:rsid w:val="007445EB"/>
    <w:rsid w:val="00746FF4"/>
    <w:rsid w:val="00747566"/>
    <w:rsid w:val="00747C53"/>
    <w:rsid w:val="00751504"/>
    <w:rsid w:val="00753013"/>
    <w:rsid w:val="00755FC9"/>
    <w:rsid w:val="007560C1"/>
    <w:rsid w:val="00756DFA"/>
    <w:rsid w:val="007575C8"/>
    <w:rsid w:val="0076162D"/>
    <w:rsid w:val="00761BF4"/>
    <w:rsid w:val="0076261F"/>
    <w:rsid w:val="007627F1"/>
    <w:rsid w:val="00762AB5"/>
    <w:rsid w:val="007658EB"/>
    <w:rsid w:val="0076636C"/>
    <w:rsid w:val="00772167"/>
    <w:rsid w:val="00773188"/>
    <w:rsid w:val="00776081"/>
    <w:rsid w:val="0077698E"/>
    <w:rsid w:val="007817D0"/>
    <w:rsid w:val="00782475"/>
    <w:rsid w:val="00783782"/>
    <w:rsid w:val="00783922"/>
    <w:rsid w:val="007844C6"/>
    <w:rsid w:val="00784B8C"/>
    <w:rsid w:val="0078630D"/>
    <w:rsid w:val="007879E1"/>
    <w:rsid w:val="007910AD"/>
    <w:rsid w:val="007923E6"/>
    <w:rsid w:val="007925B4"/>
    <w:rsid w:val="00792BCE"/>
    <w:rsid w:val="00793AEB"/>
    <w:rsid w:val="00795A81"/>
    <w:rsid w:val="00797D8E"/>
    <w:rsid w:val="007A10ED"/>
    <w:rsid w:val="007A29DE"/>
    <w:rsid w:val="007A2A07"/>
    <w:rsid w:val="007A71BF"/>
    <w:rsid w:val="007B6BA5"/>
    <w:rsid w:val="007B7B9A"/>
    <w:rsid w:val="007B7DB4"/>
    <w:rsid w:val="007C1FE5"/>
    <w:rsid w:val="007C3118"/>
    <w:rsid w:val="007C3555"/>
    <w:rsid w:val="007C4165"/>
    <w:rsid w:val="007D08A9"/>
    <w:rsid w:val="007D0ABC"/>
    <w:rsid w:val="007D1263"/>
    <w:rsid w:val="007D40BB"/>
    <w:rsid w:val="007D5661"/>
    <w:rsid w:val="007E16C9"/>
    <w:rsid w:val="007E5A1C"/>
    <w:rsid w:val="007E5D5D"/>
    <w:rsid w:val="007E65B6"/>
    <w:rsid w:val="007F05A1"/>
    <w:rsid w:val="007F1321"/>
    <w:rsid w:val="007F51F4"/>
    <w:rsid w:val="007F532F"/>
    <w:rsid w:val="007F5BF6"/>
    <w:rsid w:val="007F6E41"/>
    <w:rsid w:val="00801540"/>
    <w:rsid w:val="00802826"/>
    <w:rsid w:val="00804734"/>
    <w:rsid w:val="00806226"/>
    <w:rsid w:val="00811BAE"/>
    <w:rsid w:val="00814BE5"/>
    <w:rsid w:val="00816052"/>
    <w:rsid w:val="00817C1E"/>
    <w:rsid w:val="00820CBB"/>
    <w:rsid w:val="00821A37"/>
    <w:rsid w:val="00823A11"/>
    <w:rsid w:val="00824514"/>
    <w:rsid w:val="00827C8B"/>
    <w:rsid w:val="00830570"/>
    <w:rsid w:val="008317FB"/>
    <w:rsid w:val="008400CB"/>
    <w:rsid w:val="00845A5E"/>
    <w:rsid w:val="008465C6"/>
    <w:rsid w:val="008476B2"/>
    <w:rsid w:val="00853E54"/>
    <w:rsid w:val="0085405E"/>
    <w:rsid w:val="0085414A"/>
    <w:rsid w:val="00856E81"/>
    <w:rsid w:val="0085719A"/>
    <w:rsid w:val="008576CF"/>
    <w:rsid w:val="00857A7F"/>
    <w:rsid w:val="00857EB9"/>
    <w:rsid w:val="0086009D"/>
    <w:rsid w:val="00860989"/>
    <w:rsid w:val="0086269D"/>
    <w:rsid w:val="0086543A"/>
    <w:rsid w:val="0087017B"/>
    <w:rsid w:val="008702E2"/>
    <w:rsid w:val="008724E5"/>
    <w:rsid w:val="00873424"/>
    <w:rsid w:val="0087572C"/>
    <w:rsid w:val="00877FF6"/>
    <w:rsid w:val="00880A2C"/>
    <w:rsid w:val="00880B04"/>
    <w:rsid w:val="00882B4A"/>
    <w:rsid w:val="00884A9D"/>
    <w:rsid w:val="0088512B"/>
    <w:rsid w:val="00887065"/>
    <w:rsid w:val="008930DB"/>
    <w:rsid w:val="008940C5"/>
    <w:rsid w:val="00895EB8"/>
    <w:rsid w:val="00896C3D"/>
    <w:rsid w:val="0089701E"/>
    <w:rsid w:val="0089714F"/>
    <w:rsid w:val="008A04FB"/>
    <w:rsid w:val="008A1042"/>
    <w:rsid w:val="008A1BAF"/>
    <w:rsid w:val="008A2B2D"/>
    <w:rsid w:val="008A3AD3"/>
    <w:rsid w:val="008A4E1E"/>
    <w:rsid w:val="008A5A69"/>
    <w:rsid w:val="008A63CF"/>
    <w:rsid w:val="008B0E49"/>
    <w:rsid w:val="008B18C7"/>
    <w:rsid w:val="008B1DAD"/>
    <w:rsid w:val="008B24E4"/>
    <w:rsid w:val="008B2761"/>
    <w:rsid w:val="008B60FD"/>
    <w:rsid w:val="008C25D9"/>
    <w:rsid w:val="008C296C"/>
    <w:rsid w:val="008C43B5"/>
    <w:rsid w:val="008C4CF6"/>
    <w:rsid w:val="008C4F21"/>
    <w:rsid w:val="008C7AC5"/>
    <w:rsid w:val="008C7C4A"/>
    <w:rsid w:val="008D32C4"/>
    <w:rsid w:val="008D3A5E"/>
    <w:rsid w:val="008D4305"/>
    <w:rsid w:val="008D539B"/>
    <w:rsid w:val="008D5BF5"/>
    <w:rsid w:val="008D7B5F"/>
    <w:rsid w:val="008E1A85"/>
    <w:rsid w:val="008E25F8"/>
    <w:rsid w:val="008E332A"/>
    <w:rsid w:val="008E7C8F"/>
    <w:rsid w:val="008F01A3"/>
    <w:rsid w:val="008F0C7D"/>
    <w:rsid w:val="008F6FAE"/>
    <w:rsid w:val="0090623D"/>
    <w:rsid w:val="00913E5D"/>
    <w:rsid w:val="009142D1"/>
    <w:rsid w:val="00914C5B"/>
    <w:rsid w:val="009163A7"/>
    <w:rsid w:val="009163C4"/>
    <w:rsid w:val="0092091A"/>
    <w:rsid w:val="009258AD"/>
    <w:rsid w:val="009329CC"/>
    <w:rsid w:val="00933ED6"/>
    <w:rsid w:val="00936052"/>
    <w:rsid w:val="009360B0"/>
    <w:rsid w:val="00936CDF"/>
    <w:rsid w:val="00942C6B"/>
    <w:rsid w:val="00946D0B"/>
    <w:rsid w:val="00946D67"/>
    <w:rsid w:val="009479DB"/>
    <w:rsid w:val="009519E0"/>
    <w:rsid w:val="00951E23"/>
    <w:rsid w:val="00953C94"/>
    <w:rsid w:val="00955877"/>
    <w:rsid w:val="00963455"/>
    <w:rsid w:val="00965115"/>
    <w:rsid w:val="00971763"/>
    <w:rsid w:val="00975E98"/>
    <w:rsid w:val="00977C61"/>
    <w:rsid w:val="009800DF"/>
    <w:rsid w:val="0098061D"/>
    <w:rsid w:val="009825E7"/>
    <w:rsid w:val="00982656"/>
    <w:rsid w:val="00982821"/>
    <w:rsid w:val="00985DC8"/>
    <w:rsid w:val="0098637B"/>
    <w:rsid w:val="0098688B"/>
    <w:rsid w:val="00987747"/>
    <w:rsid w:val="00987830"/>
    <w:rsid w:val="00991A17"/>
    <w:rsid w:val="00991F1B"/>
    <w:rsid w:val="00991FD3"/>
    <w:rsid w:val="00992011"/>
    <w:rsid w:val="00996351"/>
    <w:rsid w:val="00997096"/>
    <w:rsid w:val="009A0D3C"/>
    <w:rsid w:val="009A15BA"/>
    <w:rsid w:val="009A18CD"/>
    <w:rsid w:val="009A379F"/>
    <w:rsid w:val="009A6350"/>
    <w:rsid w:val="009A7D35"/>
    <w:rsid w:val="009B2B78"/>
    <w:rsid w:val="009B3997"/>
    <w:rsid w:val="009B4676"/>
    <w:rsid w:val="009B64AD"/>
    <w:rsid w:val="009B6EA6"/>
    <w:rsid w:val="009C0D14"/>
    <w:rsid w:val="009C1744"/>
    <w:rsid w:val="009C1978"/>
    <w:rsid w:val="009C46EB"/>
    <w:rsid w:val="009C79E6"/>
    <w:rsid w:val="009D0B88"/>
    <w:rsid w:val="009D231E"/>
    <w:rsid w:val="009D5204"/>
    <w:rsid w:val="009D5428"/>
    <w:rsid w:val="009D6EFD"/>
    <w:rsid w:val="009D7720"/>
    <w:rsid w:val="009E28AD"/>
    <w:rsid w:val="009E3206"/>
    <w:rsid w:val="009E488E"/>
    <w:rsid w:val="009E4B4C"/>
    <w:rsid w:val="009E4BD7"/>
    <w:rsid w:val="009E6463"/>
    <w:rsid w:val="009E6A94"/>
    <w:rsid w:val="009F03FD"/>
    <w:rsid w:val="009F5CE8"/>
    <w:rsid w:val="00A039C0"/>
    <w:rsid w:val="00A104EA"/>
    <w:rsid w:val="00A11BA0"/>
    <w:rsid w:val="00A12558"/>
    <w:rsid w:val="00A13903"/>
    <w:rsid w:val="00A1572F"/>
    <w:rsid w:val="00A157CA"/>
    <w:rsid w:val="00A2178C"/>
    <w:rsid w:val="00A22FCF"/>
    <w:rsid w:val="00A23005"/>
    <w:rsid w:val="00A250DC"/>
    <w:rsid w:val="00A25CFF"/>
    <w:rsid w:val="00A269DE"/>
    <w:rsid w:val="00A2747C"/>
    <w:rsid w:val="00A315FA"/>
    <w:rsid w:val="00A333DB"/>
    <w:rsid w:val="00A34ED5"/>
    <w:rsid w:val="00A35078"/>
    <w:rsid w:val="00A3765B"/>
    <w:rsid w:val="00A4417A"/>
    <w:rsid w:val="00A45DBF"/>
    <w:rsid w:val="00A4628C"/>
    <w:rsid w:val="00A50283"/>
    <w:rsid w:val="00A50AE4"/>
    <w:rsid w:val="00A5568F"/>
    <w:rsid w:val="00A55B0D"/>
    <w:rsid w:val="00A57E5F"/>
    <w:rsid w:val="00A610FB"/>
    <w:rsid w:val="00A61E01"/>
    <w:rsid w:val="00A636C5"/>
    <w:rsid w:val="00A651BB"/>
    <w:rsid w:val="00A66021"/>
    <w:rsid w:val="00A66075"/>
    <w:rsid w:val="00A662C6"/>
    <w:rsid w:val="00A66863"/>
    <w:rsid w:val="00A70464"/>
    <w:rsid w:val="00A725CF"/>
    <w:rsid w:val="00A7508B"/>
    <w:rsid w:val="00A755A2"/>
    <w:rsid w:val="00A761FF"/>
    <w:rsid w:val="00A770F8"/>
    <w:rsid w:val="00A81991"/>
    <w:rsid w:val="00A81E2D"/>
    <w:rsid w:val="00A838AE"/>
    <w:rsid w:val="00A844B0"/>
    <w:rsid w:val="00A84A87"/>
    <w:rsid w:val="00A84AC7"/>
    <w:rsid w:val="00A86938"/>
    <w:rsid w:val="00A86E4F"/>
    <w:rsid w:val="00A87D3A"/>
    <w:rsid w:val="00A92DEB"/>
    <w:rsid w:val="00AA4C21"/>
    <w:rsid w:val="00AA4EC7"/>
    <w:rsid w:val="00AA6660"/>
    <w:rsid w:val="00AA7D83"/>
    <w:rsid w:val="00AB0191"/>
    <w:rsid w:val="00AB0215"/>
    <w:rsid w:val="00AB06B7"/>
    <w:rsid w:val="00AB0AEE"/>
    <w:rsid w:val="00AB2181"/>
    <w:rsid w:val="00AB2C36"/>
    <w:rsid w:val="00AB4E8A"/>
    <w:rsid w:val="00AB66AF"/>
    <w:rsid w:val="00AB679A"/>
    <w:rsid w:val="00AB6DDE"/>
    <w:rsid w:val="00AB70B6"/>
    <w:rsid w:val="00AC0E42"/>
    <w:rsid w:val="00AC0F0E"/>
    <w:rsid w:val="00AC1098"/>
    <w:rsid w:val="00AC18F9"/>
    <w:rsid w:val="00AC2EEE"/>
    <w:rsid w:val="00AC4687"/>
    <w:rsid w:val="00AC4FA0"/>
    <w:rsid w:val="00AD1A86"/>
    <w:rsid w:val="00AD3281"/>
    <w:rsid w:val="00AD35BF"/>
    <w:rsid w:val="00AE103E"/>
    <w:rsid w:val="00AE3D34"/>
    <w:rsid w:val="00AE5963"/>
    <w:rsid w:val="00AF0878"/>
    <w:rsid w:val="00AF0A07"/>
    <w:rsid w:val="00AF197D"/>
    <w:rsid w:val="00AF21C3"/>
    <w:rsid w:val="00AF3CCE"/>
    <w:rsid w:val="00AF4AEC"/>
    <w:rsid w:val="00AF5788"/>
    <w:rsid w:val="00AF5B56"/>
    <w:rsid w:val="00AF625E"/>
    <w:rsid w:val="00AF7632"/>
    <w:rsid w:val="00B0073F"/>
    <w:rsid w:val="00B03D5A"/>
    <w:rsid w:val="00B04B3E"/>
    <w:rsid w:val="00B117D5"/>
    <w:rsid w:val="00B1198E"/>
    <w:rsid w:val="00B12D78"/>
    <w:rsid w:val="00B139BE"/>
    <w:rsid w:val="00B14EED"/>
    <w:rsid w:val="00B2172B"/>
    <w:rsid w:val="00B21B38"/>
    <w:rsid w:val="00B26F5E"/>
    <w:rsid w:val="00B31A86"/>
    <w:rsid w:val="00B35D23"/>
    <w:rsid w:val="00B360E9"/>
    <w:rsid w:val="00B37652"/>
    <w:rsid w:val="00B419FB"/>
    <w:rsid w:val="00B445F5"/>
    <w:rsid w:val="00B45112"/>
    <w:rsid w:val="00B47ACC"/>
    <w:rsid w:val="00B60AF0"/>
    <w:rsid w:val="00B64851"/>
    <w:rsid w:val="00B66212"/>
    <w:rsid w:val="00B72A33"/>
    <w:rsid w:val="00B73194"/>
    <w:rsid w:val="00B7329C"/>
    <w:rsid w:val="00B7604B"/>
    <w:rsid w:val="00B84084"/>
    <w:rsid w:val="00B84662"/>
    <w:rsid w:val="00B84DD7"/>
    <w:rsid w:val="00B90511"/>
    <w:rsid w:val="00B95BF2"/>
    <w:rsid w:val="00B96840"/>
    <w:rsid w:val="00B9792F"/>
    <w:rsid w:val="00BA1309"/>
    <w:rsid w:val="00BA241A"/>
    <w:rsid w:val="00BA2EAA"/>
    <w:rsid w:val="00BA2F9B"/>
    <w:rsid w:val="00BA4743"/>
    <w:rsid w:val="00BA5635"/>
    <w:rsid w:val="00BB04AF"/>
    <w:rsid w:val="00BB4685"/>
    <w:rsid w:val="00BB5110"/>
    <w:rsid w:val="00BB5288"/>
    <w:rsid w:val="00BB562D"/>
    <w:rsid w:val="00BB7882"/>
    <w:rsid w:val="00BC209A"/>
    <w:rsid w:val="00BC3923"/>
    <w:rsid w:val="00BC415B"/>
    <w:rsid w:val="00BC4167"/>
    <w:rsid w:val="00BC4BDC"/>
    <w:rsid w:val="00BC585F"/>
    <w:rsid w:val="00BC7881"/>
    <w:rsid w:val="00BC799C"/>
    <w:rsid w:val="00BD0800"/>
    <w:rsid w:val="00BD0C1E"/>
    <w:rsid w:val="00BD23D6"/>
    <w:rsid w:val="00BD2774"/>
    <w:rsid w:val="00BD289E"/>
    <w:rsid w:val="00BD52C9"/>
    <w:rsid w:val="00BD790D"/>
    <w:rsid w:val="00BD7D44"/>
    <w:rsid w:val="00BD7D94"/>
    <w:rsid w:val="00BE03F1"/>
    <w:rsid w:val="00BE6354"/>
    <w:rsid w:val="00BE6718"/>
    <w:rsid w:val="00BF285D"/>
    <w:rsid w:val="00BF37B0"/>
    <w:rsid w:val="00BF63E0"/>
    <w:rsid w:val="00BF7EEB"/>
    <w:rsid w:val="00BF7F7E"/>
    <w:rsid w:val="00C002BB"/>
    <w:rsid w:val="00C0033C"/>
    <w:rsid w:val="00C02D81"/>
    <w:rsid w:val="00C04FA0"/>
    <w:rsid w:val="00C053E0"/>
    <w:rsid w:val="00C138D1"/>
    <w:rsid w:val="00C15916"/>
    <w:rsid w:val="00C15B54"/>
    <w:rsid w:val="00C20169"/>
    <w:rsid w:val="00C22501"/>
    <w:rsid w:val="00C228D6"/>
    <w:rsid w:val="00C237A4"/>
    <w:rsid w:val="00C23A97"/>
    <w:rsid w:val="00C27655"/>
    <w:rsid w:val="00C27DEF"/>
    <w:rsid w:val="00C27E0B"/>
    <w:rsid w:val="00C316B4"/>
    <w:rsid w:val="00C34E07"/>
    <w:rsid w:val="00C371B2"/>
    <w:rsid w:val="00C37FA3"/>
    <w:rsid w:val="00C4071B"/>
    <w:rsid w:val="00C410B1"/>
    <w:rsid w:val="00C41637"/>
    <w:rsid w:val="00C44D94"/>
    <w:rsid w:val="00C455F4"/>
    <w:rsid w:val="00C45901"/>
    <w:rsid w:val="00C51DCC"/>
    <w:rsid w:val="00C521F6"/>
    <w:rsid w:val="00C52E49"/>
    <w:rsid w:val="00C52EBE"/>
    <w:rsid w:val="00C54618"/>
    <w:rsid w:val="00C5776D"/>
    <w:rsid w:val="00C61D1A"/>
    <w:rsid w:val="00C61F3E"/>
    <w:rsid w:val="00C64855"/>
    <w:rsid w:val="00C6558B"/>
    <w:rsid w:val="00C65B93"/>
    <w:rsid w:val="00C6643D"/>
    <w:rsid w:val="00C67C21"/>
    <w:rsid w:val="00C70B4B"/>
    <w:rsid w:val="00C70EA7"/>
    <w:rsid w:val="00C7433F"/>
    <w:rsid w:val="00C7516E"/>
    <w:rsid w:val="00C75770"/>
    <w:rsid w:val="00C75EC8"/>
    <w:rsid w:val="00C76C60"/>
    <w:rsid w:val="00C8028E"/>
    <w:rsid w:val="00C83594"/>
    <w:rsid w:val="00C86A2B"/>
    <w:rsid w:val="00C912A2"/>
    <w:rsid w:val="00C923E5"/>
    <w:rsid w:val="00C93B4E"/>
    <w:rsid w:val="00C953BA"/>
    <w:rsid w:val="00C956AF"/>
    <w:rsid w:val="00C96F7A"/>
    <w:rsid w:val="00CA00F0"/>
    <w:rsid w:val="00CA3AC4"/>
    <w:rsid w:val="00CA4E41"/>
    <w:rsid w:val="00CA56BB"/>
    <w:rsid w:val="00CA651B"/>
    <w:rsid w:val="00CB0542"/>
    <w:rsid w:val="00CB0D06"/>
    <w:rsid w:val="00CB5546"/>
    <w:rsid w:val="00CC2399"/>
    <w:rsid w:val="00CC5F50"/>
    <w:rsid w:val="00CD2F8C"/>
    <w:rsid w:val="00CD7BCA"/>
    <w:rsid w:val="00CE1B97"/>
    <w:rsid w:val="00CE7491"/>
    <w:rsid w:val="00CE7C34"/>
    <w:rsid w:val="00CF0625"/>
    <w:rsid w:val="00CF1B55"/>
    <w:rsid w:val="00CF2C70"/>
    <w:rsid w:val="00CF419A"/>
    <w:rsid w:val="00CF5A15"/>
    <w:rsid w:val="00CF606F"/>
    <w:rsid w:val="00D00B2B"/>
    <w:rsid w:val="00D10AF6"/>
    <w:rsid w:val="00D11CF4"/>
    <w:rsid w:val="00D13D46"/>
    <w:rsid w:val="00D153FB"/>
    <w:rsid w:val="00D15C91"/>
    <w:rsid w:val="00D214F3"/>
    <w:rsid w:val="00D21C82"/>
    <w:rsid w:val="00D244EF"/>
    <w:rsid w:val="00D24877"/>
    <w:rsid w:val="00D2684E"/>
    <w:rsid w:val="00D27E42"/>
    <w:rsid w:val="00D30955"/>
    <w:rsid w:val="00D35047"/>
    <w:rsid w:val="00D360DF"/>
    <w:rsid w:val="00D41D59"/>
    <w:rsid w:val="00D41E6D"/>
    <w:rsid w:val="00D43A2C"/>
    <w:rsid w:val="00D471D3"/>
    <w:rsid w:val="00D52022"/>
    <w:rsid w:val="00D53D10"/>
    <w:rsid w:val="00D54E8C"/>
    <w:rsid w:val="00D57C7F"/>
    <w:rsid w:val="00D6051C"/>
    <w:rsid w:val="00D60BEC"/>
    <w:rsid w:val="00D61CA8"/>
    <w:rsid w:val="00D62CBC"/>
    <w:rsid w:val="00D64E01"/>
    <w:rsid w:val="00D6533E"/>
    <w:rsid w:val="00D67DC3"/>
    <w:rsid w:val="00D7105A"/>
    <w:rsid w:val="00D73723"/>
    <w:rsid w:val="00D73D64"/>
    <w:rsid w:val="00D7561C"/>
    <w:rsid w:val="00D77BC3"/>
    <w:rsid w:val="00D804BF"/>
    <w:rsid w:val="00D81B30"/>
    <w:rsid w:val="00D8250F"/>
    <w:rsid w:val="00D83874"/>
    <w:rsid w:val="00D877B1"/>
    <w:rsid w:val="00D93586"/>
    <w:rsid w:val="00D95C4C"/>
    <w:rsid w:val="00D96682"/>
    <w:rsid w:val="00D97A49"/>
    <w:rsid w:val="00D97CBB"/>
    <w:rsid w:val="00DA0E05"/>
    <w:rsid w:val="00DA2073"/>
    <w:rsid w:val="00DA36ED"/>
    <w:rsid w:val="00DA41F7"/>
    <w:rsid w:val="00DA720B"/>
    <w:rsid w:val="00DA7423"/>
    <w:rsid w:val="00DB2308"/>
    <w:rsid w:val="00DB25D1"/>
    <w:rsid w:val="00DB2665"/>
    <w:rsid w:val="00DB2927"/>
    <w:rsid w:val="00DB4259"/>
    <w:rsid w:val="00DB4A41"/>
    <w:rsid w:val="00DB51EB"/>
    <w:rsid w:val="00DB6C8A"/>
    <w:rsid w:val="00DC14F3"/>
    <w:rsid w:val="00DC2A12"/>
    <w:rsid w:val="00DC380F"/>
    <w:rsid w:val="00DC4C31"/>
    <w:rsid w:val="00DC5E6E"/>
    <w:rsid w:val="00DD3465"/>
    <w:rsid w:val="00DD3A0F"/>
    <w:rsid w:val="00DD585A"/>
    <w:rsid w:val="00DD67DF"/>
    <w:rsid w:val="00DE34F1"/>
    <w:rsid w:val="00DE4BA7"/>
    <w:rsid w:val="00DE6160"/>
    <w:rsid w:val="00DF1221"/>
    <w:rsid w:val="00DF27E4"/>
    <w:rsid w:val="00DF2C23"/>
    <w:rsid w:val="00DF302C"/>
    <w:rsid w:val="00DF313A"/>
    <w:rsid w:val="00DF3194"/>
    <w:rsid w:val="00DF4942"/>
    <w:rsid w:val="00DF5A27"/>
    <w:rsid w:val="00DF6B02"/>
    <w:rsid w:val="00E00BA4"/>
    <w:rsid w:val="00E02462"/>
    <w:rsid w:val="00E0251A"/>
    <w:rsid w:val="00E10342"/>
    <w:rsid w:val="00E11EC8"/>
    <w:rsid w:val="00E1470C"/>
    <w:rsid w:val="00E16846"/>
    <w:rsid w:val="00E17C28"/>
    <w:rsid w:val="00E2125F"/>
    <w:rsid w:val="00E21E1E"/>
    <w:rsid w:val="00E23659"/>
    <w:rsid w:val="00E244E1"/>
    <w:rsid w:val="00E25976"/>
    <w:rsid w:val="00E2692E"/>
    <w:rsid w:val="00E310C2"/>
    <w:rsid w:val="00E32B4B"/>
    <w:rsid w:val="00E32CE8"/>
    <w:rsid w:val="00E4150C"/>
    <w:rsid w:val="00E4184C"/>
    <w:rsid w:val="00E43201"/>
    <w:rsid w:val="00E432AC"/>
    <w:rsid w:val="00E47351"/>
    <w:rsid w:val="00E50063"/>
    <w:rsid w:val="00E539D7"/>
    <w:rsid w:val="00E53EF9"/>
    <w:rsid w:val="00E56049"/>
    <w:rsid w:val="00E56182"/>
    <w:rsid w:val="00E5699B"/>
    <w:rsid w:val="00E6234F"/>
    <w:rsid w:val="00E623EF"/>
    <w:rsid w:val="00E627B1"/>
    <w:rsid w:val="00E63618"/>
    <w:rsid w:val="00E65868"/>
    <w:rsid w:val="00E65D25"/>
    <w:rsid w:val="00E70169"/>
    <w:rsid w:val="00E721BB"/>
    <w:rsid w:val="00E7470D"/>
    <w:rsid w:val="00E769DC"/>
    <w:rsid w:val="00E77845"/>
    <w:rsid w:val="00E82B23"/>
    <w:rsid w:val="00E8505C"/>
    <w:rsid w:val="00E91607"/>
    <w:rsid w:val="00E92525"/>
    <w:rsid w:val="00E9376C"/>
    <w:rsid w:val="00E9410D"/>
    <w:rsid w:val="00E952F0"/>
    <w:rsid w:val="00E95AE2"/>
    <w:rsid w:val="00E97D72"/>
    <w:rsid w:val="00EA335E"/>
    <w:rsid w:val="00EA3438"/>
    <w:rsid w:val="00EA3787"/>
    <w:rsid w:val="00EA528C"/>
    <w:rsid w:val="00EA580C"/>
    <w:rsid w:val="00EA61F6"/>
    <w:rsid w:val="00EA7D6C"/>
    <w:rsid w:val="00EB0106"/>
    <w:rsid w:val="00EB04B2"/>
    <w:rsid w:val="00EB798B"/>
    <w:rsid w:val="00EC34CF"/>
    <w:rsid w:val="00EC38C9"/>
    <w:rsid w:val="00EC3CF6"/>
    <w:rsid w:val="00EC3DBE"/>
    <w:rsid w:val="00EC48F0"/>
    <w:rsid w:val="00EC4B43"/>
    <w:rsid w:val="00EC6F8D"/>
    <w:rsid w:val="00ED2086"/>
    <w:rsid w:val="00ED39B2"/>
    <w:rsid w:val="00ED3FF2"/>
    <w:rsid w:val="00ED5A0F"/>
    <w:rsid w:val="00ED6363"/>
    <w:rsid w:val="00ED6464"/>
    <w:rsid w:val="00EE0103"/>
    <w:rsid w:val="00EE1F34"/>
    <w:rsid w:val="00EE49F4"/>
    <w:rsid w:val="00EE7C20"/>
    <w:rsid w:val="00EE7DB6"/>
    <w:rsid w:val="00EF3112"/>
    <w:rsid w:val="00EF34E2"/>
    <w:rsid w:val="00EF70DB"/>
    <w:rsid w:val="00F0262F"/>
    <w:rsid w:val="00F04EFB"/>
    <w:rsid w:val="00F0560C"/>
    <w:rsid w:val="00F06D5B"/>
    <w:rsid w:val="00F070FB"/>
    <w:rsid w:val="00F076AC"/>
    <w:rsid w:val="00F142FD"/>
    <w:rsid w:val="00F1442C"/>
    <w:rsid w:val="00F16293"/>
    <w:rsid w:val="00F17547"/>
    <w:rsid w:val="00F21255"/>
    <w:rsid w:val="00F23429"/>
    <w:rsid w:val="00F23F80"/>
    <w:rsid w:val="00F2500C"/>
    <w:rsid w:val="00F3029C"/>
    <w:rsid w:val="00F30DC6"/>
    <w:rsid w:val="00F311B3"/>
    <w:rsid w:val="00F324FA"/>
    <w:rsid w:val="00F32C23"/>
    <w:rsid w:val="00F35CEB"/>
    <w:rsid w:val="00F37BCB"/>
    <w:rsid w:val="00F4035F"/>
    <w:rsid w:val="00F40D64"/>
    <w:rsid w:val="00F41272"/>
    <w:rsid w:val="00F5176A"/>
    <w:rsid w:val="00F52D94"/>
    <w:rsid w:val="00F53DE9"/>
    <w:rsid w:val="00F54BFB"/>
    <w:rsid w:val="00F55DB3"/>
    <w:rsid w:val="00F57119"/>
    <w:rsid w:val="00F576CB"/>
    <w:rsid w:val="00F622D9"/>
    <w:rsid w:val="00F6250D"/>
    <w:rsid w:val="00F64EEC"/>
    <w:rsid w:val="00F65A5E"/>
    <w:rsid w:val="00F7035D"/>
    <w:rsid w:val="00F71A02"/>
    <w:rsid w:val="00F71D2A"/>
    <w:rsid w:val="00F77901"/>
    <w:rsid w:val="00F80EE2"/>
    <w:rsid w:val="00F94FAE"/>
    <w:rsid w:val="00FA07C7"/>
    <w:rsid w:val="00FA0D63"/>
    <w:rsid w:val="00FA1031"/>
    <w:rsid w:val="00FA27B0"/>
    <w:rsid w:val="00FA4AC2"/>
    <w:rsid w:val="00FA4CBC"/>
    <w:rsid w:val="00FA5F87"/>
    <w:rsid w:val="00FB0001"/>
    <w:rsid w:val="00FB044B"/>
    <w:rsid w:val="00FB0BEB"/>
    <w:rsid w:val="00FB0CCE"/>
    <w:rsid w:val="00FB0F65"/>
    <w:rsid w:val="00FB1D63"/>
    <w:rsid w:val="00FB4006"/>
    <w:rsid w:val="00FB54EA"/>
    <w:rsid w:val="00FB57C4"/>
    <w:rsid w:val="00FB702D"/>
    <w:rsid w:val="00FC3B33"/>
    <w:rsid w:val="00FC61F4"/>
    <w:rsid w:val="00FD1226"/>
    <w:rsid w:val="00FD440C"/>
    <w:rsid w:val="00FD44B1"/>
    <w:rsid w:val="00FD5491"/>
    <w:rsid w:val="00FE377D"/>
    <w:rsid w:val="00FE418A"/>
    <w:rsid w:val="00FE57E2"/>
    <w:rsid w:val="00FE5A1A"/>
    <w:rsid w:val="00FE7FCE"/>
    <w:rsid w:val="00FF06B6"/>
    <w:rsid w:val="00FF16EE"/>
    <w:rsid w:val="00FF358C"/>
    <w:rsid w:val="00FF4830"/>
    <w:rsid w:val="00FF54A3"/>
    <w:rsid w:val="00FF61B2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8F6C37C"/>
  <w15:docId w15:val="{E91F9A5A-D8AC-49BF-8BB6-64E3293E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rsid w:val="00A92D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fr-FR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aliases w:val="List Paragraph (numbered (a)),Lapis Bulleted List,Dot pt,F5 List Paragraph,List Paragraph Char Char Char,Indicator Text,Numbered Para 1,Bullet 1,List Paragraph12,Bullet Points,MAIN CONTENT,List Paragraph1"/>
    <w:basedOn w:val="Normal"/>
    <w:link w:val="ParagraphedelisteCar"/>
    <w:uiPriority w:val="34"/>
    <w:qFormat/>
    <w:rsid w:val="004A287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572C"/>
    <w:rPr>
      <w:color w:val="0000FF" w:themeColor="hyperlink"/>
      <w:u w:val="single"/>
    </w:rPr>
  </w:style>
  <w:style w:type="character" w:customStyle="1" w:styleId="hps">
    <w:name w:val="hps"/>
    <w:rsid w:val="00CA3AC4"/>
  </w:style>
  <w:style w:type="character" w:customStyle="1" w:styleId="ac">
    <w:name w:val="ac"/>
    <w:basedOn w:val="Policepardfaut"/>
    <w:rsid w:val="00CA3AC4"/>
  </w:style>
  <w:style w:type="character" w:styleId="Marquedecommentaire">
    <w:name w:val="annotation reference"/>
    <w:basedOn w:val="Policepardfaut"/>
    <w:uiPriority w:val="99"/>
    <w:semiHidden/>
    <w:unhideWhenUsed/>
    <w:rsid w:val="002C62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62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6266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62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6266"/>
    <w:rPr>
      <w:rFonts w:ascii="Times New Roman" w:eastAsia="Times New Roman" w:hAnsi="Times New Roman"/>
      <w:b/>
      <w:bCs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AF21C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C4B43"/>
    <w:rPr>
      <w:rFonts w:ascii="Times New Roman" w:eastAsia="Times New Roman" w:hAnsi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FD549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81991"/>
    <w:pPr>
      <w:spacing w:before="100" w:beforeAutospacing="1" w:after="100" w:afterAutospacing="1"/>
    </w:pPr>
    <w:rPr>
      <w:lang w:eastAsia="zh-CN"/>
    </w:rPr>
  </w:style>
  <w:style w:type="character" w:customStyle="1" w:styleId="ParagraphedelisteCar">
    <w:name w:val="Paragraphe de liste Car"/>
    <w:aliases w:val="List Paragraph (numbered (a)) Car,Lapis Bulleted List Car,Dot pt Car,F5 List Paragraph Car,List Paragraph Char Char Char Car,Indicator Text Car,Numbered Para 1 Car,Bullet 1 Car,List Paragraph12 Car,Bullet Points Car"/>
    <w:link w:val="Paragraphedeliste"/>
    <w:uiPriority w:val="34"/>
    <w:locked/>
    <w:rsid w:val="00FE57E2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_1"/>
    <w:basedOn w:val="Marge"/>
    <w:link w:val="Bullet1Char"/>
    <w:qFormat/>
    <w:rsid w:val="0019235F"/>
    <w:pPr>
      <w:numPr>
        <w:numId w:val="31"/>
      </w:numPr>
      <w:tabs>
        <w:tab w:val="clear" w:pos="567"/>
      </w:tabs>
      <w:spacing w:before="240" w:line="360" w:lineRule="auto"/>
      <w:ind w:left="567" w:hanging="567"/>
    </w:pPr>
    <w:rPr>
      <w:rFonts w:eastAsia="SimSun" w:cs="Arial"/>
      <w:sz w:val="28"/>
      <w:szCs w:val="28"/>
      <w:lang w:eastAsia="zh-CN"/>
    </w:rPr>
  </w:style>
  <w:style w:type="paragraph" w:customStyle="1" w:styleId="Bullet2">
    <w:name w:val="Bullet_2"/>
    <w:basedOn w:val="Marge"/>
    <w:qFormat/>
    <w:rsid w:val="0019235F"/>
    <w:pPr>
      <w:numPr>
        <w:ilvl w:val="1"/>
        <w:numId w:val="31"/>
      </w:numPr>
      <w:tabs>
        <w:tab w:val="clear" w:pos="567"/>
      </w:tabs>
      <w:spacing w:before="240" w:line="360" w:lineRule="auto"/>
      <w:ind w:left="1134" w:hanging="567"/>
    </w:pPr>
    <w:rPr>
      <w:rFonts w:eastAsia="SimSun" w:cs="Arial"/>
      <w:sz w:val="28"/>
      <w:szCs w:val="28"/>
      <w:lang w:eastAsia="zh-CN"/>
    </w:rPr>
  </w:style>
  <w:style w:type="character" w:customStyle="1" w:styleId="MargeChar">
    <w:name w:val="Marge Char"/>
    <w:link w:val="Marge"/>
    <w:rsid w:val="0019235F"/>
    <w:rPr>
      <w:rFonts w:ascii="Arial" w:eastAsia="Times New Roman" w:hAnsi="Arial"/>
      <w:snapToGrid w:val="0"/>
      <w:sz w:val="22"/>
      <w:szCs w:val="24"/>
      <w:lang w:eastAsia="en-US"/>
    </w:rPr>
  </w:style>
  <w:style w:type="character" w:customStyle="1" w:styleId="Bullet1Char">
    <w:name w:val="Bullet_1 Char"/>
    <w:link w:val="Bullet1"/>
    <w:rsid w:val="0019235F"/>
    <w:rPr>
      <w:rFonts w:ascii="Arial" w:hAnsi="Arial" w:cs="Arial"/>
      <w:snapToGrid w:val="0"/>
      <w:sz w:val="28"/>
      <w:szCs w:val="28"/>
      <w:lang w:val="fr-FR" w:eastAsia="zh-CN"/>
    </w:rPr>
  </w:style>
  <w:style w:type="character" w:customStyle="1" w:styleId="Titre1Car">
    <w:name w:val="Titre 1 Car"/>
    <w:basedOn w:val="Policepardfaut"/>
    <w:link w:val="Titre1"/>
    <w:uiPriority w:val="9"/>
    <w:rsid w:val="00A92D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9D6EFD"/>
    <w:rPr>
      <w:b/>
      <w:bCs/>
    </w:rPr>
  </w:style>
  <w:style w:type="character" w:customStyle="1" w:styleId="s1">
    <w:name w:val="s1"/>
    <w:basedOn w:val="Policepardfaut"/>
    <w:rsid w:val="00761BF4"/>
    <w:rPr>
      <w:rFonts w:ascii="Times New Roman" w:hAnsi="Times New Roman" w:cs="Times New Roman" w:hint="default"/>
    </w:rPr>
  </w:style>
  <w:style w:type="character" w:styleId="Mentionnonrsolue">
    <w:name w:val="Unresolved Mention"/>
    <w:basedOn w:val="Policepardfaut"/>
    <w:uiPriority w:val="99"/>
    <w:semiHidden/>
    <w:unhideWhenUsed/>
    <w:rsid w:val="00C52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ecisions/6.GA/5?dec=decisions&amp;ref_decision=6.GA" TargetMode="External"/><Relationship Id="rId13" Type="http://schemas.openxmlformats.org/officeDocument/2006/relationships/hyperlink" Target="https://ich.unesco.org/doc/src/LHE-20-8.GA-6+Add.-FR.docx" TargetMode="External"/><Relationship Id="rId18" Type="http://schemas.openxmlformats.org/officeDocument/2006/relationships/hyperlink" Target="https://ich.unesco.org/doc/src/LHE-21-16.COM-14-FR.docx" TargetMode="External"/><Relationship Id="rId26" Type="http://schemas.openxmlformats.org/officeDocument/2006/relationships/hyperlink" Target="https://ich.unesco.org/doc/src/LHE-21-16.COM-INF.13.1-FR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ich.unesco.org/fr/decisions/14.COM/15?dec=decisions&amp;ref_decision=14.COM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ich.unesco.org/doc/src/LHE-21-16.COM-13-FR.docx" TargetMode="External"/><Relationship Id="rId17" Type="http://schemas.openxmlformats.org/officeDocument/2006/relationships/hyperlink" Target="https://ich.unesco.org/fr/decisions/12.COM/14?dec=decisions&amp;ref_decision=12.COM" TargetMode="External"/><Relationship Id="rId25" Type="http://schemas.openxmlformats.org/officeDocument/2006/relationships/hyperlink" Target="https://ich.unesco.org/fr/decisions/12.COM/6?dec=decisions&amp;ref_decision=12.COM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ich.unesco.org/fr/decisions/8.GA/7?dec=decisions&amp;ref_decision=8.GA" TargetMode="External"/><Relationship Id="rId20" Type="http://schemas.openxmlformats.org/officeDocument/2006/relationships/hyperlink" Target="https://ich.unesco.org/dive/sdg/?language=fr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doc/src/LHE-21-16.COM-5.b-FR.docx" TargetMode="External"/><Relationship Id="rId24" Type="http://schemas.openxmlformats.org/officeDocument/2006/relationships/hyperlink" Target="https://ich.unesco.org/doc/src/LHE-21-16.COM-13-FR.docx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fr/decisions/8.GA/7?dec=decisions&amp;ref_decision=8.GA" TargetMode="External"/><Relationship Id="rId23" Type="http://schemas.openxmlformats.org/officeDocument/2006/relationships/hyperlink" Target="https://ich.unesco.org/fr/decisions/14.COM/7?dec=decisions&amp;ref_decision=14.COM" TargetMode="External"/><Relationship Id="rId28" Type="http://schemas.openxmlformats.org/officeDocument/2006/relationships/hyperlink" Target="https://ich.unesco.org/doc/src/LHE-21-16.COM-7.c-FR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ch.unesco.org/doc/src/LHE-20-8.GA-7_Rev.-FR.docx" TargetMode="External"/><Relationship Id="rId19" Type="http://schemas.openxmlformats.org/officeDocument/2006/relationships/hyperlink" Target="https://ich.unesco.org/fr/plongez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doc/src/LHE-20-8.GA-6+Add.-EN.docx" TargetMode="External"/><Relationship Id="rId14" Type="http://schemas.openxmlformats.org/officeDocument/2006/relationships/hyperlink" Target="https://ich.unesco.org/doc/src/LHE-21-16.COM-5.b-FR.docx" TargetMode="External"/><Relationship Id="rId22" Type="http://schemas.openxmlformats.org/officeDocument/2006/relationships/hyperlink" Target="https://ich.unesco.org/fr/decisions/15.COM/6?dec=decisions&amp;ref_decision=15.COM" TargetMode="External"/><Relationship Id="rId27" Type="http://schemas.openxmlformats.org/officeDocument/2006/relationships/hyperlink" Target="https://ich.unesco.org/fr/decisions/15.COM/7?dec=decisions&amp;ref_decision=15.COM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20DE-5746-44E3-A404-54508BD5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50</TotalTime>
  <Pages>7</Pages>
  <Words>3528</Words>
  <Characters>19410</Characters>
  <Application>Microsoft Office Word</Application>
  <DocSecurity>0</DocSecurity>
  <Lines>161</Lines>
  <Paragraphs>45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Lee, Doyun</cp:lastModifiedBy>
  <cp:revision>7</cp:revision>
  <cp:lastPrinted>2021-11-15T09:47:00Z</cp:lastPrinted>
  <dcterms:created xsi:type="dcterms:W3CDTF">2021-12-17T21:11:00Z</dcterms:created>
  <dcterms:modified xsi:type="dcterms:W3CDTF">2021-12-17T23:00:00Z</dcterms:modified>
</cp:coreProperties>
</file>