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D02C8" w14:textId="77777777" w:rsidR="00602194" w:rsidRPr="00940560" w:rsidRDefault="00602194" w:rsidP="00602194">
      <w:pPr>
        <w:spacing w:before="1200"/>
        <w:jc w:val="center"/>
        <w:rPr>
          <w:rFonts w:ascii="Arial" w:hAnsi="Arial" w:cs="Arial"/>
          <w:b/>
          <w:sz w:val="22"/>
          <w:szCs w:val="22"/>
          <w:lang w:val="en-US"/>
        </w:rPr>
      </w:pPr>
      <w:r w:rsidRPr="00940560">
        <w:rPr>
          <w:rFonts w:ascii="Arial" w:hAnsi="Arial" w:cs="Arial"/>
          <w:b/>
          <w:sz w:val="22"/>
          <w:szCs w:val="22"/>
          <w:lang w:val="en-US"/>
        </w:rPr>
        <w:t>CONVENTION FOR THE SAFEGUARDING OF THE</w:t>
      </w:r>
      <w:r w:rsidRPr="00940560">
        <w:rPr>
          <w:rFonts w:ascii="Arial" w:hAnsi="Arial" w:cs="Arial"/>
          <w:b/>
          <w:sz w:val="22"/>
          <w:szCs w:val="22"/>
          <w:lang w:val="en-US"/>
        </w:rPr>
        <w:br/>
        <w:t>INTANGIBLE CULTURAL HERITAGE</w:t>
      </w:r>
    </w:p>
    <w:p w14:paraId="13F09B7C" w14:textId="77777777" w:rsidR="00602194" w:rsidRPr="00940560" w:rsidRDefault="00602194" w:rsidP="00602194">
      <w:pPr>
        <w:spacing w:before="1200"/>
        <w:jc w:val="center"/>
        <w:rPr>
          <w:rFonts w:ascii="Arial" w:hAnsi="Arial" w:cs="Arial"/>
          <w:b/>
          <w:sz w:val="22"/>
          <w:szCs w:val="22"/>
          <w:lang w:val="en-US"/>
        </w:rPr>
      </w:pPr>
      <w:r w:rsidRPr="00940560">
        <w:rPr>
          <w:rFonts w:ascii="Arial" w:hAnsi="Arial" w:cs="Arial"/>
          <w:b/>
          <w:sz w:val="22"/>
          <w:szCs w:val="22"/>
          <w:lang w:val="en-US"/>
        </w:rPr>
        <w:t>INTERGOVERNMENTAL COMMITTEE FOR THE</w:t>
      </w:r>
      <w:r w:rsidRPr="00940560">
        <w:rPr>
          <w:rFonts w:ascii="Arial" w:hAnsi="Arial" w:cs="Arial"/>
          <w:b/>
          <w:sz w:val="22"/>
          <w:szCs w:val="22"/>
          <w:lang w:val="en-US"/>
        </w:rPr>
        <w:br/>
        <w:t>SAFEGUARDING OF THE INTANGIBLE CULTURAL HERITAGE</w:t>
      </w:r>
    </w:p>
    <w:p w14:paraId="10899BF2" w14:textId="77777777" w:rsidR="00602194" w:rsidRPr="00940560" w:rsidRDefault="00602194" w:rsidP="00602194">
      <w:pPr>
        <w:spacing w:before="840"/>
        <w:jc w:val="center"/>
        <w:rPr>
          <w:rFonts w:ascii="Arial" w:eastAsiaTheme="minorEastAsia" w:hAnsi="Arial" w:cs="Arial"/>
          <w:b/>
          <w:sz w:val="22"/>
          <w:szCs w:val="22"/>
          <w:lang w:val="en-US" w:eastAsia="ko-KR"/>
        </w:rPr>
      </w:pPr>
      <w:bookmarkStart w:id="0" w:name="_Hlk70514086"/>
      <w:r w:rsidRPr="00940560">
        <w:rPr>
          <w:rFonts w:ascii="Arial" w:eastAsiaTheme="minorEastAsia" w:hAnsi="Arial" w:cs="Arial"/>
          <w:b/>
          <w:sz w:val="22"/>
          <w:szCs w:val="22"/>
          <w:lang w:val="en-US" w:eastAsia="ko-KR"/>
        </w:rPr>
        <w:t xml:space="preserve">Sixteenth </w:t>
      </w:r>
      <w:bookmarkEnd w:id="0"/>
      <w:r w:rsidRPr="00940560">
        <w:rPr>
          <w:rFonts w:ascii="Arial" w:eastAsiaTheme="minorEastAsia" w:hAnsi="Arial" w:cs="Arial"/>
          <w:b/>
          <w:sz w:val="22"/>
          <w:szCs w:val="22"/>
          <w:lang w:val="en-US" w:eastAsia="ko-KR"/>
        </w:rPr>
        <w:t>session</w:t>
      </w:r>
    </w:p>
    <w:p w14:paraId="0A3059BA" w14:textId="2D050878" w:rsidR="00602194" w:rsidRPr="00940560" w:rsidRDefault="000B4474" w:rsidP="00602194">
      <w:pPr>
        <w:jc w:val="center"/>
        <w:rPr>
          <w:rFonts w:ascii="Arial" w:eastAsiaTheme="minorEastAsia" w:hAnsi="Arial" w:cs="Arial"/>
          <w:b/>
          <w:sz w:val="22"/>
          <w:szCs w:val="22"/>
          <w:lang w:val="en-US" w:eastAsia="ko-KR"/>
        </w:rPr>
      </w:pPr>
      <w:r>
        <w:rPr>
          <w:rFonts w:ascii="Arial" w:eastAsiaTheme="minorEastAsia" w:hAnsi="Arial" w:cs="Arial"/>
          <w:b/>
          <w:sz w:val="22"/>
          <w:szCs w:val="22"/>
          <w:lang w:val="en-US" w:eastAsia="ko-KR"/>
        </w:rPr>
        <w:t>Online</w:t>
      </w:r>
    </w:p>
    <w:p w14:paraId="7BEEDAA1" w14:textId="77777777" w:rsidR="00602194" w:rsidRPr="00940560" w:rsidRDefault="00602194" w:rsidP="00602194">
      <w:pPr>
        <w:jc w:val="center"/>
        <w:rPr>
          <w:rFonts w:ascii="Arial" w:eastAsiaTheme="minorEastAsia" w:hAnsi="Arial" w:cs="Arial"/>
          <w:b/>
          <w:sz w:val="22"/>
          <w:szCs w:val="22"/>
          <w:lang w:val="en-US" w:eastAsia="ko-KR"/>
        </w:rPr>
      </w:pPr>
      <w:r w:rsidRPr="00940560">
        <w:rPr>
          <w:rFonts w:ascii="Arial" w:eastAsiaTheme="minorEastAsia" w:hAnsi="Arial" w:cs="Arial"/>
          <w:b/>
          <w:sz w:val="22"/>
          <w:szCs w:val="22"/>
          <w:lang w:val="en-US" w:eastAsia="ko-KR"/>
        </w:rPr>
        <w:t>13 to 18 December 2021</w:t>
      </w:r>
    </w:p>
    <w:p w14:paraId="0365203A" w14:textId="4922A440" w:rsidR="00EC6F8D" w:rsidRPr="003C1CCC" w:rsidRDefault="00EC6F8D" w:rsidP="00EC6F8D">
      <w:pPr>
        <w:pStyle w:val="Sansinterligne2"/>
        <w:spacing w:before="1200"/>
        <w:jc w:val="center"/>
        <w:rPr>
          <w:rFonts w:ascii="Arial" w:hAnsi="Arial" w:cs="Arial"/>
          <w:b/>
          <w:sz w:val="22"/>
          <w:szCs w:val="22"/>
          <w:lang w:val="en-GB"/>
        </w:rPr>
      </w:pPr>
      <w:r w:rsidRPr="00897C8D">
        <w:rPr>
          <w:rFonts w:ascii="Arial" w:hAnsi="Arial" w:cs="Arial"/>
          <w:b/>
          <w:sz w:val="22"/>
          <w:szCs w:val="22"/>
          <w:u w:val="single"/>
          <w:lang w:val="en-GB"/>
        </w:rPr>
        <w:t xml:space="preserve">Item </w:t>
      </w:r>
      <w:r w:rsidR="00297537" w:rsidRPr="00897C8D">
        <w:rPr>
          <w:rFonts w:ascii="Arial" w:hAnsi="Arial" w:cs="Arial"/>
          <w:b/>
          <w:sz w:val="22"/>
          <w:szCs w:val="22"/>
          <w:u w:val="single"/>
          <w:lang w:val="en-GB"/>
        </w:rPr>
        <w:t>5.a</w:t>
      </w:r>
      <w:r w:rsidR="00651A5B" w:rsidRPr="003C1CCC">
        <w:rPr>
          <w:rFonts w:ascii="Arial" w:hAnsi="Arial" w:cs="Arial"/>
          <w:b/>
          <w:sz w:val="22"/>
          <w:szCs w:val="22"/>
          <w:u w:val="single"/>
          <w:lang w:val="en-GB"/>
        </w:rPr>
        <w:t xml:space="preserve"> </w:t>
      </w:r>
      <w:r w:rsidRPr="003C1CCC">
        <w:rPr>
          <w:rFonts w:ascii="Arial" w:hAnsi="Arial" w:cs="Arial"/>
          <w:b/>
          <w:sz w:val="22"/>
          <w:szCs w:val="22"/>
          <w:u w:val="single"/>
          <w:lang w:val="en-GB"/>
        </w:rPr>
        <w:t>of the Provisional Agenda</w:t>
      </w:r>
      <w:r w:rsidRPr="003C1CCC">
        <w:rPr>
          <w:rFonts w:ascii="Arial" w:hAnsi="Arial" w:cs="Arial"/>
          <w:b/>
          <w:sz w:val="22"/>
          <w:szCs w:val="22"/>
          <w:lang w:val="en-GB"/>
        </w:rPr>
        <w:t>:</w:t>
      </w:r>
    </w:p>
    <w:p w14:paraId="41B459E7" w14:textId="4BC925D4" w:rsidR="00A4628C" w:rsidRPr="003C1CCC" w:rsidRDefault="00A4628C" w:rsidP="00A4628C">
      <w:pPr>
        <w:pStyle w:val="Sansinterligne2"/>
        <w:spacing w:after="960"/>
        <w:jc w:val="center"/>
        <w:rPr>
          <w:rFonts w:ascii="Arial" w:hAnsi="Arial" w:cs="Arial"/>
          <w:b/>
          <w:sz w:val="22"/>
          <w:szCs w:val="22"/>
          <w:lang w:val="en-GB"/>
        </w:rPr>
      </w:pPr>
      <w:r w:rsidRPr="003C1CCC">
        <w:rPr>
          <w:rFonts w:ascii="Arial" w:hAnsi="Arial" w:cs="Arial"/>
          <w:b/>
          <w:sz w:val="22"/>
          <w:szCs w:val="22"/>
          <w:lang w:val="en-GB"/>
        </w:rPr>
        <w:t>Report by the Committee to the General Assembly</w:t>
      </w:r>
      <w:r w:rsidRPr="003C1CCC">
        <w:rPr>
          <w:rFonts w:ascii="Arial" w:hAnsi="Arial" w:cs="Arial"/>
          <w:b/>
          <w:sz w:val="22"/>
          <w:szCs w:val="22"/>
          <w:lang w:val="en-GB"/>
        </w:rPr>
        <w:br/>
        <w:t>on its activities (January 2020 to December 2021)</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C1CCC" w14:paraId="75AC6221" w14:textId="77777777" w:rsidTr="00EC6F8D">
        <w:trPr>
          <w:jc w:val="center"/>
        </w:trPr>
        <w:tc>
          <w:tcPr>
            <w:tcW w:w="5670" w:type="dxa"/>
            <w:vAlign w:val="center"/>
          </w:tcPr>
          <w:p w14:paraId="51C260A9" w14:textId="77777777" w:rsidR="00EC6F8D" w:rsidRPr="003C1CCC" w:rsidRDefault="00EC6F8D" w:rsidP="00CA56BB">
            <w:pPr>
              <w:pStyle w:val="Sansinterligne1"/>
              <w:spacing w:before="200" w:after="200"/>
              <w:jc w:val="center"/>
              <w:rPr>
                <w:rFonts w:ascii="Arial" w:hAnsi="Arial" w:cs="Arial"/>
                <w:b/>
                <w:sz w:val="22"/>
                <w:szCs w:val="22"/>
                <w:lang w:val="en-GB"/>
              </w:rPr>
            </w:pPr>
            <w:r w:rsidRPr="003C1CCC">
              <w:rPr>
                <w:rFonts w:ascii="Arial" w:hAnsi="Arial" w:cs="Arial"/>
                <w:b/>
                <w:sz w:val="22"/>
                <w:szCs w:val="22"/>
                <w:lang w:val="en-GB"/>
              </w:rPr>
              <w:t>Summary</w:t>
            </w:r>
          </w:p>
          <w:p w14:paraId="4B34C6D1" w14:textId="4496BF4F" w:rsidR="00F71D2A" w:rsidRPr="003C1CCC" w:rsidRDefault="00F71D2A" w:rsidP="00CA56BB">
            <w:pPr>
              <w:pStyle w:val="Sansinterligne2"/>
              <w:spacing w:before="200" w:after="200"/>
              <w:jc w:val="both"/>
              <w:rPr>
                <w:rFonts w:ascii="Arial" w:hAnsi="Arial" w:cs="Arial"/>
                <w:sz w:val="22"/>
                <w:szCs w:val="22"/>
                <w:lang w:val="en-GB"/>
              </w:rPr>
            </w:pPr>
            <w:r w:rsidRPr="003C1CCC">
              <w:rPr>
                <w:rFonts w:ascii="Arial" w:hAnsi="Arial" w:cs="Arial"/>
                <w:sz w:val="22"/>
                <w:szCs w:val="22"/>
                <w:lang w:val="en-GB"/>
              </w:rPr>
              <w:t>Article 30.1 of the 2003 Convention states that ‘On the basis of its activities [...] the Committee shall submit a report to the General Assembly at each of its sessions.’ This document contains a draft report on the Committee’s activities from January 2020 to December 2021, which the Committee may wish to present to the ninth session of the General Assembly</w:t>
            </w:r>
            <w:r w:rsidR="009163C4" w:rsidRPr="003C1CCC">
              <w:rPr>
                <w:rFonts w:ascii="Arial" w:hAnsi="Arial" w:cs="Arial"/>
                <w:sz w:val="22"/>
                <w:szCs w:val="22"/>
                <w:lang w:val="en-GB"/>
              </w:rPr>
              <w:t xml:space="preserve"> in mid-2022</w:t>
            </w:r>
            <w:r w:rsidRPr="003C1CCC">
              <w:rPr>
                <w:rFonts w:ascii="Arial" w:hAnsi="Arial" w:cs="Arial"/>
                <w:sz w:val="22"/>
                <w:szCs w:val="22"/>
                <w:lang w:val="en-GB"/>
              </w:rPr>
              <w:t>.</w:t>
            </w:r>
          </w:p>
          <w:p w14:paraId="290310E8" w14:textId="79608FC5" w:rsidR="00EC6F8D" w:rsidRPr="003C1CCC" w:rsidRDefault="00EC6F8D" w:rsidP="00CA56BB">
            <w:pPr>
              <w:pStyle w:val="Sansinterligne2"/>
              <w:spacing w:before="200" w:after="200"/>
              <w:jc w:val="both"/>
              <w:rPr>
                <w:rFonts w:ascii="Arial" w:hAnsi="Arial" w:cs="Arial"/>
                <w:b/>
                <w:sz w:val="22"/>
                <w:szCs w:val="22"/>
                <w:lang w:val="en-GB"/>
              </w:rPr>
            </w:pPr>
            <w:r w:rsidRPr="003C1CCC">
              <w:rPr>
                <w:rFonts w:ascii="Arial" w:hAnsi="Arial" w:cs="Arial"/>
                <w:b/>
                <w:sz w:val="22"/>
                <w:szCs w:val="22"/>
                <w:lang w:val="en-GB"/>
              </w:rPr>
              <w:t>Decision required</w:t>
            </w:r>
            <w:r w:rsidRPr="008D49C9">
              <w:rPr>
                <w:rFonts w:ascii="Arial" w:hAnsi="Arial" w:cs="Arial"/>
                <w:bCs/>
                <w:sz w:val="22"/>
                <w:szCs w:val="22"/>
                <w:lang w:val="en-GB"/>
              </w:rPr>
              <w:t>:</w:t>
            </w:r>
            <w:r w:rsidRPr="003C1CCC">
              <w:rPr>
                <w:rFonts w:ascii="Arial" w:hAnsi="Arial" w:cs="Arial"/>
                <w:b/>
                <w:sz w:val="22"/>
                <w:szCs w:val="22"/>
                <w:lang w:val="en-GB"/>
              </w:rPr>
              <w:t xml:space="preserve"> </w:t>
            </w:r>
            <w:r w:rsidRPr="003C1CCC">
              <w:rPr>
                <w:rFonts w:ascii="Arial" w:hAnsi="Arial" w:cs="Arial"/>
                <w:bCs/>
                <w:sz w:val="22"/>
                <w:szCs w:val="22"/>
                <w:lang w:val="en-GB"/>
              </w:rPr>
              <w:t xml:space="preserve">paragraph </w:t>
            </w:r>
            <w:r w:rsidR="00353CC7" w:rsidRPr="003C1CCC">
              <w:rPr>
                <w:rFonts w:ascii="Arial" w:hAnsi="Arial" w:cs="Arial"/>
                <w:bCs/>
                <w:sz w:val="22"/>
                <w:szCs w:val="22"/>
                <w:lang w:val="en-GB"/>
              </w:rPr>
              <w:t>4</w:t>
            </w:r>
          </w:p>
        </w:tc>
      </w:tr>
    </w:tbl>
    <w:p w14:paraId="713D819F" w14:textId="77777777" w:rsidR="004A2875" w:rsidRPr="003C1CCC"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3C1CCC">
        <w:rPr>
          <w:lang w:val="en-GB"/>
        </w:rPr>
        <w:br w:type="page"/>
      </w:r>
    </w:p>
    <w:p w14:paraId="0D74B459" w14:textId="4131C17E" w:rsidR="009163C4" w:rsidRPr="003C1CCC" w:rsidRDefault="0087572C" w:rsidP="0087572C">
      <w:pPr>
        <w:pStyle w:val="Marge"/>
        <w:numPr>
          <w:ilvl w:val="0"/>
          <w:numId w:val="14"/>
        </w:numPr>
        <w:spacing w:after="120"/>
        <w:ind w:left="567" w:hanging="567"/>
        <w:rPr>
          <w:rFonts w:cs="Arial"/>
          <w:szCs w:val="22"/>
          <w:lang w:val="en-GB"/>
        </w:rPr>
      </w:pPr>
      <w:r w:rsidRPr="003C1CCC">
        <w:rPr>
          <w:rFonts w:cs="Arial"/>
          <w:szCs w:val="22"/>
          <w:lang w:val="en-GB"/>
        </w:rPr>
        <w:lastRenderedPageBreak/>
        <w:t>Article 30.1 of the 2003 Convention for the Safeguarding of the Intangible Cultural Heritage states that ‘On the basis of its activities [...] the Committee shall submit a report to the General Assembly at each of its sessions.’ Article 30.2 continues that ‘The report shall be brought to the attention of the General Conference of UNESCO.’</w:t>
      </w:r>
      <w:r w:rsidR="00E63618" w:rsidRPr="003C1CCC">
        <w:rPr>
          <w:rFonts w:cs="Arial"/>
          <w:szCs w:val="22"/>
          <w:lang w:val="en-GB"/>
        </w:rPr>
        <w:t xml:space="preserve"> These provisions are also supported by</w:t>
      </w:r>
      <w:r w:rsidRPr="003C1CCC" w:rsidDel="00683955">
        <w:rPr>
          <w:rFonts w:cs="Arial"/>
          <w:szCs w:val="22"/>
          <w:lang w:val="en-GB"/>
        </w:rPr>
        <w:t xml:space="preserve"> </w:t>
      </w:r>
      <w:r w:rsidR="009163C4" w:rsidRPr="003C1CCC">
        <w:rPr>
          <w:rFonts w:cs="Arial"/>
          <w:szCs w:val="22"/>
          <w:lang w:val="en-GB"/>
        </w:rPr>
        <w:t>Rule 46 of the Rules of Procedures of the Committee.</w:t>
      </w:r>
    </w:p>
    <w:p w14:paraId="019C2425" w14:textId="0DEAC485" w:rsidR="0087572C" w:rsidRPr="003C1CCC" w:rsidRDefault="0087572C" w:rsidP="0087572C">
      <w:pPr>
        <w:pStyle w:val="Marge"/>
        <w:numPr>
          <w:ilvl w:val="0"/>
          <w:numId w:val="14"/>
        </w:numPr>
        <w:spacing w:after="120"/>
        <w:ind w:left="567" w:hanging="567"/>
        <w:rPr>
          <w:rFonts w:cs="Arial"/>
          <w:szCs w:val="22"/>
          <w:lang w:val="en-GB"/>
        </w:rPr>
      </w:pPr>
      <w:r w:rsidRPr="003C1CCC">
        <w:rPr>
          <w:rFonts w:cs="Arial"/>
          <w:szCs w:val="22"/>
          <w:lang w:val="en-GB"/>
        </w:rPr>
        <w:t>The period covered by this report is January 20</w:t>
      </w:r>
      <w:r w:rsidR="004E351D" w:rsidRPr="003C1CCC">
        <w:rPr>
          <w:rFonts w:cs="Arial"/>
          <w:szCs w:val="22"/>
          <w:lang w:val="en-GB"/>
        </w:rPr>
        <w:t>20</w:t>
      </w:r>
      <w:r w:rsidRPr="003C1CCC">
        <w:rPr>
          <w:rFonts w:cs="Arial"/>
          <w:szCs w:val="22"/>
          <w:lang w:val="en-GB"/>
        </w:rPr>
        <w:t xml:space="preserve"> to December 20</w:t>
      </w:r>
      <w:r w:rsidR="004E351D" w:rsidRPr="003C1CCC">
        <w:rPr>
          <w:rFonts w:cs="Arial"/>
          <w:szCs w:val="22"/>
          <w:lang w:val="en-GB"/>
        </w:rPr>
        <w:t>2</w:t>
      </w:r>
      <w:r w:rsidRPr="003C1CCC">
        <w:rPr>
          <w:rFonts w:cs="Arial"/>
          <w:szCs w:val="22"/>
          <w:lang w:val="en-GB"/>
        </w:rPr>
        <w:t xml:space="preserve">1. This calendar follows </w:t>
      </w:r>
      <w:r w:rsidR="001A7A98" w:rsidRPr="001A7A98">
        <w:rPr>
          <w:rFonts w:cs="Arial"/>
          <w:szCs w:val="22"/>
          <w:lang w:val="en-GB"/>
        </w:rPr>
        <w:t>Resolution </w:t>
      </w:r>
      <w:hyperlink r:id="rId8" w:history="1">
        <w:r w:rsidR="001A7A98">
          <w:rPr>
            <w:rStyle w:val="Lienhypertexte"/>
            <w:rFonts w:cs="Arial"/>
            <w:szCs w:val="22"/>
            <w:lang w:val="en-GB"/>
          </w:rPr>
          <w:t>6.GA 5</w:t>
        </w:r>
      </w:hyperlink>
      <w:r w:rsidRPr="003C1CCC">
        <w:rPr>
          <w:rFonts w:cs="Arial"/>
          <w:szCs w:val="22"/>
          <w:lang w:val="en-GB"/>
        </w:rPr>
        <w:t>, whereby the General Assembly requested that the Committee use a biennium calendar year for future reports. This report will need to be updated by the Secretariat</w:t>
      </w:r>
      <w:r w:rsidR="00701CEC" w:rsidRPr="003C1CCC">
        <w:rPr>
          <w:rFonts w:cs="Arial"/>
          <w:szCs w:val="22"/>
          <w:lang w:val="en-GB"/>
        </w:rPr>
        <w:t>, after the session</w:t>
      </w:r>
      <w:r w:rsidR="007430E1" w:rsidRPr="003C1CCC">
        <w:rPr>
          <w:rFonts w:cs="Arial"/>
          <w:szCs w:val="22"/>
          <w:lang w:val="en-GB"/>
        </w:rPr>
        <w:t>,</w:t>
      </w:r>
      <w:r w:rsidR="00701CEC" w:rsidRPr="003C1CCC">
        <w:rPr>
          <w:rFonts w:cs="Arial"/>
          <w:szCs w:val="22"/>
          <w:lang w:val="en-GB"/>
        </w:rPr>
        <w:t xml:space="preserve"> if need be,</w:t>
      </w:r>
      <w:r w:rsidRPr="003C1CCC">
        <w:rPr>
          <w:rFonts w:cs="Arial"/>
          <w:szCs w:val="22"/>
          <w:lang w:val="en-GB"/>
        </w:rPr>
        <w:t xml:space="preserve"> with additional information about the results of the </w:t>
      </w:r>
      <w:r w:rsidR="00EE1F34" w:rsidRPr="003C1CCC">
        <w:rPr>
          <w:rFonts w:cs="Arial"/>
          <w:szCs w:val="22"/>
          <w:lang w:val="en-GB"/>
        </w:rPr>
        <w:t>six</w:t>
      </w:r>
      <w:r w:rsidRPr="003C1CCC">
        <w:rPr>
          <w:rFonts w:cs="Arial"/>
          <w:szCs w:val="22"/>
          <w:lang w:val="en-GB"/>
        </w:rPr>
        <w:t>teenth session of the Committee.</w:t>
      </w:r>
    </w:p>
    <w:p w14:paraId="5E234EDF" w14:textId="368918EA" w:rsidR="0087572C" w:rsidRPr="003C1CCC" w:rsidRDefault="0087572C" w:rsidP="0087572C">
      <w:pPr>
        <w:pStyle w:val="Marge"/>
        <w:numPr>
          <w:ilvl w:val="0"/>
          <w:numId w:val="14"/>
        </w:numPr>
        <w:spacing w:after="120"/>
        <w:ind w:left="567" w:hanging="567"/>
        <w:rPr>
          <w:rFonts w:cs="Arial"/>
          <w:szCs w:val="22"/>
          <w:lang w:val="en-GB"/>
        </w:rPr>
      </w:pPr>
      <w:r w:rsidRPr="003C1CCC">
        <w:rPr>
          <w:rFonts w:cs="Arial"/>
          <w:szCs w:val="22"/>
          <w:lang w:val="en-GB"/>
        </w:rPr>
        <w:t xml:space="preserve">This report should be read in conjunction with the </w:t>
      </w:r>
      <w:r w:rsidR="008A04FB" w:rsidRPr="003C1CCC">
        <w:rPr>
          <w:rFonts w:cs="Arial"/>
          <w:szCs w:val="22"/>
          <w:lang w:val="en-GB"/>
        </w:rPr>
        <w:t xml:space="preserve">working documents and the decisions of the governing bodies of the 2003 Convention that met during the reporting period (the </w:t>
      </w:r>
      <w:r w:rsidR="00693C7F" w:rsidRPr="003C1CCC">
        <w:rPr>
          <w:rFonts w:cs="Arial"/>
          <w:szCs w:val="22"/>
          <w:lang w:val="en-GB"/>
        </w:rPr>
        <w:t>fifteenth</w:t>
      </w:r>
      <w:r w:rsidR="008A04FB" w:rsidRPr="003C1CCC">
        <w:rPr>
          <w:rFonts w:cs="Arial"/>
          <w:szCs w:val="22"/>
          <w:lang w:val="en-GB"/>
        </w:rPr>
        <w:t xml:space="preserve"> </w:t>
      </w:r>
      <w:r w:rsidR="00693C7F" w:rsidRPr="003C1CCC">
        <w:rPr>
          <w:rFonts w:cs="Arial"/>
          <w:szCs w:val="22"/>
          <w:lang w:val="en-GB"/>
        </w:rPr>
        <w:t xml:space="preserve">and </w:t>
      </w:r>
      <w:r w:rsidR="008A04FB" w:rsidRPr="003C1CCC">
        <w:rPr>
          <w:rFonts w:cs="Arial"/>
          <w:szCs w:val="22"/>
          <w:lang w:val="en-GB"/>
        </w:rPr>
        <w:t xml:space="preserve">the </w:t>
      </w:r>
      <w:r w:rsidR="00693C7F" w:rsidRPr="003C1CCC">
        <w:rPr>
          <w:rFonts w:cs="Arial"/>
          <w:szCs w:val="22"/>
          <w:lang w:val="en-GB"/>
        </w:rPr>
        <w:t>sixteenth</w:t>
      </w:r>
      <w:r w:rsidR="008A04FB" w:rsidRPr="003C1CCC">
        <w:rPr>
          <w:rFonts w:cs="Arial"/>
          <w:szCs w:val="22"/>
          <w:lang w:val="en-GB"/>
        </w:rPr>
        <w:t xml:space="preserve"> session</w:t>
      </w:r>
      <w:r w:rsidR="00693C7F" w:rsidRPr="003C1CCC">
        <w:rPr>
          <w:rFonts w:cs="Arial"/>
          <w:szCs w:val="22"/>
          <w:lang w:val="en-GB"/>
        </w:rPr>
        <w:t>s</w:t>
      </w:r>
      <w:r w:rsidR="008A04FB" w:rsidRPr="003C1CCC">
        <w:rPr>
          <w:rFonts w:cs="Arial"/>
          <w:szCs w:val="22"/>
          <w:lang w:val="en-GB"/>
        </w:rPr>
        <w:t xml:space="preserve"> of the Committee and the eighth session of the General Assembly) and in particular:</w:t>
      </w:r>
    </w:p>
    <w:p w14:paraId="5355C31F" w14:textId="14C12D99" w:rsidR="008A04FB" w:rsidRPr="003C1CCC" w:rsidRDefault="008A04FB" w:rsidP="0087572C">
      <w:pPr>
        <w:pStyle w:val="Marge"/>
        <w:numPr>
          <w:ilvl w:val="0"/>
          <w:numId w:val="15"/>
        </w:numPr>
        <w:spacing w:after="120"/>
        <w:ind w:left="1134" w:hanging="567"/>
        <w:rPr>
          <w:rFonts w:cs="Arial"/>
          <w:szCs w:val="22"/>
          <w:lang w:val="en-GB"/>
        </w:rPr>
      </w:pPr>
      <w:r w:rsidRPr="003C1CCC">
        <w:rPr>
          <w:rFonts w:cs="Arial"/>
          <w:szCs w:val="22"/>
          <w:lang w:val="en-GB"/>
        </w:rPr>
        <w:t>The report of the Secretariat on its activities (document </w:t>
      </w:r>
      <w:hyperlink r:id="rId9" w:history="1">
        <w:r w:rsidRPr="003C1CCC">
          <w:rPr>
            <w:rStyle w:val="Lienhypertexte"/>
            <w:rFonts w:cs="Arial"/>
            <w:szCs w:val="22"/>
            <w:lang w:val="en-GB"/>
          </w:rPr>
          <w:t>LHE/20/8.GA/6 Add</w:t>
        </w:r>
        <w:r w:rsidR="007430E1" w:rsidRPr="003C1CCC">
          <w:rPr>
            <w:rStyle w:val="Lienhypertexte"/>
            <w:rFonts w:cs="Arial"/>
            <w:szCs w:val="22"/>
            <w:lang w:val="en-GB"/>
          </w:rPr>
          <w:t>.</w:t>
        </w:r>
      </w:hyperlink>
      <w:r w:rsidRPr="003C1CCC">
        <w:rPr>
          <w:rFonts w:cs="Arial"/>
          <w:szCs w:val="22"/>
          <w:lang w:val="en-GB"/>
        </w:rPr>
        <w:t>)</w:t>
      </w:r>
      <w:r w:rsidR="00806226" w:rsidRPr="003C1CCC">
        <w:rPr>
          <w:rFonts w:cs="Arial"/>
          <w:szCs w:val="22"/>
          <w:lang w:val="en-GB"/>
        </w:rPr>
        <w:t>;</w:t>
      </w:r>
    </w:p>
    <w:p w14:paraId="4FC4D33D" w14:textId="71382F7A" w:rsidR="00693C7F" w:rsidRPr="003C1CCC" w:rsidRDefault="00693C7F" w:rsidP="00693C7F">
      <w:pPr>
        <w:pStyle w:val="Marge"/>
        <w:numPr>
          <w:ilvl w:val="0"/>
          <w:numId w:val="15"/>
        </w:numPr>
        <w:spacing w:after="120"/>
        <w:ind w:left="1134" w:hanging="567"/>
        <w:rPr>
          <w:rFonts w:cs="Arial"/>
          <w:szCs w:val="22"/>
          <w:lang w:val="en-GB"/>
        </w:rPr>
      </w:pPr>
      <w:r w:rsidRPr="003C1CCC">
        <w:rPr>
          <w:rFonts w:cs="Arial"/>
          <w:szCs w:val="22"/>
          <w:lang w:val="en-GB"/>
        </w:rPr>
        <w:t xml:space="preserve">Use of the resources of the Intangible Cultural Heritage Fund (document </w:t>
      </w:r>
      <w:hyperlink r:id="rId10" w:history="1">
        <w:r w:rsidRPr="003C1CCC">
          <w:rPr>
            <w:rStyle w:val="Lienhypertexte"/>
            <w:rFonts w:cs="Arial"/>
            <w:szCs w:val="22"/>
            <w:lang w:val="en-GB"/>
          </w:rPr>
          <w:t>LHE/20/8.GA</w:t>
        </w:r>
        <w:r w:rsidR="007E5A1C" w:rsidRPr="003C1CCC">
          <w:rPr>
            <w:rStyle w:val="Lienhypertexte"/>
            <w:rFonts w:cs="Arial"/>
            <w:szCs w:val="22"/>
            <w:lang w:val="en-GB"/>
          </w:rPr>
          <w:t>/</w:t>
        </w:r>
        <w:r w:rsidRPr="003C1CCC">
          <w:rPr>
            <w:rStyle w:val="Lienhypertexte"/>
            <w:rFonts w:cs="Arial"/>
            <w:szCs w:val="22"/>
            <w:lang w:val="en-GB"/>
          </w:rPr>
          <w:t>7 Rev.</w:t>
        </w:r>
        <w:r w:rsidRPr="00272420">
          <w:rPr>
            <w:rStyle w:val="Lienhypertexte"/>
            <w:rFonts w:cs="Arial"/>
            <w:color w:val="auto"/>
            <w:szCs w:val="22"/>
            <w:u w:val="none"/>
            <w:lang w:val="en-GB"/>
          </w:rPr>
          <w:t>);</w:t>
        </w:r>
      </w:hyperlink>
    </w:p>
    <w:p w14:paraId="70F55373" w14:textId="5B93CD04" w:rsidR="0087572C" w:rsidRPr="003C1CCC" w:rsidRDefault="008A04FB" w:rsidP="0087572C">
      <w:pPr>
        <w:pStyle w:val="Marge"/>
        <w:numPr>
          <w:ilvl w:val="0"/>
          <w:numId w:val="15"/>
        </w:numPr>
        <w:spacing w:after="120"/>
        <w:ind w:left="1134" w:hanging="567"/>
        <w:rPr>
          <w:rFonts w:cs="Arial"/>
          <w:szCs w:val="22"/>
          <w:lang w:val="en-GB"/>
        </w:rPr>
      </w:pPr>
      <w:r w:rsidRPr="003C1CCC">
        <w:rPr>
          <w:rFonts w:cs="Arial"/>
          <w:szCs w:val="22"/>
          <w:lang w:val="en-GB"/>
        </w:rPr>
        <w:t>T</w:t>
      </w:r>
      <w:r w:rsidR="0087572C" w:rsidRPr="003C1CCC">
        <w:rPr>
          <w:rFonts w:cs="Arial"/>
          <w:szCs w:val="22"/>
          <w:lang w:val="en-GB"/>
        </w:rPr>
        <w:t>he report of the Secretariat on its activities (</w:t>
      </w:r>
      <w:r w:rsidR="0087572C" w:rsidRPr="001A7A98">
        <w:rPr>
          <w:rFonts w:cs="Arial"/>
          <w:szCs w:val="22"/>
          <w:lang w:val="en-GB"/>
        </w:rPr>
        <w:t>document </w:t>
      </w:r>
      <w:hyperlink r:id="rId11" w:history="1">
        <w:r w:rsidR="0087572C" w:rsidRPr="001A7A98">
          <w:rPr>
            <w:rStyle w:val="Lienhypertexte"/>
            <w:rFonts w:cs="Arial"/>
            <w:szCs w:val="22"/>
            <w:lang w:val="en-GB"/>
          </w:rPr>
          <w:t>LHE/</w:t>
        </w:r>
        <w:r w:rsidR="00AE5963" w:rsidRPr="001A7A98">
          <w:rPr>
            <w:rStyle w:val="Lienhypertexte"/>
            <w:rFonts w:cs="Arial"/>
            <w:szCs w:val="22"/>
            <w:lang w:val="en-GB"/>
          </w:rPr>
          <w:t>2</w:t>
        </w:r>
        <w:r w:rsidR="0087572C" w:rsidRPr="001A7A98">
          <w:rPr>
            <w:rStyle w:val="Lienhypertexte"/>
            <w:rFonts w:cs="Arial"/>
            <w:szCs w:val="22"/>
            <w:lang w:val="en-GB"/>
          </w:rPr>
          <w:t>1/1</w:t>
        </w:r>
        <w:r w:rsidR="00AE5963" w:rsidRPr="001A7A98">
          <w:rPr>
            <w:rStyle w:val="Lienhypertexte"/>
            <w:rFonts w:cs="Arial"/>
            <w:szCs w:val="22"/>
            <w:lang w:val="en-GB"/>
          </w:rPr>
          <w:t>6</w:t>
        </w:r>
        <w:r w:rsidR="0087572C" w:rsidRPr="001A7A98">
          <w:rPr>
            <w:rStyle w:val="Lienhypertexte"/>
            <w:rFonts w:cs="Arial"/>
            <w:szCs w:val="22"/>
            <w:lang w:val="en-GB"/>
          </w:rPr>
          <w:t>.COM/5.b</w:t>
        </w:r>
      </w:hyperlink>
      <w:r w:rsidR="0087572C" w:rsidRPr="001A7A98">
        <w:rPr>
          <w:rFonts w:cs="Arial"/>
          <w:szCs w:val="22"/>
          <w:lang w:val="en-GB"/>
        </w:rPr>
        <w:t>);</w:t>
      </w:r>
    </w:p>
    <w:p w14:paraId="0E8F68E7" w14:textId="60B4E0A4" w:rsidR="0087572C" w:rsidRPr="003C1CCC" w:rsidRDefault="00806226" w:rsidP="0087572C">
      <w:pPr>
        <w:pStyle w:val="Marge"/>
        <w:numPr>
          <w:ilvl w:val="0"/>
          <w:numId w:val="15"/>
        </w:numPr>
        <w:spacing w:after="120"/>
        <w:ind w:left="1134" w:hanging="567"/>
        <w:rPr>
          <w:rFonts w:cs="Arial"/>
          <w:szCs w:val="22"/>
          <w:lang w:val="en-GB"/>
        </w:rPr>
      </w:pPr>
      <w:r w:rsidRPr="003C1CCC">
        <w:rPr>
          <w:rFonts w:cs="Arial"/>
          <w:szCs w:val="22"/>
          <w:lang w:val="en-GB"/>
        </w:rPr>
        <w:t>T</w:t>
      </w:r>
      <w:r w:rsidR="0087572C" w:rsidRPr="003C1CCC">
        <w:rPr>
          <w:rFonts w:cs="Arial"/>
          <w:szCs w:val="22"/>
          <w:lang w:val="en-GB"/>
        </w:rPr>
        <w:t>he financial report of the Intangible Cultural Heritage Fund (</w:t>
      </w:r>
      <w:r w:rsidR="00CB7E22">
        <w:rPr>
          <w:rFonts w:cs="Arial"/>
          <w:szCs w:val="22"/>
          <w:lang w:val="en-GB"/>
        </w:rPr>
        <w:t xml:space="preserve">as an annex to </w:t>
      </w:r>
      <w:r w:rsidR="005A3C6D" w:rsidRPr="003C1CCC">
        <w:rPr>
          <w:rFonts w:cs="Arial"/>
          <w:szCs w:val="22"/>
          <w:lang w:val="en-GB"/>
        </w:rPr>
        <w:t>document</w:t>
      </w:r>
      <w:r w:rsidR="008A04FB" w:rsidRPr="003C1CCC">
        <w:rPr>
          <w:rFonts w:cs="Arial"/>
          <w:szCs w:val="22"/>
          <w:lang w:val="en-GB"/>
        </w:rPr>
        <w:t xml:space="preserve"> </w:t>
      </w:r>
      <w:hyperlink r:id="rId12" w:history="1">
        <w:r w:rsidR="005A3C6D" w:rsidRPr="001A7A98">
          <w:rPr>
            <w:rStyle w:val="Lienhypertexte"/>
            <w:rFonts w:cs="Arial"/>
            <w:szCs w:val="22"/>
            <w:lang w:val="en-GB"/>
          </w:rPr>
          <w:t>LHE/21/16.COM/</w:t>
        </w:r>
        <w:r w:rsidR="00AD217A" w:rsidRPr="001A7A98">
          <w:rPr>
            <w:rStyle w:val="Lienhypertexte"/>
            <w:rFonts w:cs="Arial"/>
            <w:bCs/>
            <w:szCs w:val="22"/>
            <w:lang w:val="en-US"/>
          </w:rPr>
          <w:t>13</w:t>
        </w:r>
      </w:hyperlink>
      <w:r w:rsidR="0087572C" w:rsidRPr="001A7A98">
        <w:rPr>
          <w:rFonts w:cs="Arial"/>
          <w:szCs w:val="22"/>
          <w:lang w:val="en-GB"/>
        </w:rPr>
        <w:t>)</w:t>
      </w:r>
      <w:r w:rsidR="00976270" w:rsidRPr="001A7A98">
        <w:rPr>
          <w:rFonts w:cs="Arial"/>
          <w:szCs w:val="22"/>
          <w:lang w:val="en-GB"/>
        </w:rPr>
        <w:t>.</w:t>
      </w:r>
    </w:p>
    <w:p w14:paraId="6882000D" w14:textId="77777777" w:rsidR="0087572C" w:rsidRPr="003C1CCC" w:rsidRDefault="0087572C" w:rsidP="0087572C">
      <w:pPr>
        <w:pStyle w:val="COMPara"/>
        <w:numPr>
          <w:ilvl w:val="0"/>
          <w:numId w:val="14"/>
        </w:numPr>
        <w:ind w:left="567" w:hanging="567"/>
      </w:pPr>
      <w:r w:rsidRPr="003C1CCC">
        <w:t>The Committee may wish to adopt the following decision:</w:t>
      </w:r>
    </w:p>
    <w:p w14:paraId="5E48D64D" w14:textId="58BE5718" w:rsidR="0087572C" w:rsidRPr="003C1CCC" w:rsidRDefault="0087572C" w:rsidP="0087572C">
      <w:pPr>
        <w:pStyle w:val="COMTitleDecision"/>
        <w:rPr>
          <w:rFonts w:eastAsiaTheme="minorEastAsia"/>
        </w:rPr>
      </w:pPr>
      <w:r w:rsidRPr="003C1CCC">
        <w:t xml:space="preserve">DRAFT DECISION </w:t>
      </w:r>
      <w:r w:rsidR="00806226" w:rsidRPr="003C1CCC">
        <w:t>16</w:t>
      </w:r>
      <w:r w:rsidRPr="003C1CCC">
        <w:t>.COM 5.a</w:t>
      </w:r>
    </w:p>
    <w:p w14:paraId="2B52312C" w14:textId="77777777" w:rsidR="0087572C" w:rsidRPr="003C1CCC" w:rsidRDefault="0087572C" w:rsidP="0087572C">
      <w:pPr>
        <w:pStyle w:val="COMPreambulaDecisions"/>
        <w:rPr>
          <w:rFonts w:eastAsia="SimSun"/>
        </w:rPr>
      </w:pPr>
      <w:r w:rsidRPr="003C1CCC">
        <w:t>The Committee,</w:t>
      </w:r>
    </w:p>
    <w:p w14:paraId="0B353FBA" w14:textId="2A0948BE" w:rsidR="0087572C" w:rsidRPr="007540FA" w:rsidRDefault="0087572C" w:rsidP="0087572C">
      <w:pPr>
        <w:pStyle w:val="COMParaDecision"/>
        <w:jc w:val="left"/>
        <w:rPr>
          <w:lang w:val="pt-PT"/>
        </w:rPr>
      </w:pPr>
      <w:r w:rsidRPr="00221396">
        <w:rPr>
          <w:lang w:val="pt-PT"/>
        </w:rPr>
        <w:t>Having examined</w:t>
      </w:r>
      <w:r w:rsidRPr="00221396">
        <w:rPr>
          <w:u w:val="none"/>
          <w:lang w:val="pt-PT"/>
        </w:rPr>
        <w:t xml:space="preserve"> document </w:t>
      </w:r>
      <w:r w:rsidRPr="007540FA">
        <w:rPr>
          <w:u w:val="none"/>
          <w:lang w:val="pt-PT"/>
        </w:rPr>
        <w:t>LHE/</w:t>
      </w:r>
      <w:r w:rsidR="002B03D1" w:rsidRPr="007540FA">
        <w:rPr>
          <w:u w:val="none"/>
          <w:lang w:val="pt-PT"/>
        </w:rPr>
        <w:t>2</w:t>
      </w:r>
      <w:r w:rsidRPr="007540FA">
        <w:rPr>
          <w:u w:val="none"/>
          <w:lang w:val="pt-PT"/>
        </w:rPr>
        <w:t>1/1</w:t>
      </w:r>
      <w:r w:rsidR="002B03D1" w:rsidRPr="007540FA">
        <w:rPr>
          <w:u w:val="none"/>
          <w:lang w:val="pt-PT"/>
        </w:rPr>
        <w:t>6</w:t>
      </w:r>
      <w:r w:rsidRPr="007540FA">
        <w:rPr>
          <w:u w:val="none"/>
          <w:lang w:val="pt-PT"/>
        </w:rPr>
        <w:t>.COM/5.a</w:t>
      </w:r>
      <w:r w:rsidR="00400FB6">
        <w:rPr>
          <w:u w:val="none"/>
          <w:lang w:val="pt-PT"/>
        </w:rPr>
        <w:t xml:space="preserve"> Rev.</w:t>
      </w:r>
      <w:r w:rsidRPr="007540FA">
        <w:rPr>
          <w:u w:val="none"/>
          <w:lang w:val="pt-PT"/>
        </w:rPr>
        <w:t>,</w:t>
      </w:r>
    </w:p>
    <w:p w14:paraId="14DA74C6" w14:textId="3EDCCD35" w:rsidR="0087572C" w:rsidRPr="003C1CCC" w:rsidRDefault="0087572C" w:rsidP="0087572C">
      <w:pPr>
        <w:pStyle w:val="COMParaDecision"/>
        <w:jc w:val="left"/>
      </w:pPr>
      <w:r w:rsidRPr="003C1CCC">
        <w:t>Recalling</w:t>
      </w:r>
      <w:r w:rsidRPr="003C1CCC">
        <w:rPr>
          <w:u w:val="none"/>
        </w:rPr>
        <w:t xml:space="preserve"> Article 30 of the Convention</w:t>
      </w:r>
      <w:r w:rsidR="00650FAB" w:rsidRPr="003C1CCC">
        <w:rPr>
          <w:u w:val="none"/>
        </w:rPr>
        <w:t xml:space="preserve"> as well as Rule 46 of the Rules of Procedures of the Committee</w:t>
      </w:r>
      <w:r w:rsidRPr="003C1CCC">
        <w:rPr>
          <w:u w:val="none"/>
        </w:rPr>
        <w:t>,</w:t>
      </w:r>
    </w:p>
    <w:p w14:paraId="1BBE9E3B" w14:textId="157BD8FC" w:rsidR="0087572C" w:rsidRPr="003C1CCC" w:rsidRDefault="0087572C" w:rsidP="0087572C">
      <w:pPr>
        <w:pStyle w:val="COMParaDecision"/>
        <w:jc w:val="left"/>
      </w:pPr>
      <w:r w:rsidRPr="003C1CCC">
        <w:t>Welcomes</w:t>
      </w:r>
      <w:r w:rsidRPr="003C1CCC">
        <w:rPr>
          <w:u w:val="none"/>
        </w:rPr>
        <w:t xml:space="preserve"> the t</w:t>
      </w:r>
      <w:r w:rsidR="00E82B23" w:rsidRPr="003C1CCC">
        <w:rPr>
          <w:u w:val="none"/>
        </w:rPr>
        <w:t>wo</w:t>
      </w:r>
      <w:r w:rsidRPr="003C1CCC">
        <w:rPr>
          <w:u w:val="none"/>
        </w:rPr>
        <w:t xml:space="preserve"> States that have ratified the Convention since January 20</w:t>
      </w:r>
      <w:r w:rsidR="002B03D1" w:rsidRPr="003C1CCC">
        <w:rPr>
          <w:u w:val="none"/>
        </w:rPr>
        <w:t>20</w:t>
      </w:r>
      <w:r w:rsidRPr="003C1CCC">
        <w:rPr>
          <w:u w:val="none"/>
        </w:rPr>
        <w:t>;</w:t>
      </w:r>
    </w:p>
    <w:p w14:paraId="7AC91027" w14:textId="40EE7742" w:rsidR="0087572C" w:rsidRPr="003C1CCC" w:rsidRDefault="0087572C" w:rsidP="0087572C">
      <w:pPr>
        <w:pStyle w:val="COMParaDecision"/>
        <w:jc w:val="left"/>
      </w:pPr>
      <w:r w:rsidRPr="003C1CCC">
        <w:t>Adopts</w:t>
      </w:r>
      <w:r w:rsidRPr="003C1CCC">
        <w:rPr>
          <w:u w:val="none"/>
        </w:rPr>
        <w:t xml:space="preserve"> the report on its activities undertaken in 20</w:t>
      </w:r>
      <w:r w:rsidR="00E82B23" w:rsidRPr="003C1CCC">
        <w:rPr>
          <w:u w:val="none"/>
        </w:rPr>
        <w:t>20</w:t>
      </w:r>
      <w:r w:rsidRPr="003C1CCC">
        <w:rPr>
          <w:u w:val="none"/>
        </w:rPr>
        <w:t xml:space="preserve"> and 20</w:t>
      </w:r>
      <w:r w:rsidR="00E82B23" w:rsidRPr="003C1CCC">
        <w:rPr>
          <w:u w:val="none"/>
        </w:rPr>
        <w:t>2</w:t>
      </w:r>
      <w:r w:rsidRPr="003C1CCC">
        <w:rPr>
          <w:u w:val="none"/>
        </w:rPr>
        <w:t xml:space="preserve">1 and </w:t>
      </w:r>
      <w:r w:rsidRPr="003C1CCC">
        <w:t>requests</w:t>
      </w:r>
      <w:r w:rsidRPr="003C1CCC">
        <w:rPr>
          <w:u w:val="none"/>
        </w:rPr>
        <w:t xml:space="preserve"> that the Secretariat present it for examination by the </w:t>
      </w:r>
      <w:r w:rsidR="00E82B23" w:rsidRPr="003C1CCC">
        <w:rPr>
          <w:u w:val="none"/>
        </w:rPr>
        <w:t>ninth</w:t>
      </w:r>
      <w:r w:rsidRPr="003C1CCC">
        <w:rPr>
          <w:u w:val="none"/>
        </w:rPr>
        <w:t xml:space="preserve"> session of the General Assembly.</w:t>
      </w:r>
    </w:p>
    <w:p w14:paraId="4F843489" w14:textId="1DE047A2" w:rsidR="009B6EA6" w:rsidRPr="003C1CCC" w:rsidRDefault="009B6EA6" w:rsidP="009B6EA6">
      <w:pPr>
        <w:pStyle w:val="COMPara"/>
        <w:numPr>
          <w:ilvl w:val="0"/>
          <w:numId w:val="0"/>
        </w:numPr>
        <w:ind w:left="567" w:hanging="567"/>
        <w:jc w:val="both"/>
      </w:pPr>
    </w:p>
    <w:p w14:paraId="1EAB2934" w14:textId="15F9C2E2" w:rsidR="00CA3AC4" w:rsidRPr="003C1CCC" w:rsidRDefault="00CA3AC4">
      <w:pPr>
        <w:rPr>
          <w:rFonts w:ascii="Arial" w:eastAsia="SimSun" w:hAnsi="Arial" w:cs="Arial"/>
          <w:sz w:val="22"/>
          <w:szCs w:val="22"/>
          <w:u w:val="single"/>
          <w:lang w:val="en-GB"/>
        </w:rPr>
      </w:pPr>
      <w:r w:rsidRPr="003C1CCC">
        <w:rPr>
          <w:lang w:val="en-GB"/>
        </w:rPr>
        <w:br w:type="page"/>
      </w:r>
    </w:p>
    <w:p w14:paraId="4BFD4F5D" w14:textId="77777777" w:rsidR="00CA3AC4" w:rsidRPr="003C1CCC" w:rsidRDefault="00CA3AC4" w:rsidP="00CA3AC4">
      <w:pPr>
        <w:pageBreakBefore/>
        <w:spacing w:after="240"/>
        <w:jc w:val="center"/>
        <w:rPr>
          <w:rFonts w:ascii="Arial" w:hAnsi="Arial" w:cs="Arial"/>
          <w:sz w:val="22"/>
          <w:szCs w:val="22"/>
          <w:lang w:val="en-GB"/>
        </w:rPr>
      </w:pPr>
      <w:r w:rsidRPr="003C1CCC">
        <w:rPr>
          <w:rFonts w:ascii="Arial" w:hAnsi="Arial" w:cs="Arial"/>
          <w:b/>
          <w:bCs/>
          <w:sz w:val="22"/>
          <w:szCs w:val="22"/>
          <w:u w:val="single"/>
          <w:lang w:val="en-GB"/>
        </w:rPr>
        <w:lastRenderedPageBreak/>
        <w:t>ANNEX</w:t>
      </w:r>
    </w:p>
    <w:p w14:paraId="4FDA7847" w14:textId="2729B218" w:rsidR="00CA3AC4" w:rsidRPr="003C1CCC" w:rsidRDefault="00546647" w:rsidP="00CA3AC4">
      <w:pPr>
        <w:spacing w:after="360"/>
        <w:jc w:val="center"/>
        <w:rPr>
          <w:rFonts w:ascii="Arial" w:hAnsi="Arial" w:cs="Arial"/>
          <w:sz w:val="22"/>
          <w:szCs w:val="22"/>
          <w:lang w:val="en-GB"/>
        </w:rPr>
      </w:pPr>
      <w:r w:rsidRPr="003C1CCC">
        <w:rPr>
          <w:rFonts w:ascii="Arial" w:hAnsi="Arial" w:cs="Arial"/>
          <w:b/>
          <w:bCs/>
          <w:sz w:val="22"/>
          <w:szCs w:val="22"/>
          <w:lang w:val="en-GB"/>
        </w:rPr>
        <w:t>R</w:t>
      </w:r>
      <w:r w:rsidR="00CA3AC4" w:rsidRPr="003C1CCC">
        <w:rPr>
          <w:rFonts w:ascii="Arial" w:hAnsi="Arial" w:cs="Arial"/>
          <w:b/>
          <w:bCs/>
          <w:sz w:val="22"/>
          <w:szCs w:val="22"/>
          <w:lang w:val="en-GB"/>
        </w:rPr>
        <w:t>eport by the Committee to the General Assembly on its activities</w:t>
      </w:r>
    </w:p>
    <w:p w14:paraId="21DFCE44" w14:textId="3828F43A" w:rsidR="0098637B" w:rsidRPr="003C1CCC" w:rsidRDefault="0098637B" w:rsidP="002E223C">
      <w:pPr>
        <w:keepNext/>
        <w:numPr>
          <w:ilvl w:val="0"/>
          <w:numId w:val="17"/>
        </w:numPr>
        <w:tabs>
          <w:tab w:val="num" w:pos="567"/>
        </w:tabs>
        <w:snapToGrid w:val="0"/>
        <w:spacing w:before="240" w:after="120"/>
        <w:ind w:left="562" w:hanging="562"/>
        <w:jc w:val="both"/>
        <w:rPr>
          <w:rFonts w:asciiTheme="minorBidi" w:hAnsiTheme="minorBidi" w:cstheme="minorBidi"/>
          <w:szCs w:val="22"/>
          <w:lang w:val="en-GB"/>
        </w:rPr>
      </w:pPr>
      <w:r w:rsidRPr="003C1CCC">
        <w:rPr>
          <w:rFonts w:ascii="Arial" w:hAnsi="Arial" w:cs="Arial"/>
          <w:b/>
          <w:sz w:val="22"/>
          <w:szCs w:val="22"/>
          <w:lang w:val="en-GB"/>
        </w:rPr>
        <w:t>Introduction</w:t>
      </w:r>
    </w:p>
    <w:p w14:paraId="0B451F4D" w14:textId="64C2D7DB" w:rsidR="00CA3AC4" w:rsidRPr="003C1CCC" w:rsidRDefault="00CA3AC4" w:rsidP="008930DB">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3C1CCC">
        <w:rPr>
          <w:rFonts w:asciiTheme="minorBidi" w:hAnsiTheme="minorBidi" w:cstheme="minorBidi"/>
          <w:szCs w:val="22"/>
          <w:lang w:val="en-GB"/>
        </w:rPr>
        <w:t>The functions of the Committee are set out in the 2003 Convention for the Safeguarding of the Intangible Cultural Heritage, in particular in Article 7. This report follows the order of functions set out in that article.</w:t>
      </w:r>
    </w:p>
    <w:p w14:paraId="75CE88D6" w14:textId="13824220" w:rsidR="00CA3AC4" w:rsidRPr="003C1CCC" w:rsidRDefault="00CA3AC4" w:rsidP="00CA3AC4">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3C1CCC">
        <w:rPr>
          <w:rFonts w:asciiTheme="minorBidi" w:hAnsiTheme="minorBidi" w:cstheme="minorBidi"/>
          <w:szCs w:val="22"/>
          <w:lang w:val="en-GB"/>
        </w:rPr>
        <w:t>In 20</w:t>
      </w:r>
      <w:r w:rsidR="00D67DC3" w:rsidRPr="003C1CCC">
        <w:rPr>
          <w:rFonts w:asciiTheme="minorBidi" w:hAnsiTheme="minorBidi" w:cstheme="minorBidi"/>
          <w:szCs w:val="22"/>
          <w:lang w:val="en-GB"/>
        </w:rPr>
        <w:t>20</w:t>
      </w:r>
      <w:r w:rsidRPr="003C1CCC">
        <w:rPr>
          <w:rFonts w:asciiTheme="minorBidi" w:hAnsiTheme="minorBidi" w:cstheme="minorBidi"/>
          <w:szCs w:val="22"/>
          <w:lang w:val="en-GB"/>
        </w:rPr>
        <w:t xml:space="preserve">, the General Assembly renewed half of the Committee by electing </w:t>
      </w:r>
      <w:r w:rsidR="007430E1" w:rsidRPr="003C1CCC">
        <w:rPr>
          <w:rFonts w:asciiTheme="minorBidi" w:hAnsiTheme="minorBidi" w:cstheme="minorBidi"/>
          <w:szCs w:val="22"/>
          <w:lang w:val="en-GB"/>
        </w:rPr>
        <w:t xml:space="preserve">twelve </w:t>
      </w:r>
      <w:r w:rsidRPr="003C1CCC">
        <w:rPr>
          <w:rFonts w:asciiTheme="minorBidi" w:hAnsiTheme="minorBidi" w:cstheme="minorBidi"/>
          <w:szCs w:val="22"/>
          <w:lang w:val="en-GB"/>
        </w:rPr>
        <w:t>States Parties to serve a term of four years</w:t>
      </w:r>
      <w:r w:rsidR="0098061D">
        <w:rPr>
          <w:rFonts w:asciiTheme="minorBidi" w:hAnsiTheme="minorBidi" w:cstheme="minorBidi"/>
          <w:szCs w:val="22"/>
          <w:lang w:val="en-GB"/>
        </w:rPr>
        <w:t xml:space="preserve"> together with the ongoing members</w:t>
      </w:r>
      <w:r w:rsidRPr="003C1CCC">
        <w:rPr>
          <w:rFonts w:asciiTheme="minorBidi" w:hAnsiTheme="minorBidi" w:cstheme="minorBidi"/>
          <w:szCs w:val="22"/>
          <w:lang w:val="en-GB"/>
        </w:rPr>
        <w:t>: Azerbaijan,</w:t>
      </w:r>
      <w:r w:rsidR="00B90511" w:rsidRPr="003C1CCC">
        <w:rPr>
          <w:rFonts w:asciiTheme="minorBidi" w:hAnsiTheme="minorBidi" w:cstheme="minorBidi"/>
          <w:szCs w:val="22"/>
          <w:lang w:val="en-GB"/>
        </w:rPr>
        <w:t xml:space="preserve"> Botswana*, Brazil*,</w:t>
      </w:r>
      <w:r w:rsidRPr="003C1CCC">
        <w:rPr>
          <w:rFonts w:asciiTheme="minorBidi" w:hAnsiTheme="minorBidi" w:cstheme="minorBidi"/>
          <w:szCs w:val="22"/>
          <w:lang w:val="en-GB"/>
        </w:rPr>
        <w:t xml:space="preserve"> Cameroon, China,</w:t>
      </w:r>
      <w:r w:rsidR="00B90511" w:rsidRPr="003C1CCC">
        <w:rPr>
          <w:rFonts w:asciiTheme="minorBidi" w:hAnsiTheme="minorBidi" w:cstheme="minorBidi"/>
          <w:szCs w:val="22"/>
          <w:lang w:val="en-GB"/>
        </w:rPr>
        <w:t xml:space="preserve"> Côte d’Ivoire*,</w:t>
      </w:r>
      <w:r w:rsidR="005151C6" w:rsidRPr="003C1CCC">
        <w:rPr>
          <w:rFonts w:asciiTheme="minorBidi" w:hAnsiTheme="minorBidi" w:cstheme="minorBidi"/>
          <w:szCs w:val="22"/>
          <w:lang w:val="en-GB"/>
        </w:rPr>
        <w:t xml:space="preserve"> </w:t>
      </w:r>
      <w:r w:rsidR="00B90511" w:rsidRPr="003C1CCC">
        <w:rPr>
          <w:rFonts w:asciiTheme="minorBidi" w:hAnsiTheme="minorBidi" w:cstheme="minorBidi"/>
          <w:szCs w:val="22"/>
          <w:lang w:val="en-GB"/>
        </w:rPr>
        <w:t>Czechia*,</w:t>
      </w:r>
      <w:r w:rsidR="005151C6" w:rsidRPr="003C1CCC">
        <w:rPr>
          <w:rFonts w:asciiTheme="minorBidi" w:hAnsiTheme="minorBidi" w:cstheme="minorBidi"/>
          <w:szCs w:val="22"/>
          <w:lang w:val="en-GB"/>
        </w:rPr>
        <w:t xml:space="preserve"> </w:t>
      </w:r>
      <w:r w:rsidRPr="003C1CCC">
        <w:rPr>
          <w:rFonts w:asciiTheme="minorBidi" w:hAnsiTheme="minorBidi" w:cstheme="minorBidi"/>
          <w:szCs w:val="22"/>
          <w:lang w:val="en-GB"/>
        </w:rPr>
        <w:t>Djibouti,</w:t>
      </w:r>
      <w:r w:rsidR="005151C6" w:rsidRPr="003C1CCC">
        <w:rPr>
          <w:rFonts w:asciiTheme="minorBidi" w:hAnsiTheme="minorBidi" w:cstheme="minorBidi"/>
          <w:szCs w:val="22"/>
          <w:lang w:val="en-GB"/>
        </w:rPr>
        <w:t xml:space="preserve"> </w:t>
      </w:r>
      <w:r w:rsidRPr="003C1CCC">
        <w:rPr>
          <w:rFonts w:asciiTheme="minorBidi" w:hAnsiTheme="minorBidi" w:cstheme="minorBidi"/>
          <w:szCs w:val="22"/>
          <w:lang w:val="en-GB"/>
        </w:rPr>
        <w:t>Jamaica, Japan, Kazakhstan, Kuwait,</w:t>
      </w:r>
      <w:r w:rsidR="005151C6" w:rsidRPr="003C1CCC">
        <w:rPr>
          <w:rFonts w:asciiTheme="minorBidi" w:hAnsiTheme="minorBidi" w:cstheme="minorBidi"/>
          <w:szCs w:val="22"/>
          <w:lang w:val="en-GB"/>
        </w:rPr>
        <w:t xml:space="preserve"> </w:t>
      </w:r>
      <w:r w:rsidR="00B90511" w:rsidRPr="003C1CCC">
        <w:rPr>
          <w:rFonts w:asciiTheme="minorBidi" w:hAnsiTheme="minorBidi" w:cstheme="minorBidi"/>
          <w:szCs w:val="22"/>
          <w:lang w:val="en-GB"/>
        </w:rPr>
        <w:t>Morocco*,</w:t>
      </w:r>
      <w:r w:rsidR="005151C6" w:rsidRPr="003C1CCC">
        <w:rPr>
          <w:rFonts w:asciiTheme="minorBidi" w:hAnsiTheme="minorBidi" w:cstheme="minorBidi"/>
          <w:szCs w:val="22"/>
          <w:lang w:val="en-GB"/>
        </w:rPr>
        <w:t xml:space="preserve"> </w:t>
      </w:r>
      <w:r w:rsidRPr="003C1CCC">
        <w:rPr>
          <w:rFonts w:asciiTheme="minorBidi" w:hAnsiTheme="minorBidi" w:cstheme="minorBidi"/>
          <w:szCs w:val="22"/>
          <w:lang w:val="en-GB"/>
        </w:rPr>
        <w:t xml:space="preserve">the Netherlands, </w:t>
      </w:r>
      <w:r w:rsidR="00B90511" w:rsidRPr="003C1CCC">
        <w:rPr>
          <w:rFonts w:asciiTheme="minorBidi" w:hAnsiTheme="minorBidi" w:cstheme="minorBidi"/>
          <w:szCs w:val="22"/>
          <w:lang w:val="en-GB"/>
        </w:rPr>
        <w:t>Panama*, Peru*,</w:t>
      </w:r>
      <w:r w:rsidRPr="003C1CCC">
        <w:rPr>
          <w:rFonts w:asciiTheme="minorBidi" w:hAnsiTheme="minorBidi" w:cstheme="minorBidi"/>
          <w:szCs w:val="22"/>
          <w:lang w:val="en-GB"/>
        </w:rPr>
        <w:t xml:space="preserve"> Poland, </w:t>
      </w:r>
      <w:r w:rsidR="00B90511" w:rsidRPr="003C1CCC">
        <w:rPr>
          <w:rFonts w:asciiTheme="minorBidi" w:hAnsiTheme="minorBidi" w:cstheme="minorBidi"/>
          <w:szCs w:val="22"/>
          <w:lang w:val="en-GB"/>
        </w:rPr>
        <w:t xml:space="preserve">Republic of Korea*, Rwanda*, Saudi Arabia*, </w:t>
      </w:r>
      <w:r w:rsidRPr="003C1CCC">
        <w:rPr>
          <w:rFonts w:asciiTheme="minorBidi" w:hAnsiTheme="minorBidi" w:cstheme="minorBidi"/>
          <w:szCs w:val="22"/>
          <w:lang w:val="en-GB"/>
        </w:rPr>
        <w:t xml:space="preserve">Sri Lanka, </w:t>
      </w:r>
      <w:r w:rsidR="00B90511" w:rsidRPr="003C1CCC">
        <w:rPr>
          <w:rFonts w:asciiTheme="minorBidi" w:hAnsiTheme="minorBidi" w:cstheme="minorBidi"/>
          <w:szCs w:val="22"/>
          <w:lang w:val="en-GB"/>
        </w:rPr>
        <w:t xml:space="preserve">Sweden*, Switzerland* and </w:t>
      </w:r>
      <w:r w:rsidRPr="003C1CCC">
        <w:rPr>
          <w:rFonts w:asciiTheme="minorBidi" w:hAnsiTheme="minorBidi" w:cstheme="minorBidi"/>
          <w:szCs w:val="22"/>
          <w:lang w:val="en-GB"/>
        </w:rPr>
        <w:t>Togo (those committee members indicated with an asterisk have a mandate between 20</w:t>
      </w:r>
      <w:r w:rsidR="00B90511" w:rsidRPr="003C1CCC">
        <w:rPr>
          <w:rFonts w:asciiTheme="minorBidi" w:hAnsiTheme="minorBidi" w:cstheme="minorBidi"/>
          <w:szCs w:val="22"/>
          <w:lang w:val="en-GB"/>
        </w:rPr>
        <w:t>20</w:t>
      </w:r>
      <w:r w:rsidRPr="003C1CCC">
        <w:rPr>
          <w:rFonts w:asciiTheme="minorBidi" w:hAnsiTheme="minorBidi" w:cstheme="minorBidi"/>
          <w:szCs w:val="22"/>
          <w:lang w:val="en-GB"/>
        </w:rPr>
        <w:t xml:space="preserve"> and 20</w:t>
      </w:r>
      <w:r w:rsidR="00B90511" w:rsidRPr="003C1CCC">
        <w:rPr>
          <w:rFonts w:asciiTheme="minorBidi" w:hAnsiTheme="minorBidi" w:cstheme="minorBidi"/>
          <w:szCs w:val="22"/>
          <w:lang w:val="en-GB"/>
        </w:rPr>
        <w:t>24</w:t>
      </w:r>
      <w:r w:rsidRPr="003C1CCC">
        <w:rPr>
          <w:rFonts w:asciiTheme="minorBidi" w:hAnsiTheme="minorBidi" w:cstheme="minorBidi"/>
          <w:szCs w:val="22"/>
          <w:lang w:val="en-GB"/>
        </w:rPr>
        <w:t>; the mandate for those without an asterisk is between 20</w:t>
      </w:r>
      <w:r w:rsidR="00B90511" w:rsidRPr="003C1CCC">
        <w:rPr>
          <w:rFonts w:asciiTheme="minorBidi" w:hAnsiTheme="minorBidi" w:cstheme="minorBidi"/>
          <w:szCs w:val="22"/>
          <w:lang w:val="en-GB"/>
        </w:rPr>
        <w:t>18</w:t>
      </w:r>
      <w:r w:rsidRPr="003C1CCC">
        <w:rPr>
          <w:rFonts w:asciiTheme="minorBidi" w:hAnsiTheme="minorBidi" w:cstheme="minorBidi"/>
          <w:szCs w:val="22"/>
          <w:lang w:val="en-GB"/>
        </w:rPr>
        <w:t xml:space="preserve"> and 202</w:t>
      </w:r>
      <w:r w:rsidR="00B90511" w:rsidRPr="003C1CCC">
        <w:rPr>
          <w:rFonts w:asciiTheme="minorBidi" w:hAnsiTheme="minorBidi" w:cstheme="minorBidi"/>
          <w:szCs w:val="22"/>
          <w:lang w:val="en-GB"/>
        </w:rPr>
        <w:t>2</w:t>
      </w:r>
      <w:r w:rsidRPr="003C1CCC">
        <w:rPr>
          <w:rFonts w:asciiTheme="minorBidi" w:hAnsiTheme="minorBidi" w:cstheme="minorBidi"/>
          <w:szCs w:val="22"/>
          <w:lang w:val="en-GB"/>
        </w:rPr>
        <w:t>).</w:t>
      </w:r>
    </w:p>
    <w:p w14:paraId="4CCB638E" w14:textId="03E38D6F" w:rsidR="00303AFF" w:rsidRPr="003C1CCC" w:rsidRDefault="00303AFF" w:rsidP="000C3849">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3C1CCC">
        <w:rPr>
          <w:rFonts w:asciiTheme="minorBidi" w:hAnsiTheme="minorBidi" w:cstheme="minorBidi"/>
          <w:szCs w:val="22"/>
          <w:lang w:val="en-GB"/>
        </w:rPr>
        <w:t>T</w:t>
      </w:r>
      <w:r w:rsidR="00CA3AC4" w:rsidRPr="003C1CCC">
        <w:rPr>
          <w:rFonts w:asciiTheme="minorBidi" w:hAnsiTheme="minorBidi" w:cstheme="minorBidi"/>
          <w:szCs w:val="22"/>
          <w:lang w:val="en-GB"/>
        </w:rPr>
        <w:t xml:space="preserve">he Committee </w:t>
      </w:r>
      <w:r w:rsidR="00AC2EEE" w:rsidRPr="003C1CCC">
        <w:rPr>
          <w:rFonts w:asciiTheme="minorBidi" w:hAnsiTheme="minorBidi" w:cstheme="minorBidi"/>
          <w:szCs w:val="22"/>
          <w:lang w:val="en-GB"/>
        </w:rPr>
        <w:t xml:space="preserve">was convened </w:t>
      </w:r>
      <w:r w:rsidR="00CA3AC4" w:rsidRPr="003C1CCC">
        <w:rPr>
          <w:rFonts w:asciiTheme="minorBidi" w:hAnsiTheme="minorBidi" w:cstheme="minorBidi"/>
          <w:szCs w:val="22"/>
          <w:lang w:val="en-GB"/>
        </w:rPr>
        <w:t>twice:</w:t>
      </w:r>
      <w:r w:rsidR="00B117D5" w:rsidRPr="003C1CCC">
        <w:rPr>
          <w:rFonts w:asciiTheme="minorBidi" w:hAnsiTheme="minorBidi" w:cstheme="minorBidi"/>
          <w:szCs w:val="22"/>
          <w:lang w:val="en-GB"/>
        </w:rPr>
        <w:t xml:space="preserve"> </w:t>
      </w:r>
      <w:r w:rsidR="00CA3AC4" w:rsidRPr="003C1CCC">
        <w:rPr>
          <w:rFonts w:asciiTheme="minorBidi" w:hAnsiTheme="minorBidi" w:cstheme="minorBidi"/>
          <w:szCs w:val="22"/>
          <w:lang w:val="en-GB"/>
        </w:rPr>
        <w:t xml:space="preserve">from </w:t>
      </w:r>
      <w:r w:rsidR="00B117D5" w:rsidRPr="003C1CCC">
        <w:rPr>
          <w:rFonts w:asciiTheme="minorBidi" w:hAnsiTheme="minorBidi" w:cstheme="minorBidi"/>
          <w:szCs w:val="22"/>
          <w:lang w:val="en-GB"/>
        </w:rPr>
        <w:t>14 to 1</w:t>
      </w:r>
      <w:r w:rsidR="00574C5E" w:rsidRPr="003C1CCC">
        <w:rPr>
          <w:rFonts w:asciiTheme="minorBidi" w:hAnsiTheme="minorBidi" w:cstheme="minorBidi"/>
          <w:szCs w:val="22"/>
          <w:lang w:val="en-GB"/>
        </w:rPr>
        <w:t>9</w:t>
      </w:r>
      <w:r w:rsidR="00B117D5" w:rsidRPr="003C1CCC">
        <w:rPr>
          <w:rFonts w:asciiTheme="minorBidi" w:hAnsiTheme="minorBidi" w:cstheme="minorBidi"/>
          <w:szCs w:val="22"/>
          <w:lang w:val="en-GB"/>
        </w:rPr>
        <w:t xml:space="preserve"> December</w:t>
      </w:r>
      <w:r w:rsidR="002523A8" w:rsidRPr="003C1CCC">
        <w:rPr>
          <w:rFonts w:asciiTheme="minorBidi" w:hAnsiTheme="minorBidi" w:cstheme="minorBidi"/>
          <w:szCs w:val="22"/>
          <w:lang w:val="en-GB"/>
        </w:rPr>
        <w:t xml:space="preserve"> 2020</w:t>
      </w:r>
      <w:r w:rsidR="0077698E" w:rsidRPr="003C1CCC">
        <w:rPr>
          <w:rFonts w:asciiTheme="minorBidi" w:hAnsiTheme="minorBidi" w:cstheme="minorBidi"/>
          <w:szCs w:val="22"/>
          <w:lang w:val="en-GB"/>
        </w:rPr>
        <w:t xml:space="preserve"> (online)</w:t>
      </w:r>
      <w:r w:rsidR="00CA3AC4" w:rsidRPr="003C1CCC">
        <w:rPr>
          <w:rFonts w:asciiTheme="minorBidi" w:hAnsiTheme="minorBidi" w:cstheme="minorBidi"/>
          <w:szCs w:val="22"/>
          <w:lang w:val="en-GB"/>
        </w:rPr>
        <w:t xml:space="preserve"> for its </w:t>
      </w:r>
      <w:r w:rsidR="00B117D5" w:rsidRPr="003C1CCC">
        <w:rPr>
          <w:rFonts w:asciiTheme="minorBidi" w:hAnsiTheme="minorBidi" w:cstheme="minorBidi"/>
          <w:szCs w:val="22"/>
          <w:lang w:val="en-GB"/>
        </w:rPr>
        <w:t>fifteenth</w:t>
      </w:r>
      <w:r w:rsidR="00CA3AC4" w:rsidRPr="003C1CCC">
        <w:rPr>
          <w:rFonts w:asciiTheme="minorBidi" w:hAnsiTheme="minorBidi" w:cstheme="minorBidi"/>
          <w:szCs w:val="22"/>
          <w:lang w:val="en-GB"/>
        </w:rPr>
        <w:t xml:space="preserve"> session (1</w:t>
      </w:r>
      <w:r w:rsidR="00B117D5" w:rsidRPr="003C1CCC">
        <w:rPr>
          <w:rFonts w:asciiTheme="minorBidi" w:hAnsiTheme="minorBidi" w:cstheme="minorBidi"/>
          <w:szCs w:val="22"/>
          <w:lang w:val="en-GB"/>
        </w:rPr>
        <w:t>5</w:t>
      </w:r>
      <w:r w:rsidR="00CA3AC4" w:rsidRPr="003C1CCC">
        <w:rPr>
          <w:rFonts w:asciiTheme="minorBidi" w:hAnsiTheme="minorBidi" w:cstheme="minorBidi"/>
          <w:szCs w:val="22"/>
          <w:lang w:val="en-GB"/>
        </w:rPr>
        <w:t xml:space="preserve">.COM) and from </w:t>
      </w:r>
      <w:r w:rsidR="002523A8" w:rsidRPr="003C1CCC">
        <w:rPr>
          <w:rFonts w:asciiTheme="minorBidi" w:hAnsiTheme="minorBidi" w:cstheme="minorBidi"/>
          <w:szCs w:val="22"/>
          <w:lang w:val="en-GB"/>
        </w:rPr>
        <w:t>13</w:t>
      </w:r>
      <w:r w:rsidR="00CA3AC4" w:rsidRPr="003C1CCC">
        <w:rPr>
          <w:rFonts w:asciiTheme="minorBidi" w:hAnsiTheme="minorBidi" w:cstheme="minorBidi"/>
          <w:szCs w:val="22"/>
          <w:lang w:val="en-GB"/>
        </w:rPr>
        <w:t xml:space="preserve"> to 1</w:t>
      </w:r>
      <w:r w:rsidR="002523A8" w:rsidRPr="003C1CCC">
        <w:rPr>
          <w:rFonts w:asciiTheme="minorBidi" w:hAnsiTheme="minorBidi" w:cstheme="minorBidi"/>
          <w:szCs w:val="22"/>
          <w:lang w:val="en-GB"/>
        </w:rPr>
        <w:t>8</w:t>
      </w:r>
      <w:r w:rsidR="00CA3AC4" w:rsidRPr="003C1CCC">
        <w:rPr>
          <w:rFonts w:asciiTheme="minorBidi" w:hAnsiTheme="minorBidi" w:cstheme="minorBidi"/>
          <w:szCs w:val="22"/>
          <w:lang w:val="en-GB"/>
        </w:rPr>
        <w:t> December 20</w:t>
      </w:r>
      <w:r w:rsidR="002523A8" w:rsidRPr="003C1CCC">
        <w:rPr>
          <w:rFonts w:asciiTheme="minorBidi" w:hAnsiTheme="minorBidi" w:cstheme="minorBidi"/>
          <w:szCs w:val="22"/>
          <w:lang w:val="en-GB"/>
        </w:rPr>
        <w:t>21</w:t>
      </w:r>
      <w:r w:rsidR="0077698E" w:rsidRPr="003C1CCC">
        <w:rPr>
          <w:rFonts w:asciiTheme="minorBidi" w:hAnsiTheme="minorBidi" w:cstheme="minorBidi"/>
          <w:szCs w:val="22"/>
          <w:lang w:val="en-GB"/>
        </w:rPr>
        <w:t xml:space="preserve"> </w:t>
      </w:r>
      <w:r w:rsidR="0077698E" w:rsidRPr="00BE5489">
        <w:rPr>
          <w:rFonts w:asciiTheme="minorBidi" w:hAnsiTheme="minorBidi" w:cstheme="minorBidi"/>
          <w:szCs w:val="22"/>
          <w:lang w:val="en-GB"/>
        </w:rPr>
        <w:t>(</w:t>
      </w:r>
      <w:r w:rsidR="00823F51">
        <w:rPr>
          <w:rFonts w:asciiTheme="minorBidi" w:hAnsiTheme="minorBidi" w:cstheme="minorBidi"/>
          <w:szCs w:val="22"/>
          <w:lang w:val="en-GB"/>
        </w:rPr>
        <w:t>online</w:t>
      </w:r>
      <w:r w:rsidR="0077698E" w:rsidRPr="00BE5489">
        <w:rPr>
          <w:rFonts w:asciiTheme="minorBidi" w:hAnsiTheme="minorBidi" w:cstheme="minorBidi"/>
          <w:szCs w:val="22"/>
          <w:lang w:val="en-GB"/>
        </w:rPr>
        <w:t>)</w:t>
      </w:r>
      <w:r w:rsidR="00CA3AC4" w:rsidRPr="003C1CCC">
        <w:rPr>
          <w:rFonts w:asciiTheme="minorBidi" w:hAnsiTheme="minorBidi" w:cstheme="minorBidi"/>
          <w:szCs w:val="22"/>
          <w:lang w:val="en-GB"/>
        </w:rPr>
        <w:t xml:space="preserve"> for its </w:t>
      </w:r>
      <w:r w:rsidR="00B117D5" w:rsidRPr="003C1CCC">
        <w:rPr>
          <w:rFonts w:asciiTheme="minorBidi" w:hAnsiTheme="minorBidi" w:cstheme="minorBidi"/>
          <w:szCs w:val="22"/>
          <w:lang w:val="en-GB"/>
        </w:rPr>
        <w:t>sixteenth</w:t>
      </w:r>
      <w:r w:rsidR="00CA3AC4" w:rsidRPr="003C1CCC">
        <w:rPr>
          <w:rFonts w:asciiTheme="minorBidi" w:hAnsiTheme="minorBidi" w:cstheme="minorBidi"/>
          <w:szCs w:val="22"/>
          <w:lang w:val="en-GB"/>
        </w:rPr>
        <w:t xml:space="preserve"> session (1</w:t>
      </w:r>
      <w:r w:rsidR="00B117D5" w:rsidRPr="003C1CCC">
        <w:rPr>
          <w:rFonts w:asciiTheme="minorBidi" w:hAnsiTheme="minorBidi" w:cstheme="minorBidi"/>
          <w:szCs w:val="22"/>
          <w:lang w:val="en-GB"/>
        </w:rPr>
        <w:t>6</w:t>
      </w:r>
      <w:r w:rsidR="00CA3AC4" w:rsidRPr="003C1CCC">
        <w:rPr>
          <w:rFonts w:asciiTheme="minorBidi" w:hAnsiTheme="minorBidi" w:cstheme="minorBidi"/>
          <w:szCs w:val="22"/>
          <w:lang w:val="en-GB"/>
        </w:rPr>
        <w:t>.COM</w:t>
      </w:r>
      <w:r w:rsidR="0077698E" w:rsidRPr="003C1CCC">
        <w:rPr>
          <w:rFonts w:asciiTheme="minorBidi" w:hAnsiTheme="minorBidi" w:cstheme="minorBidi"/>
          <w:szCs w:val="22"/>
          <w:lang w:val="en-GB"/>
        </w:rPr>
        <w:t>)</w:t>
      </w:r>
      <w:r w:rsidR="00CA3AC4" w:rsidRPr="003C1CCC">
        <w:rPr>
          <w:rFonts w:asciiTheme="minorBidi" w:hAnsiTheme="minorBidi" w:cstheme="minorBidi"/>
          <w:szCs w:val="22"/>
          <w:lang w:val="en-GB"/>
        </w:rPr>
        <w:t>.</w:t>
      </w:r>
      <w:r w:rsidRPr="003C1CCC">
        <w:rPr>
          <w:rFonts w:asciiTheme="minorBidi" w:hAnsiTheme="minorBidi" w:cstheme="minorBidi"/>
          <w:szCs w:val="22"/>
          <w:lang w:val="en-GB"/>
        </w:rPr>
        <w:t xml:space="preserve"> The Bureau of the 15.COM was composed of: H.E. Ms Olivia Grange (Jamaica) as Chairperson; the Netherlands, Azerbaijan, China, Djibouti and Kuwait as Vice-Chairpersons; and Mr Askar Abdrakhmanov (Kazakhstan) as Rapporteur (replaced in October 2021 by the Netherlands).</w:t>
      </w:r>
      <w:r w:rsidR="00BD2774" w:rsidRPr="003C1CCC">
        <w:rPr>
          <w:rFonts w:asciiTheme="minorBidi" w:hAnsiTheme="minorBidi" w:cstheme="minorBidi"/>
          <w:szCs w:val="22"/>
          <w:lang w:val="en-GB"/>
        </w:rPr>
        <w:t xml:space="preserve"> </w:t>
      </w:r>
      <w:r w:rsidRPr="003C1CCC">
        <w:rPr>
          <w:rFonts w:asciiTheme="minorBidi" w:hAnsiTheme="minorBidi" w:cstheme="minorBidi"/>
          <w:szCs w:val="22"/>
          <w:lang w:val="en-GB"/>
        </w:rPr>
        <w:t>The Bureau of the 16.COM was composed of: Mr Punchinilame Meegaswatte</w:t>
      </w:r>
      <w:r w:rsidRPr="003C1CCC" w:rsidDel="00AF7CC5">
        <w:rPr>
          <w:rFonts w:asciiTheme="minorBidi" w:hAnsiTheme="minorBidi" w:cstheme="minorBidi"/>
          <w:szCs w:val="22"/>
          <w:lang w:val="en-GB" w:eastAsia="zh-CN"/>
        </w:rPr>
        <w:t xml:space="preserve"> </w:t>
      </w:r>
      <w:r w:rsidRPr="003C1CCC">
        <w:rPr>
          <w:rFonts w:asciiTheme="minorBidi" w:hAnsiTheme="minorBidi" w:cstheme="minorBidi"/>
          <w:szCs w:val="22"/>
          <w:lang w:val="en-GB" w:eastAsia="zh-CN"/>
        </w:rPr>
        <w:t>(Sri Lanka)</w:t>
      </w:r>
      <w:r w:rsidRPr="003C1CCC">
        <w:rPr>
          <w:rFonts w:asciiTheme="minorBidi" w:hAnsiTheme="minorBidi" w:cstheme="minorBidi"/>
          <w:szCs w:val="22"/>
          <w:lang w:val="en-GB"/>
        </w:rPr>
        <w:t xml:space="preserve"> as Chairperson; Sweden, Czechia, Brazil, Sri Lanka, Djibouti and Saudi Arabia as Vice-Chairpersons</w:t>
      </w:r>
      <w:r w:rsidR="00A84AC7" w:rsidRPr="003C1CCC">
        <w:rPr>
          <w:rFonts w:asciiTheme="minorBidi" w:hAnsiTheme="minorBidi" w:cstheme="minorBidi"/>
          <w:szCs w:val="22"/>
          <w:lang w:val="en-GB"/>
        </w:rPr>
        <w:t>;</w:t>
      </w:r>
      <w:r w:rsidRPr="003C1CCC">
        <w:rPr>
          <w:rFonts w:asciiTheme="minorBidi" w:hAnsiTheme="minorBidi" w:cstheme="minorBidi"/>
          <w:szCs w:val="22"/>
          <w:lang w:val="en-GB"/>
        </w:rPr>
        <w:t xml:space="preserve"> and Ms Jun Takai (Japan) as Rapporteur.</w:t>
      </w:r>
    </w:p>
    <w:p w14:paraId="5D0226B0" w14:textId="0FE09863" w:rsidR="002E223C" w:rsidRPr="00E666FE" w:rsidRDefault="00CA3AC4" w:rsidP="002E223C">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E666FE">
        <w:rPr>
          <w:rFonts w:asciiTheme="minorBidi" w:hAnsiTheme="minorBidi" w:cstheme="minorBidi"/>
          <w:szCs w:val="22"/>
          <w:lang w:val="en-GB"/>
        </w:rPr>
        <w:t>The Bureau met during the sessions of the Committee</w:t>
      </w:r>
      <w:r w:rsidR="0098637B" w:rsidRPr="00E666FE">
        <w:rPr>
          <w:rFonts w:asciiTheme="minorBidi" w:hAnsiTheme="minorBidi" w:cstheme="minorBidi"/>
          <w:szCs w:val="22"/>
          <w:lang w:val="en-GB"/>
        </w:rPr>
        <w:t xml:space="preserve"> from Tuesday to Saturday</w:t>
      </w:r>
      <w:r w:rsidRPr="00E666FE">
        <w:rPr>
          <w:rFonts w:asciiTheme="minorBidi" w:hAnsiTheme="minorBidi" w:cstheme="minorBidi"/>
          <w:szCs w:val="22"/>
          <w:lang w:val="en-GB"/>
        </w:rPr>
        <w:t xml:space="preserve">. During the reporting period, it also </w:t>
      </w:r>
      <w:r w:rsidR="00617576" w:rsidRPr="00E666FE">
        <w:rPr>
          <w:rFonts w:asciiTheme="minorBidi" w:hAnsiTheme="minorBidi" w:cstheme="minorBidi"/>
          <w:szCs w:val="22"/>
          <w:lang w:val="en-GB"/>
        </w:rPr>
        <w:t>met once</w:t>
      </w:r>
      <w:r w:rsidRPr="00E666FE">
        <w:rPr>
          <w:rFonts w:asciiTheme="minorBidi" w:hAnsiTheme="minorBidi" w:cstheme="minorBidi"/>
          <w:szCs w:val="22"/>
          <w:lang w:val="en-GB"/>
        </w:rPr>
        <w:t xml:space="preserve"> at UNESCO Headquarters</w:t>
      </w:r>
      <w:r w:rsidR="00617576" w:rsidRPr="00E666FE">
        <w:rPr>
          <w:rFonts w:asciiTheme="minorBidi" w:hAnsiTheme="minorBidi" w:cstheme="minorBidi"/>
          <w:szCs w:val="22"/>
          <w:lang w:val="en-GB"/>
        </w:rPr>
        <w:t xml:space="preserve"> on 11 September 2020 (15.COM 2.BUR) and </w:t>
      </w:r>
      <w:r w:rsidR="007E55CC" w:rsidRPr="005F4C17">
        <w:rPr>
          <w:rFonts w:asciiTheme="minorBidi" w:hAnsiTheme="minorBidi" w:cstheme="minorBidi"/>
          <w:szCs w:val="22"/>
          <w:lang w:val="en-GB"/>
        </w:rPr>
        <w:t>six</w:t>
      </w:r>
      <w:r w:rsidR="005F7E04" w:rsidRPr="005F4C17">
        <w:rPr>
          <w:rFonts w:asciiTheme="minorBidi" w:hAnsiTheme="minorBidi" w:cstheme="minorBidi"/>
          <w:szCs w:val="22"/>
          <w:lang w:val="en-GB"/>
        </w:rPr>
        <w:t xml:space="preserve"> </w:t>
      </w:r>
      <w:r w:rsidR="00617576" w:rsidRPr="005F4C17">
        <w:rPr>
          <w:rFonts w:asciiTheme="minorBidi" w:hAnsiTheme="minorBidi" w:cstheme="minorBidi"/>
          <w:szCs w:val="22"/>
          <w:lang w:val="en-GB"/>
        </w:rPr>
        <w:t>times</w:t>
      </w:r>
      <w:r w:rsidR="00617576" w:rsidRPr="009F025B">
        <w:rPr>
          <w:rFonts w:asciiTheme="minorBidi" w:hAnsiTheme="minorBidi" w:cstheme="minorBidi"/>
          <w:szCs w:val="22"/>
          <w:lang w:val="en-GB"/>
        </w:rPr>
        <w:t xml:space="preserve"> online</w:t>
      </w:r>
      <w:r w:rsidR="00FD5491" w:rsidRPr="00E666FE">
        <w:rPr>
          <w:rFonts w:asciiTheme="minorBidi" w:hAnsiTheme="minorBidi" w:cstheme="minorBidi"/>
          <w:szCs w:val="22"/>
          <w:lang w:val="en-GB"/>
        </w:rPr>
        <w:t xml:space="preserve"> </w:t>
      </w:r>
      <w:r w:rsidR="00617576" w:rsidRPr="00E666FE">
        <w:rPr>
          <w:rFonts w:asciiTheme="minorBidi" w:hAnsiTheme="minorBidi" w:cstheme="minorBidi"/>
          <w:szCs w:val="22"/>
          <w:lang w:val="en-GB"/>
        </w:rPr>
        <w:t>on 30 October 2020 (15.COM 3.BUR)</w:t>
      </w:r>
      <w:r w:rsidR="00FD5491" w:rsidRPr="00E666FE">
        <w:rPr>
          <w:rFonts w:asciiTheme="minorBidi" w:hAnsiTheme="minorBidi" w:cstheme="minorBidi"/>
          <w:szCs w:val="22"/>
          <w:lang w:val="en-GB"/>
        </w:rPr>
        <w:t>,</w:t>
      </w:r>
      <w:r w:rsidR="00617576" w:rsidRPr="00E666FE">
        <w:rPr>
          <w:rFonts w:asciiTheme="minorBidi" w:hAnsiTheme="minorBidi" w:cstheme="minorBidi"/>
          <w:szCs w:val="22"/>
          <w:lang w:val="en-GB"/>
        </w:rPr>
        <w:t xml:space="preserve"> 8 March 2021 (16.COM 1.BUR), 21 May 2021 (16.COM 2.BUR)</w:t>
      </w:r>
      <w:r w:rsidR="00AC2EEE" w:rsidRPr="00E666FE">
        <w:rPr>
          <w:rFonts w:asciiTheme="minorBidi" w:hAnsiTheme="minorBidi" w:cstheme="minorBidi"/>
          <w:szCs w:val="22"/>
          <w:lang w:val="en-GB"/>
        </w:rPr>
        <w:t>,</w:t>
      </w:r>
      <w:r w:rsidR="005F7E04" w:rsidRPr="00E666FE">
        <w:rPr>
          <w:rFonts w:asciiTheme="minorBidi" w:hAnsiTheme="minorBidi" w:cstheme="minorBidi"/>
          <w:szCs w:val="22"/>
          <w:lang w:val="en-GB"/>
        </w:rPr>
        <w:t xml:space="preserve"> </w:t>
      </w:r>
      <w:r w:rsidR="00657275" w:rsidRPr="00E666FE">
        <w:rPr>
          <w:rFonts w:asciiTheme="minorBidi" w:hAnsiTheme="minorBidi" w:cstheme="minorBidi"/>
          <w:szCs w:val="22"/>
          <w:lang w:val="en-GB"/>
        </w:rPr>
        <w:t>4</w:t>
      </w:r>
      <w:r w:rsidR="00FC3B33" w:rsidRPr="00E666FE">
        <w:rPr>
          <w:rFonts w:asciiTheme="minorBidi" w:hAnsiTheme="minorBidi" w:cstheme="minorBidi"/>
          <w:szCs w:val="22"/>
          <w:lang w:val="en-GB"/>
        </w:rPr>
        <w:t xml:space="preserve"> </w:t>
      </w:r>
      <w:r w:rsidR="005F7E04" w:rsidRPr="00E666FE">
        <w:rPr>
          <w:rFonts w:asciiTheme="minorBidi" w:hAnsiTheme="minorBidi" w:cstheme="minorBidi"/>
          <w:szCs w:val="22"/>
          <w:lang w:val="en-GB"/>
        </w:rPr>
        <w:t xml:space="preserve">October 2021 (16.COM </w:t>
      </w:r>
      <w:r w:rsidR="00641E19" w:rsidRPr="00E666FE">
        <w:rPr>
          <w:rFonts w:asciiTheme="minorBidi" w:hAnsiTheme="minorBidi" w:cstheme="minorBidi"/>
          <w:szCs w:val="22"/>
          <w:lang w:val="en-GB"/>
        </w:rPr>
        <w:t>3</w:t>
      </w:r>
      <w:r w:rsidR="005F7E04" w:rsidRPr="00E666FE">
        <w:rPr>
          <w:rFonts w:asciiTheme="minorBidi" w:hAnsiTheme="minorBidi" w:cstheme="minorBidi"/>
          <w:szCs w:val="22"/>
          <w:lang w:val="en-GB"/>
        </w:rPr>
        <w:t>.BUR)</w:t>
      </w:r>
      <w:r w:rsidR="00B95A7D">
        <w:rPr>
          <w:rFonts w:asciiTheme="minorBidi" w:hAnsiTheme="minorBidi" w:cstheme="minorBidi"/>
          <w:szCs w:val="22"/>
          <w:lang w:val="en-GB"/>
        </w:rPr>
        <w:t>,</w:t>
      </w:r>
      <w:r w:rsidR="00AC2EEE" w:rsidRPr="00E666FE">
        <w:rPr>
          <w:rFonts w:asciiTheme="minorBidi" w:hAnsiTheme="minorBidi" w:cstheme="minorBidi"/>
          <w:szCs w:val="22"/>
          <w:lang w:val="en-GB"/>
        </w:rPr>
        <w:t xml:space="preserve"> 14 October 2021 (16.COM 4.BUR)</w:t>
      </w:r>
      <w:r w:rsidR="00B95A7D">
        <w:rPr>
          <w:rFonts w:asciiTheme="minorBidi" w:hAnsiTheme="minorBidi" w:cstheme="minorBidi"/>
          <w:szCs w:val="22"/>
          <w:lang w:val="en-GB"/>
        </w:rPr>
        <w:t xml:space="preserve"> and 3 December 2021 (16.COM BUR Informal Exchange)</w:t>
      </w:r>
      <w:r w:rsidR="00617576" w:rsidRPr="00E666FE">
        <w:rPr>
          <w:rFonts w:asciiTheme="minorBidi" w:hAnsiTheme="minorBidi" w:cstheme="minorBidi"/>
          <w:szCs w:val="22"/>
          <w:lang w:val="en-GB"/>
        </w:rPr>
        <w:t>.</w:t>
      </w:r>
      <w:r w:rsidR="00FD5491" w:rsidRPr="00E666FE">
        <w:rPr>
          <w:rFonts w:asciiTheme="minorBidi" w:hAnsiTheme="minorBidi" w:cstheme="minorBidi"/>
          <w:szCs w:val="22"/>
          <w:lang w:val="en-GB"/>
        </w:rPr>
        <w:t xml:space="preserve"> In addition, </w:t>
      </w:r>
      <w:r w:rsidR="00FD5491" w:rsidRPr="006B20E3">
        <w:rPr>
          <w:rFonts w:asciiTheme="minorBidi" w:hAnsiTheme="minorBidi" w:cstheme="minorBidi"/>
          <w:szCs w:val="22"/>
          <w:lang w:val="en-GB"/>
        </w:rPr>
        <w:t>two</w:t>
      </w:r>
      <w:r w:rsidR="00FD5491" w:rsidRPr="00E666FE">
        <w:rPr>
          <w:rFonts w:asciiTheme="minorBidi" w:hAnsiTheme="minorBidi" w:cstheme="minorBidi"/>
          <w:szCs w:val="22"/>
          <w:lang w:val="en-GB"/>
        </w:rPr>
        <w:t xml:space="preserve"> electronic consultation</w:t>
      </w:r>
      <w:r w:rsidR="00D471D3" w:rsidRPr="00E666FE">
        <w:rPr>
          <w:rFonts w:asciiTheme="minorBidi" w:hAnsiTheme="minorBidi" w:cstheme="minorBidi"/>
          <w:szCs w:val="22"/>
          <w:lang w:val="en-GB"/>
        </w:rPr>
        <w:t>s</w:t>
      </w:r>
      <w:r w:rsidR="00FD5491" w:rsidRPr="00E666FE">
        <w:rPr>
          <w:rFonts w:asciiTheme="minorBidi" w:hAnsiTheme="minorBidi" w:cstheme="minorBidi"/>
          <w:szCs w:val="22"/>
          <w:lang w:val="en-GB"/>
        </w:rPr>
        <w:t xml:space="preserve"> were held in</w:t>
      </w:r>
      <w:r w:rsidR="00824514" w:rsidRPr="00E666FE">
        <w:rPr>
          <w:rFonts w:asciiTheme="minorBidi" w:hAnsiTheme="minorBidi" w:cstheme="minorBidi"/>
          <w:szCs w:val="22"/>
          <w:lang w:val="en-GB"/>
        </w:rPr>
        <w:t xml:space="preserve"> July 2020 (15.COM 1.BUR) and</w:t>
      </w:r>
      <w:r w:rsidR="00FD5491" w:rsidRPr="00E666FE">
        <w:rPr>
          <w:rFonts w:asciiTheme="minorBidi" w:hAnsiTheme="minorBidi" w:cstheme="minorBidi"/>
          <w:szCs w:val="22"/>
          <w:lang w:val="en-GB"/>
        </w:rPr>
        <w:t xml:space="preserve"> November </w:t>
      </w:r>
      <w:r w:rsidR="00617576" w:rsidRPr="00E666FE">
        <w:rPr>
          <w:rFonts w:asciiTheme="minorBidi" w:hAnsiTheme="minorBidi" w:cstheme="minorBidi"/>
          <w:szCs w:val="22"/>
          <w:lang w:val="en-GB"/>
        </w:rPr>
        <w:t>2020 (15.COM 4.BUR)</w:t>
      </w:r>
      <w:r w:rsidR="00824514" w:rsidRPr="00E666FE">
        <w:rPr>
          <w:rFonts w:asciiTheme="minorBidi" w:hAnsiTheme="minorBidi" w:cstheme="minorBidi"/>
          <w:szCs w:val="22"/>
          <w:lang w:val="en-GB"/>
        </w:rPr>
        <w:t>.</w:t>
      </w:r>
    </w:p>
    <w:p w14:paraId="7A479E47" w14:textId="79F29388" w:rsidR="0048513E" w:rsidRDefault="00B37652" w:rsidP="0048513E">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2E223C">
        <w:rPr>
          <w:rFonts w:asciiTheme="minorBidi" w:hAnsiTheme="minorBidi" w:cstheme="minorBidi"/>
          <w:szCs w:val="22"/>
          <w:lang w:val="en-GB"/>
        </w:rPr>
        <w:t xml:space="preserve">During the reporting period, the Committee and its Bureau examined a total </w:t>
      </w:r>
      <w:r w:rsidRPr="00BD42CE">
        <w:rPr>
          <w:rFonts w:asciiTheme="minorBidi" w:hAnsiTheme="minorBidi" w:cstheme="minorBidi"/>
          <w:szCs w:val="22"/>
          <w:lang w:val="en-GB"/>
        </w:rPr>
        <w:t>of</w:t>
      </w:r>
      <w:r w:rsidR="002C763C" w:rsidRPr="00BD42CE">
        <w:rPr>
          <w:rFonts w:asciiTheme="minorBidi" w:hAnsiTheme="minorBidi" w:cstheme="minorBidi"/>
          <w:szCs w:val="22"/>
          <w:lang w:val="en-GB"/>
        </w:rPr>
        <w:t xml:space="preserve"> </w:t>
      </w:r>
      <w:r w:rsidR="0018792F" w:rsidRPr="005F4C17">
        <w:rPr>
          <w:rFonts w:asciiTheme="minorBidi" w:hAnsiTheme="minorBidi" w:cstheme="minorBidi"/>
          <w:szCs w:val="22"/>
          <w:lang w:val="en-GB"/>
        </w:rPr>
        <w:t>seventy-seven</w:t>
      </w:r>
      <w:r w:rsidR="003A7904" w:rsidRPr="00BD42CE">
        <w:rPr>
          <w:rFonts w:asciiTheme="minorBidi" w:hAnsiTheme="minorBidi" w:cstheme="minorBidi"/>
          <w:szCs w:val="22"/>
          <w:lang w:val="en-GB"/>
        </w:rPr>
        <w:t xml:space="preserve"> </w:t>
      </w:r>
      <w:r w:rsidRPr="00BD42CE">
        <w:rPr>
          <w:rFonts w:asciiTheme="minorBidi" w:hAnsiTheme="minorBidi" w:cstheme="minorBidi"/>
          <w:szCs w:val="22"/>
          <w:lang w:val="en-GB"/>
        </w:rPr>
        <w:t>items inscribed on their agendas, which were accompanied by</w:t>
      </w:r>
      <w:r w:rsidR="002C763C" w:rsidRPr="00BD42CE">
        <w:rPr>
          <w:rFonts w:asciiTheme="minorBidi" w:hAnsiTheme="minorBidi" w:cstheme="minorBidi"/>
          <w:szCs w:val="22"/>
          <w:lang w:val="en-GB"/>
        </w:rPr>
        <w:t xml:space="preserve"> </w:t>
      </w:r>
      <w:r w:rsidR="003A7904" w:rsidRPr="005F4C17">
        <w:rPr>
          <w:rFonts w:asciiTheme="minorBidi" w:hAnsiTheme="minorBidi" w:cstheme="minorBidi"/>
          <w:szCs w:val="22"/>
          <w:lang w:val="en-GB"/>
        </w:rPr>
        <w:t>eighty-</w:t>
      </w:r>
      <w:r w:rsidR="0018792F" w:rsidRPr="005F4C17">
        <w:rPr>
          <w:rFonts w:asciiTheme="minorBidi" w:hAnsiTheme="minorBidi" w:cstheme="minorBidi"/>
          <w:szCs w:val="22"/>
          <w:lang w:val="en-GB"/>
        </w:rPr>
        <w:t>six</w:t>
      </w:r>
      <w:r w:rsidR="003A7904" w:rsidRPr="00BD42CE">
        <w:rPr>
          <w:rFonts w:asciiTheme="minorBidi" w:hAnsiTheme="minorBidi" w:cstheme="minorBidi"/>
          <w:szCs w:val="22"/>
          <w:lang w:val="en-GB"/>
        </w:rPr>
        <w:t xml:space="preserve"> </w:t>
      </w:r>
      <w:r w:rsidRPr="00BD42CE">
        <w:rPr>
          <w:rFonts w:asciiTheme="minorBidi" w:hAnsiTheme="minorBidi" w:cstheme="minorBidi"/>
          <w:szCs w:val="22"/>
          <w:lang w:val="en-GB"/>
        </w:rPr>
        <w:t>working</w:t>
      </w:r>
      <w:r w:rsidRPr="002E223C">
        <w:rPr>
          <w:rFonts w:asciiTheme="minorBidi" w:hAnsiTheme="minorBidi" w:cstheme="minorBidi"/>
          <w:szCs w:val="22"/>
          <w:lang w:val="en-GB"/>
        </w:rPr>
        <w:t xml:space="preserve"> documents or information documents</w:t>
      </w:r>
      <w:r w:rsidR="00A84AC7" w:rsidRPr="002E223C">
        <w:rPr>
          <w:rFonts w:asciiTheme="minorBidi" w:hAnsiTheme="minorBidi" w:cstheme="minorBidi"/>
          <w:szCs w:val="22"/>
          <w:lang w:val="en-GB"/>
        </w:rPr>
        <w:t>,</w:t>
      </w:r>
      <w:r w:rsidRPr="002E223C">
        <w:rPr>
          <w:rFonts w:asciiTheme="minorBidi" w:hAnsiTheme="minorBidi" w:cstheme="minorBidi"/>
          <w:szCs w:val="22"/>
          <w:lang w:val="en-GB"/>
        </w:rPr>
        <w:t xml:space="preserve"> </w:t>
      </w:r>
      <w:r w:rsidR="00CC51B7">
        <w:rPr>
          <w:rFonts w:asciiTheme="minorBidi" w:hAnsiTheme="minorBidi" w:cstheme="minorBidi"/>
          <w:szCs w:val="22"/>
          <w:lang w:val="en-GB"/>
        </w:rPr>
        <w:t>nine</w:t>
      </w:r>
      <w:r w:rsidR="003A7904" w:rsidRPr="002E223C">
        <w:rPr>
          <w:rFonts w:asciiTheme="minorBidi" w:hAnsiTheme="minorBidi" w:cstheme="minorBidi"/>
          <w:szCs w:val="22"/>
          <w:lang w:val="en-GB"/>
        </w:rPr>
        <w:t xml:space="preserve"> </w:t>
      </w:r>
      <w:r w:rsidRPr="002E223C">
        <w:rPr>
          <w:rFonts w:asciiTheme="minorBidi" w:hAnsiTheme="minorBidi" w:cstheme="minorBidi"/>
          <w:szCs w:val="22"/>
          <w:lang w:val="en-GB"/>
        </w:rPr>
        <w:t xml:space="preserve">nominations for the Urgent Safeguarding List, </w:t>
      </w:r>
      <w:r w:rsidR="00B53635">
        <w:rPr>
          <w:rFonts w:asciiTheme="minorBidi" w:hAnsiTheme="minorBidi" w:cstheme="minorBidi"/>
          <w:szCs w:val="22"/>
          <w:lang w:val="en-GB"/>
        </w:rPr>
        <w:t>seventy-six</w:t>
      </w:r>
      <w:r w:rsidR="003A7904" w:rsidRPr="002E223C">
        <w:rPr>
          <w:rFonts w:asciiTheme="minorBidi" w:hAnsiTheme="minorBidi" w:cstheme="minorBidi"/>
          <w:szCs w:val="22"/>
          <w:lang w:val="en-GB"/>
        </w:rPr>
        <w:t xml:space="preserve"> </w:t>
      </w:r>
      <w:r w:rsidRPr="002E223C">
        <w:rPr>
          <w:rFonts w:asciiTheme="minorBidi" w:hAnsiTheme="minorBidi" w:cstheme="minorBidi"/>
          <w:szCs w:val="22"/>
          <w:lang w:val="en-GB"/>
        </w:rPr>
        <w:t xml:space="preserve">nominations for the Representative List, </w:t>
      </w:r>
      <w:r w:rsidR="00E13780">
        <w:rPr>
          <w:rFonts w:asciiTheme="minorBidi" w:hAnsiTheme="minorBidi" w:cstheme="minorBidi"/>
          <w:szCs w:val="22"/>
          <w:lang w:val="en-GB"/>
        </w:rPr>
        <w:t>eight</w:t>
      </w:r>
      <w:r w:rsidR="003A7904" w:rsidRPr="002E223C">
        <w:rPr>
          <w:rFonts w:asciiTheme="minorBidi" w:hAnsiTheme="minorBidi" w:cstheme="minorBidi"/>
          <w:szCs w:val="22"/>
          <w:lang w:val="en-GB"/>
        </w:rPr>
        <w:t xml:space="preserve"> </w:t>
      </w:r>
      <w:r w:rsidRPr="002E223C">
        <w:rPr>
          <w:rFonts w:asciiTheme="minorBidi" w:hAnsiTheme="minorBidi" w:cstheme="minorBidi"/>
          <w:szCs w:val="22"/>
          <w:lang w:val="en-GB"/>
        </w:rPr>
        <w:t xml:space="preserve">proposals for good safeguarding practices, </w:t>
      </w:r>
      <w:r w:rsidR="003A7904" w:rsidRPr="002E223C">
        <w:rPr>
          <w:rFonts w:asciiTheme="minorBidi" w:hAnsiTheme="minorBidi" w:cstheme="minorBidi"/>
          <w:szCs w:val="22"/>
          <w:lang w:val="en-GB"/>
        </w:rPr>
        <w:t xml:space="preserve">twenty-two </w:t>
      </w:r>
      <w:r w:rsidRPr="002E223C">
        <w:rPr>
          <w:rFonts w:asciiTheme="minorBidi" w:hAnsiTheme="minorBidi" w:cstheme="minorBidi"/>
          <w:szCs w:val="22"/>
          <w:lang w:val="en-GB"/>
        </w:rPr>
        <w:t xml:space="preserve">requests for International Assistance, </w:t>
      </w:r>
      <w:r w:rsidR="003A7904" w:rsidRPr="006B20E3">
        <w:rPr>
          <w:rFonts w:asciiTheme="minorBidi" w:hAnsiTheme="minorBidi" w:cstheme="minorBidi"/>
          <w:szCs w:val="22"/>
          <w:lang w:val="en-GB"/>
        </w:rPr>
        <w:t>fifty-</w:t>
      </w:r>
      <w:r w:rsidR="003D5357" w:rsidRPr="006B20E3">
        <w:rPr>
          <w:rFonts w:asciiTheme="minorBidi" w:hAnsiTheme="minorBidi" w:cstheme="minorBidi"/>
          <w:szCs w:val="22"/>
          <w:lang w:val="en-GB"/>
        </w:rPr>
        <w:t>six</w:t>
      </w:r>
      <w:r w:rsidR="003A7904" w:rsidRPr="002E223C">
        <w:rPr>
          <w:rFonts w:asciiTheme="minorBidi" w:hAnsiTheme="minorBidi" w:cstheme="minorBidi"/>
          <w:szCs w:val="22"/>
          <w:lang w:val="en-GB"/>
        </w:rPr>
        <w:t xml:space="preserve"> </w:t>
      </w:r>
      <w:r w:rsidRPr="002E223C">
        <w:rPr>
          <w:rFonts w:asciiTheme="minorBidi" w:hAnsiTheme="minorBidi" w:cstheme="minorBidi"/>
          <w:szCs w:val="22"/>
          <w:lang w:val="en-GB"/>
        </w:rPr>
        <w:t xml:space="preserve">reports submitted by States Parties and </w:t>
      </w:r>
      <w:r w:rsidR="008D539B" w:rsidRPr="002E223C">
        <w:rPr>
          <w:rFonts w:asciiTheme="minorBidi" w:hAnsiTheme="minorBidi" w:cstheme="minorBidi"/>
          <w:szCs w:val="22"/>
          <w:lang w:val="en-GB"/>
        </w:rPr>
        <w:t>105</w:t>
      </w:r>
      <w:r w:rsidR="006D7A62" w:rsidRPr="002E223C">
        <w:rPr>
          <w:rFonts w:asciiTheme="minorBidi" w:hAnsiTheme="minorBidi" w:cstheme="minorBidi"/>
          <w:szCs w:val="22"/>
          <w:lang w:val="en-GB"/>
        </w:rPr>
        <w:t xml:space="preserve"> </w:t>
      </w:r>
      <w:r w:rsidRPr="002E223C">
        <w:rPr>
          <w:rFonts w:asciiTheme="minorBidi" w:hAnsiTheme="minorBidi" w:cstheme="minorBidi"/>
          <w:szCs w:val="22"/>
          <w:lang w:val="en-GB"/>
        </w:rPr>
        <w:t>requests for accreditation or renewal from non-governmental organizations.</w:t>
      </w:r>
    </w:p>
    <w:p w14:paraId="1A08F59A" w14:textId="684E75AF" w:rsidR="0098637B" w:rsidRPr="0048513E" w:rsidRDefault="000343FC" w:rsidP="0048513E">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48513E">
        <w:rPr>
          <w:rFonts w:asciiTheme="minorBidi" w:hAnsiTheme="minorBidi" w:cstheme="minorBidi"/>
          <w:b/>
          <w:bCs/>
          <w:szCs w:val="22"/>
          <w:lang w:val="en-GB"/>
        </w:rPr>
        <w:t>Adjustments made in response to the COVID-19 pandemic</w:t>
      </w:r>
      <w:r w:rsidRPr="0048513E">
        <w:rPr>
          <w:rFonts w:asciiTheme="minorBidi" w:hAnsiTheme="minorBidi" w:cstheme="minorBidi"/>
          <w:szCs w:val="22"/>
          <w:lang w:val="en-GB"/>
        </w:rPr>
        <w:t>:</w:t>
      </w:r>
      <w:r w:rsidR="005F6391" w:rsidRPr="0048513E">
        <w:rPr>
          <w:rFonts w:asciiTheme="minorBidi" w:hAnsiTheme="minorBidi" w:cstheme="minorBidi"/>
          <w:szCs w:val="22"/>
          <w:lang w:val="en-GB"/>
        </w:rPr>
        <w:t xml:space="preserve"> With the outbreak of the COVID-19 pandemic, the functions of the Committee during the reporting period </w:t>
      </w:r>
      <w:r w:rsidR="00D73D64" w:rsidRPr="0048513E">
        <w:rPr>
          <w:rFonts w:asciiTheme="minorBidi" w:hAnsiTheme="minorBidi" w:cstheme="minorBidi"/>
          <w:szCs w:val="22"/>
          <w:lang w:val="en-GB"/>
        </w:rPr>
        <w:t>were</w:t>
      </w:r>
      <w:r w:rsidR="005F6391" w:rsidRPr="0048513E">
        <w:rPr>
          <w:rFonts w:asciiTheme="minorBidi" w:hAnsiTheme="minorBidi" w:cstheme="minorBidi"/>
          <w:szCs w:val="22"/>
          <w:lang w:val="en-GB"/>
        </w:rPr>
        <w:t xml:space="preserve"> heavily impacted. The challenging circumstances of this global health crisis </w:t>
      </w:r>
      <w:r w:rsidR="00A84AC7" w:rsidRPr="0048513E">
        <w:rPr>
          <w:rFonts w:asciiTheme="minorBidi" w:hAnsiTheme="minorBidi" w:cstheme="minorBidi"/>
          <w:szCs w:val="22"/>
          <w:lang w:val="en-GB"/>
        </w:rPr>
        <w:t xml:space="preserve">required </w:t>
      </w:r>
      <w:r w:rsidR="005F6391" w:rsidRPr="0048513E">
        <w:rPr>
          <w:rFonts w:asciiTheme="minorBidi" w:hAnsiTheme="minorBidi" w:cstheme="minorBidi"/>
          <w:szCs w:val="22"/>
          <w:lang w:val="en-GB"/>
        </w:rPr>
        <w:t>major adjustments to the work of the Committee</w:t>
      </w:r>
      <w:r w:rsidR="00163048" w:rsidRPr="0048513E">
        <w:rPr>
          <w:rFonts w:asciiTheme="minorBidi" w:hAnsiTheme="minorBidi" w:cstheme="minorBidi"/>
          <w:szCs w:val="22"/>
          <w:lang w:val="en-GB"/>
        </w:rPr>
        <w:t xml:space="preserve"> and its consultative bod</w:t>
      </w:r>
      <w:r w:rsidR="00A84AC7" w:rsidRPr="0048513E">
        <w:rPr>
          <w:rFonts w:asciiTheme="minorBidi" w:hAnsiTheme="minorBidi" w:cstheme="minorBidi"/>
          <w:szCs w:val="22"/>
          <w:lang w:val="en-GB"/>
        </w:rPr>
        <w:t>ies</w:t>
      </w:r>
      <w:r w:rsidR="00163048" w:rsidRPr="0048513E">
        <w:rPr>
          <w:rFonts w:asciiTheme="minorBidi" w:hAnsiTheme="minorBidi" w:cstheme="minorBidi"/>
          <w:szCs w:val="22"/>
          <w:lang w:val="en-GB"/>
        </w:rPr>
        <w:t xml:space="preserve"> such as the Evaluation </w:t>
      </w:r>
      <w:r w:rsidR="006E5D40">
        <w:rPr>
          <w:rStyle w:val="Marquedecommentaire"/>
        </w:rPr>
        <w:annotationRef/>
      </w:r>
      <w:r w:rsidR="00163048" w:rsidRPr="0048513E">
        <w:rPr>
          <w:rFonts w:asciiTheme="minorBidi" w:hAnsiTheme="minorBidi" w:cstheme="minorBidi"/>
          <w:szCs w:val="22"/>
          <w:lang w:val="en-GB"/>
        </w:rPr>
        <w:t>Body</w:t>
      </w:r>
      <w:r w:rsidR="005F6391" w:rsidRPr="0048513E">
        <w:rPr>
          <w:rFonts w:asciiTheme="minorBidi" w:hAnsiTheme="minorBidi" w:cstheme="minorBidi"/>
          <w:szCs w:val="22"/>
          <w:lang w:val="en-GB"/>
        </w:rPr>
        <w:t xml:space="preserve">, involving rescheduling meetings, </w:t>
      </w:r>
      <w:r w:rsidR="00CC2399" w:rsidRPr="0048513E">
        <w:rPr>
          <w:rFonts w:asciiTheme="minorBidi" w:hAnsiTheme="minorBidi" w:cstheme="minorBidi"/>
          <w:szCs w:val="22"/>
          <w:lang w:val="en-GB"/>
        </w:rPr>
        <w:t>postponing or rescheduling</w:t>
      </w:r>
      <w:r w:rsidR="00163048" w:rsidRPr="0048513E">
        <w:rPr>
          <w:rFonts w:asciiTheme="minorBidi" w:hAnsiTheme="minorBidi" w:cstheme="minorBidi"/>
          <w:szCs w:val="22"/>
          <w:lang w:val="en-GB"/>
        </w:rPr>
        <w:t xml:space="preserve"> statutory deadlines</w:t>
      </w:r>
      <w:r w:rsidR="00CC2399" w:rsidRPr="0048513E">
        <w:rPr>
          <w:rFonts w:asciiTheme="minorBidi" w:hAnsiTheme="minorBidi" w:cstheme="minorBidi"/>
          <w:szCs w:val="22"/>
          <w:lang w:val="en-GB"/>
        </w:rPr>
        <w:t xml:space="preserve"> </w:t>
      </w:r>
      <w:r w:rsidR="008317FB" w:rsidRPr="0048513E">
        <w:rPr>
          <w:rFonts w:asciiTheme="minorBidi" w:hAnsiTheme="minorBidi" w:cstheme="minorBidi"/>
          <w:szCs w:val="22"/>
          <w:lang w:val="en-GB"/>
        </w:rPr>
        <w:t>and</w:t>
      </w:r>
      <w:r w:rsidR="00CC2399" w:rsidRPr="0048513E">
        <w:rPr>
          <w:rFonts w:asciiTheme="minorBidi" w:hAnsiTheme="minorBidi" w:cstheme="minorBidi"/>
          <w:szCs w:val="22"/>
          <w:lang w:val="en-GB"/>
        </w:rPr>
        <w:t xml:space="preserve"> increas</w:t>
      </w:r>
      <w:r w:rsidR="008317FB" w:rsidRPr="0048513E">
        <w:rPr>
          <w:rFonts w:asciiTheme="minorBidi" w:hAnsiTheme="minorBidi" w:cstheme="minorBidi"/>
          <w:szCs w:val="22"/>
          <w:lang w:val="en-GB"/>
        </w:rPr>
        <w:t>ing</w:t>
      </w:r>
      <w:r w:rsidR="00CC2399" w:rsidRPr="0048513E">
        <w:rPr>
          <w:rFonts w:asciiTheme="minorBidi" w:hAnsiTheme="minorBidi" w:cstheme="minorBidi"/>
          <w:szCs w:val="22"/>
          <w:lang w:val="en-GB"/>
        </w:rPr>
        <w:t xml:space="preserve"> </w:t>
      </w:r>
      <w:r w:rsidR="005F6391" w:rsidRPr="0048513E">
        <w:rPr>
          <w:rFonts w:asciiTheme="minorBidi" w:hAnsiTheme="minorBidi" w:cstheme="minorBidi"/>
          <w:szCs w:val="22"/>
          <w:lang w:val="en-GB"/>
        </w:rPr>
        <w:t xml:space="preserve">technological support </w:t>
      </w:r>
      <w:r w:rsidR="00CC2399" w:rsidRPr="0048513E">
        <w:rPr>
          <w:rFonts w:asciiTheme="minorBidi" w:hAnsiTheme="minorBidi" w:cstheme="minorBidi"/>
          <w:szCs w:val="22"/>
          <w:lang w:val="en-GB"/>
        </w:rPr>
        <w:t>or</w:t>
      </w:r>
      <w:r w:rsidR="005F6391" w:rsidRPr="0048513E">
        <w:rPr>
          <w:rFonts w:asciiTheme="minorBidi" w:hAnsiTheme="minorBidi" w:cstheme="minorBidi"/>
          <w:szCs w:val="22"/>
          <w:lang w:val="en-GB"/>
        </w:rPr>
        <w:t xml:space="preserve"> </w:t>
      </w:r>
      <w:r w:rsidR="00CC2399" w:rsidRPr="0048513E">
        <w:rPr>
          <w:rFonts w:asciiTheme="minorBidi" w:hAnsiTheme="minorBidi" w:cstheme="minorBidi"/>
          <w:szCs w:val="22"/>
          <w:lang w:val="en-GB"/>
        </w:rPr>
        <w:t>adapt</w:t>
      </w:r>
      <w:r w:rsidR="008317FB" w:rsidRPr="0048513E">
        <w:rPr>
          <w:rFonts w:asciiTheme="minorBidi" w:hAnsiTheme="minorBidi" w:cstheme="minorBidi"/>
          <w:szCs w:val="22"/>
          <w:lang w:val="en-GB"/>
        </w:rPr>
        <w:t>ing</w:t>
      </w:r>
      <w:r w:rsidR="00CC2399" w:rsidRPr="0048513E">
        <w:rPr>
          <w:rFonts w:asciiTheme="minorBidi" w:hAnsiTheme="minorBidi" w:cstheme="minorBidi"/>
          <w:szCs w:val="22"/>
          <w:lang w:val="en-GB"/>
        </w:rPr>
        <w:t xml:space="preserve"> </w:t>
      </w:r>
      <w:r w:rsidR="005F6391" w:rsidRPr="0048513E">
        <w:rPr>
          <w:rFonts w:asciiTheme="minorBidi" w:hAnsiTheme="minorBidi" w:cstheme="minorBidi"/>
          <w:szCs w:val="22"/>
          <w:lang w:val="en-GB"/>
        </w:rPr>
        <w:t>meeting content to online formats</w:t>
      </w:r>
      <w:r w:rsidR="00A22FCF" w:rsidRPr="0048513E">
        <w:rPr>
          <w:rFonts w:asciiTheme="minorBidi" w:hAnsiTheme="minorBidi" w:cstheme="minorBidi"/>
          <w:szCs w:val="22"/>
          <w:lang w:val="en-GB"/>
        </w:rPr>
        <w:t xml:space="preserve"> (see document </w:t>
      </w:r>
      <w:hyperlink r:id="rId13" w:history="1">
        <w:r w:rsidR="00A22FCF" w:rsidRPr="0048513E">
          <w:rPr>
            <w:rStyle w:val="Lienhypertexte"/>
            <w:rFonts w:asciiTheme="minorBidi" w:hAnsiTheme="minorBidi" w:cstheme="minorBidi"/>
            <w:szCs w:val="22"/>
            <w:lang w:val="en-GB"/>
          </w:rPr>
          <w:t>LHE/20/8.GA/6</w:t>
        </w:r>
        <w:r w:rsidR="008317FB" w:rsidRPr="0048513E">
          <w:rPr>
            <w:rStyle w:val="Lienhypertexte"/>
            <w:rFonts w:asciiTheme="minorBidi" w:hAnsiTheme="minorBidi" w:cstheme="minorBidi"/>
            <w:szCs w:val="22"/>
            <w:lang w:val="en-GB"/>
          </w:rPr>
          <w:t xml:space="preserve"> </w:t>
        </w:r>
        <w:r w:rsidR="00A22FCF" w:rsidRPr="0048513E">
          <w:rPr>
            <w:rStyle w:val="Lienhypertexte"/>
            <w:rFonts w:asciiTheme="minorBidi" w:hAnsiTheme="minorBidi" w:cstheme="minorBidi"/>
            <w:szCs w:val="22"/>
            <w:lang w:val="en-GB"/>
          </w:rPr>
          <w:t>Add</w:t>
        </w:r>
      </w:hyperlink>
      <w:r w:rsidR="0032181A" w:rsidRPr="0048513E">
        <w:rPr>
          <w:rStyle w:val="Lienhypertexte"/>
          <w:rFonts w:asciiTheme="minorBidi" w:hAnsiTheme="minorBidi" w:cstheme="minorBidi"/>
          <w:szCs w:val="22"/>
          <w:lang w:val="en-GB"/>
        </w:rPr>
        <w:t>.</w:t>
      </w:r>
      <w:r w:rsidR="00AC2EEE" w:rsidRPr="0048513E">
        <w:rPr>
          <w:rFonts w:asciiTheme="minorBidi" w:hAnsiTheme="minorBidi" w:cstheme="minorBidi"/>
          <w:szCs w:val="22"/>
          <w:lang w:val="en-GB"/>
        </w:rPr>
        <w:t xml:space="preserve"> and</w:t>
      </w:r>
      <w:r w:rsidR="008317FB" w:rsidRPr="0048513E">
        <w:rPr>
          <w:rFonts w:asciiTheme="minorBidi" w:hAnsiTheme="minorBidi" w:cstheme="minorBidi"/>
          <w:szCs w:val="22"/>
          <w:lang w:val="en-GB"/>
        </w:rPr>
        <w:t xml:space="preserve"> the</w:t>
      </w:r>
      <w:r w:rsidR="00AC2EEE" w:rsidRPr="0048513E">
        <w:rPr>
          <w:rFonts w:asciiTheme="minorBidi" w:hAnsiTheme="minorBidi" w:cstheme="minorBidi"/>
          <w:szCs w:val="22"/>
          <w:lang w:val="en-GB"/>
        </w:rPr>
        <w:t xml:space="preserve"> </w:t>
      </w:r>
      <w:r w:rsidR="00CC2399" w:rsidRPr="0048513E">
        <w:rPr>
          <w:rFonts w:asciiTheme="minorBidi" w:hAnsiTheme="minorBidi" w:cstheme="minorBidi"/>
          <w:szCs w:val="22"/>
          <w:lang w:val="en-GB"/>
        </w:rPr>
        <w:t>Report of the Secretariat</w:t>
      </w:r>
      <w:r w:rsidR="001A725D" w:rsidRPr="0048513E">
        <w:rPr>
          <w:rFonts w:asciiTheme="minorBidi" w:hAnsiTheme="minorBidi" w:cstheme="minorBidi"/>
          <w:szCs w:val="22"/>
          <w:lang w:val="en-GB"/>
        </w:rPr>
        <w:t xml:space="preserve"> </w:t>
      </w:r>
      <w:hyperlink r:id="rId14" w:history="1">
        <w:r w:rsidR="001A725D" w:rsidRPr="0048513E">
          <w:rPr>
            <w:rStyle w:val="Lienhypertexte"/>
            <w:rFonts w:asciiTheme="minorBidi" w:hAnsiTheme="minorBidi" w:cstheme="minorBidi"/>
            <w:szCs w:val="22"/>
            <w:lang w:val="en-GB"/>
          </w:rPr>
          <w:t>LHE/21/16.COM/5.b</w:t>
        </w:r>
      </w:hyperlink>
      <w:r w:rsidR="00A22FCF" w:rsidRPr="0048513E">
        <w:rPr>
          <w:rFonts w:asciiTheme="minorBidi" w:hAnsiTheme="minorBidi" w:cstheme="minorBidi"/>
          <w:szCs w:val="22"/>
          <w:lang w:val="en-GB"/>
        </w:rPr>
        <w:t>)</w:t>
      </w:r>
      <w:r w:rsidR="00CC2399" w:rsidRPr="0048513E">
        <w:rPr>
          <w:rFonts w:asciiTheme="minorBidi" w:hAnsiTheme="minorBidi" w:cstheme="minorBidi"/>
          <w:szCs w:val="22"/>
          <w:lang w:val="en-GB"/>
        </w:rPr>
        <w:t>.</w:t>
      </w:r>
    </w:p>
    <w:p w14:paraId="250C2949" w14:textId="44114351" w:rsidR="005F6391" w:rsidRPr="003C1CCC" w:rsidRDefault="00CC2399" w:rsidP="005F6391">
      <w:pPr>
        <w:pStyle w:val="Paragraphedeliste"/>
        <w:numPr>
          <w:ilvl w:val="0"/>
          <w:numId w:val="16"/>
        </w:numPr>
        <w:tabs>
          <w:tab w:val="clear" w:pos="502"/>
          <w:tab w:val="num" w:pos="567"/>
        </w:tabs>
        <w:spacing w:after="120"/>
        <w:ind w:left="567" w:hanging="567"/>
        <w:contextualSpacing w:val="0"/>
        <w:jc w:val="both"/>
        <w:rPr>
          <w:rFonts w:asciiTheme="minorBidi" w:hAnsiTheme="minorBidi" w:cstheme="minorBidi"/>
          <w:sz w:val="22"/>
          <w:szCs w:val="22"/>
          <w:lang w:val="en-GB"/>
        </w:rPr>
      </w:pPr>
      <w:r w:rsidRPr="003C1CCC">
        <w:rPr>
          <w:rFonts w:asciiTheme="minorBidi" w:hAnsiTheme="minorBidi" w:cstheme="minorBidi"/>
          <w:snapToGrid w:val="0"/>
          <w:sz w:val="22"/>
          <w:szCs w:val="22"/>
          <w:lang w:val="en-GB" w:eastAsia="en-US"/>
        </w:rPr>
        <w:t>A</w:t>
      </w:r>
      <w:r w:rsidR="00F5176A" w:rsidRPr="003C1CCC">
        <w:rPr>
          <w:rFonts w:asciiTheme="minorBidi" w:hAnsiTheme="minorBidi" w:cstheme="minorBidi"/>
          <w:snapToGrid w:val="0"/>
          <w:sz w:val="22"/>
          <w:szCs w:val="22"/>
          <w:lang w:val="en-GB" w:eastAsia="en-US"/>
        </w:rPr>
        <w:t xml:space="preserve"> particular</w:t>
      </w:r>
      <w:r w:rsidRPr="003C1CCC">
        <w:rPr>
          <w:rFonts w:asciiTheme="minorBidi" w:hAnsiTheme="minorBidi" w:cstheme="minorBidi"/>
          <w:snapToGrid w:val="0"/>
          <w:sz w:val="22"/>
          <w:szCs w:val="22"/>
          <w:lang w:val="en-GB" w:eastAsia="en-US"/>
        </w:rPr>
        <w:t xml:space="preserve"> case in point</w:t>
      </w:r>
      <w:r w:rsidR="0098637B" w:rsidRPr="003C1CCC">
        <w:rPr>
          <w:rFonts w:asciiTheme="minorBidi" w:hAnsiTheme="minorBidi" w:cstheme="minorBidi"/>
          <w:snapToGrid w:val="0"/>
          <w:sz w:val="22"/>
          <w:szCs w:val="22"/>
          <w:lang w:val="en-GB" w:eastAsia="en-US"/>
        </w:rPr>
        <w:t>, in response to the global pandemic,</w:t>
      </w:r>
      <w:r w:rsidRPr="003C1CCC">
        <w:rPr>
          <w:rFonts w:asciiTheme="minorBidi" w:hAnsiTheme="minorBidi" w:cstheme="minorBidi"/>
          <w:snapToGrid w:val="0"/>
          <w:sz w:val="22"/>
          <w:szCs w:val="22"/>
          <w:lang w:val="en-GB" w:eastAsia="en-US"/>
        </w:rPr>
        <w:t xml:space="preserve"> was the need to modify the meeting venue for </w:t>
      </w:r>
      <w:r w:rsidR="00F35CEB" w:rsidRPr="003C1CCC">
        <w:rPr>
          <w:rFonts w:asciiTheme="minorBidi" w:hAnsiTheme="minorBidi" w:cstheme="minorBidi"/>
          <w:snapToGrid w:val="0"/>
          <w:sz w:val="22"/>
          <w:szCs w:val="22"/>
          <w:lang w:val="en-GB" w:eastAsia="en-US"/>
        </w:rPr>
        <w:t xml:space="preserve">the </w:t>
      </w:r>
      <w:r w:rsidRPr="003C1CCC">
        <w:rPr>
          <w:rFonts w:asciiTheme="minorBidi" w:hAnsiTheme="minorBidi" w:cstheme="minorBidi"/>
          <w:snapToGrid w:val="0"/>
          <w:sz w:val="22"/>
          <w:szCs w:val="22"/>
          <w:lang w:val="en-GB" w:eastAsia="en-US"/>
        </w:rPr>
        <w:t>15.COM and 16.COM</w:t>
      </w:r>
      <w:r w:rsidR="008317FB" w:rsidRPr="003C1CCC">
        <w:rPr>
          <w:rFonts w:asciiTheme="minorBidi" w:hAnsiTheme="minorBidi" w:cstheme="minorBidi"/>
          <w:snapToGrid w:val="0"/>
          <w:sz w:val="22"/>
          <w:szCs w:val="22"/>
          <w:lang w:val="en-GB" w:eastAsia="en-US"/>
        </w:rPr>
        <w:t>. F</w:t>
      </w:r>
      <w:r w:rsidR="00F5176A" w:rsidRPr="003C1CCC">
        <w:rPr>
          <w:rFonts w:asciiTheme="minorBidi" w:hAnsiTheme="minorBidi" w:cstheme="minorBidi"/>
          <w:snapToGrid w:val="0"/>
          <w:sz w:val="22"/>
          <w:szCs w:val="22"/>
          <w:lang w:val="en-GB" w:eastAsia="en-US"/>
        </w:rPr>
        <w:t xml:space="preserve">or both cases the Bureau requested an electronic exchange with the Committee members before deciding to change the </w:t>
      </w:r>
      <w:r w:rsidR="00AE3D34">
        <w:rPr>
          <w:rFonts w:asciiTheme="minorBidi" w:hAnsiTheme="minorBidi" w:cstheme="minorBidi"/>
          <w:snapToGrid w:val="0"/>
          <w:sz w:val="22"/>
          <w:szCs w:val="22"/>
          <w:lang w:val="en-GB" w:eastAsia="en-US"/>
        </w:rPr>
        <w:t xml:space="preserve">modality </w:t>
      </w:r>
      <w:r w:rsidR="00F5176A" w:rsidRPr="003C1CCC">
        <w:rPr>
          <w:rFonts w:asciiTheme="minorBidi" w:hAnsiTheme="minorBidi" w:cstheme="minorBidi"/>
          <w:snapToGrid w:val="0"/>
          <w:sz w:val="22"/>
          <w:szCs w:val="22"/>
          <w:lang w:val="en-GB" w:eastAsia="en-US"/>
        </w:rPr>
        <w:t xml:space="preserve">to </w:t>
      </w:r>
      <w:r w:rsidR="00AE3D34">
        <w:rPr>
          <w:rFonts w:asciiTheme="minorBidi" w:hAnsiTheme="minorBidi" w:cstheme="minorBidi"/>
          <w:snapToGrid w:val="0"/>
          <w:sz w:val="22"/>
          <w:szCs w:val="22"/>
          <w:lang w:val="en-GB" w:eastAsia="en-US"/>
        </w:rPr>
        <w:t xml:space="preserve">online with the Chair connecting </w:t>
      </w:r>
      <w:r w:rsidR="00F5176A" w:rsidRPr="003C1CCC">
        <w:rPr>
          <w:rFonts w:asciiTheme="minorBidi" w:hAnsiTheme="minorBidi" w:cstheme="minorBidi"/>
          <w:snapToGrid w:val="0"/>
          <w:sz w:val="22"/>
          <w:szCs w:val="22"/>
          <w:lang w:val="en-GB" w:eastAsia="en-US"/>
        </w:rPr>
        <w:t xml:space="preserve">from Kingston, Jamaica </w:t>
      </w:r>
      <w:r w:rsidR="00A25CFF" w:rsidRPr="003C1CCC">
        <w:rPr>
          <w:rFonts w:asciiTheme="minorBidi" w:hAnsiTheme="minorBidi" w:cstheme="minorBidi"/>
          <w:snapToGrid w:val="0"/>
          <w:sz w:val="22"/>
          <w:szCs w:val="22"/>
          <w:lang w:val="en-GB" w:eastAsia="en-US"/>
        </w:rPr>
        <w:t>in 2020</w:t>
      </w:r>
      <w:r w:rsidR="00F93CBF">
        <w:rPr>
          <w:rFonts w:asciiTheme="minorBidi" w:hAnsiTheme="minorBidi" w:cstheme="minorBidi"/>
          <w:snapToGrid w:val="0"/>
          <w:sz w:val="22"/>
          <w:szCs w:val="22"/>
          <w:lang w:val="en-GB" w:eastAsia="en-US"/>
        </w:rPr>
        <w:t xml:space="preserve"> for the 15.COM</w:t>
      </w:r>
      <w:r w:rsidR="004824D9">
        <w:rPr>
          <w:rFonts w:asciiTheme="minorBidi" w:hAnsiTheme="minorBidi" w:cstheme="minorBidi"/>
          <w:snapToGrid w:val="0"/>
          <w:sz w:val="22"/>
          <w:szCs w:val="22"/>
          <w:lang w:val="en-GB" w:eastAsia="en-US"/>
        </w:rPr>
        <w:t>,</w:t>
      </w:r>
      <w:r w:rsidR="00A25CFF" w:rsidRPr="003C1CCC">
        <w:rPr>
          <w:rFonts w:asciiTheme="minorBidi" w:hAnsiTheme="minorBidi" w:cstheme="minorBidi"/>
          <w:snapToGrid w:val="0"/>
          <w:sz w:val="22"/>
          <w:szCs w:val="22"/>
          <w:lang w:val="en-GB" w:eastAsia="en-US"/>
        </w:rPr>
        <w:t xml:space="preserve"> </w:t>
      </w:r>
      <w:r w:rsidR="00F5176A" w:rsidRPr="003C1CCC">
        <w:rPr>
          <w:rFonts w:asciiTheme="minorBidi" w:hAnsiTheme="minorBidi" w:cstheme="minorBidi"/>
          <w:snapToGrid w:val="0"/>
          <w:sz w:val="22"/>
          <w:szCs w:val="22"/>
          <w:lang w:val="en-GB" w:eastAsia="en-US"/>
        </w:rPr>
        <w:t>and</w:t>
      </w:r>
      <w:r w:rsidR="00AE3D34">
        <w:rPr>
          <w:rFonts w:asciiTheme="minorBidi" w:hAnsiTheme="minorBidi" w:cstheme="minorBidi"/>
          <w:snapToGrid w:val="0"/>
          <w:sz w:val="22"/>
          <w:szCs w:val="22"/>
          <w:lang w:val="en-GB" w:eastAsia="en-US"/>
        </w:rPr>
        <w:t xml:space="preserve"> </w:t>
      </w:r>
      <w:r w:rsidR="00F93CBF">
        <w:rPr>
          <w:rFonts w:asciiTheme="minorBidi" w:hAnsiTheme="minorBidi" w:cstheme="minorBidi"/>
          <w:snapToGrid w:val="0"/>
          <w:sz w:val="22"/>
          <w:szCs w:val="22"/>
          <w:lang w:val="en-GB" w:eastAsia="en-US"/>
        </w:rPr>
        <w:t xml:space="preserve">with </w:t>
      </w:r>
      <w:r w:rsidR="006067DF">
        <w:rPr>
          <w:rFonts w:asciiTheme="minorBidi" w:hAnsiTheme="minorBidi" w:cstheme="minorBidi"/>
          <w:snapToGrid w:val="0"/>
          <w:sz w:val="22"/>
          <w:szCs w:val="22"/>
          <w:lang w:val="en-GB" w:eastAsia="en-US"/>
        </w:rPr>
        <w:t xml:space="preserve">the </w:t>
      </w:r>
      <w:r w:rsidR="00F93CBF">
        <w:rPr>
          <w:rFonts w:asciiTheme="minorBidi" w:hAnsiTheme="minorBidi" w:cstheme="minorBidi"/>
          <w:snapToGrid w:val="0"/>
          <w:sz w:val="22"/>
          <w:szCs w:val="22"/>
          <w:lang w:val="en-GB" w:eastAsia="en-US"/>
        </w:rPr>
        <w:t>Chair</w:t>
      </w:r>
      <w:r w:rsidR="00F5176A" w:rsidRPr="003C1CCC">
        <w:rPr>
          <w:rFonts w:asciiTheme="minorBidi" w:hAnsiTheme="minorBidi" w:cstheme="minorBidi"/>
          <w:snapToGrid w:val="0"/>
          <w:sz w:val="22"/>
          <w:szCs w:val="22"/>
          <w:lang w:val="en-GB" w:eastAsia="en-US"/>
        </w:rPr>
        <w:t xml:space="preserve"> </w:t>
      </w:r>
      <w:r w:rsidR="00F93CBF">
        <w:rPr>
          <w:rFonts w:asciiTheme="minorBidi" w:hAnsiTheme="minorBidi" w:cstheme="minorBidi"/>
          <w:snapToGrid w:val="0"/>
          <w:sz w:val="22"/>
          <w:szCs w:val="22"/>
          <w:lang w:val="en-GB" w:eastAsia="en-US"/>
        </w:rPr>
        <w:t xml:space="preserve">at </w:t>
      </w:r>
      <w:r w:rsidR="00AE3D34" w:rsidRPr="003C1CCC">
        <w:rPr>
          <w:rFonts w:asciiTheme="minorBidi" w:hAnsiTheme="minorBidi" w:cstheme="minorBidi"/>
          <w:snapToGrid w:val="0"/>
          <w:sz w:val="22"/>
          <w:szCs w:val="22"/>
          <w:lang w:val="en-GB" w:eastAsia="en-US"/>
        </w:rPr>
        <w:t xml:space="preserve">UNESCO Headquarters </w:t>
      </w:r>
      <w:r w:rsidR="008A4439">
        <w:rPr>
          <w:rFonts w:asciiTheme="minorBidi" w:hAnsiTheme="minorBidi" w:cstheme="minorBidi"/>
          <w:snapToGrid w:val="0"/>
          <w:sz w:val="22"/>
          <w:szCs w:val="22"/>
          <w:lang w:val="en-GB" w:eastAsia="en-US"/>
        </w:rPr>
        <w:t xml:space="preserve">in Paris </w:t>
      </w:r>
      <w:r w:rsidR="00F93CBF">
        <w:rPr>
          <w:rFonts w:asciiTheme="minorBidi" w:hAnsiTheme="minorBidi" w:cstheme="minorBidi"/>
          <w:snapToGrid w:val="0"/>
          <w:sz w:val="22"/>
          <w:szCs w:val="22"/>
          <w:lang w:val="en-GB" w:eastAsia="en-US"/>
        </w:rPr>
        <w:t>for the 16.COM</w:t>
      </w:r>
      <w:r w:rsidR="00F5176A" w:rsidRPr="003C1CCC">
        <w:rPr>
          <w:rFonts w:asciiTheme="minorBidi" w:hAnsiTheme="minorBidi" w:cstheme="minorBidi"/>
          <w:snapToGrid w:val="0"/>
          <w:sz w:val="22"/>
          <w:szCs w:val="22"/>
          <w:lang w:val="en-GB" w:eastAsia="en-US"/>
        </w:rPr>
        <w:t>.</w:t>
      </w:r>
    </w:p>
    <w:p w14:paraId="49AC610A" w14:textId="77777777" w:rsidR="00CA3AC4" w:rsidRPr="003C1CCC" w:rsidRDefault="00CA3AC4" w:rsidP="0064045D">
      <w:pPr>
        <w:keepNext/>
        <w:numPr>
          <w:ilvl w:val="0"/>
          <w:numId w:val="17"/>
        </w:numPr>
        <w:tabs>
          <w:tab w:val="num" w:pos="567"/>
        </w:tabs>
        <w:snapToGrid w:val="0"/>
        <w:spacing w:before="360" w:after="120"/>
        <w:ind w:left="567" w:hanging="567"/>
        <w:jc w:val="both"/>
        <w:rPr>
          <w:rFonts w:ascii="Arial" w:hAnsi="Arial" w:cs="Arial"/>
          <w:b/>
          <w:sz w:val="22"/>
          <w:szCs w:val="22"/>
          <w:lang w:val="en-GB"/>
        </w:rPr>
      </w:pPr>
      <w:r w:rsidRPr="003C1CCC">
        <w:rPr>
          <w:rFonts w:ascii="Arial" w:hAnsi="Arial" w:cs="Arial"/>
          <w:b/>
          <w:sz w:val="22"/>
          <w:szCs w:val="22"/>
          <w:lang w:val="en-GB"/>
        </w:rPr>
        <w:t xml:space="preserve">Promoting the objectives of the Convention, encouraging and monitoring its implementation, and providing guidance on safeguarding measures and good practices </w:t>
      </w:r>
      <w:r w:rsidRPr="003C1CCC">
        <w:rPr>
          <w:rFonts w:ascii="Arial" w:hAnsi="Arial" w:cs="Arial"/>
          <w:sz w:val="22"/>
          <w:szCs w:val="22"/>
          <w:lang w:val="en-GB"/>
        </w:rPr>
        <w:t>(Article 7[a] and 7[b])</w:t>
      </w:r>
    </w:p>
    <w:p w14:paraId="75139E69" w14:textId="77777777" w:rsidR="00CA3AC4" w:rsidRPr="003C1CCC" w:rsidRDefault="00CA3AC4" w:rsidP="00BB4782">
      <w:pPr>
        <w:pStyle w:val="Paragraphedeliste"/>
        <w:keepNext/>
        <w:numPr>
          <w:ilvl w:val="0"/>
          <w:numId w:val="18"/>
        </w:numPr>
        <w:tabs>
          <w:tab w:val="num" w:pos="567"/>
        </w:tabs>
        <w:snapToGrid w:val="0"/>
        <w:spacing w:before="240" w:after="120"/>
        <w:ind w:left="567" w:hanging="567"/>
        <w:contextualSpacing w:val="0"/>
        <w:rPr>
          <w:rFonts w:ascii="Arial" w:hAnsi="Arial" w:cs="Arial"/>
          <w:b/>
          <w:sz w:val="22"/>
          <w:szCs w:val="22"/>
          <w:lang w:val="en-GB"/>
        </w:rPr>
      </w:pPr>
      <w:r w:rsidRPr="003C1CCC">
        <w:rPr>
          <w:rFonts w:ascii="Arial" w:hAnsi="Arial" w:cs="Arial"/>
          <w:b/>
          <w:sz w:val="22"/>
          <w:szCs w:val="22"/>
          <w:lang w:val="en-GB"/>
        </w:rPr>
        <w:t>Ratification</w:t>
      </w:r>
    </w:p>
    <w:p w14:paraId="0CB123EC" w14:textId="5B19A250" w:rsidR="00CA3AC4" w:rsidRPr="003C1CCC" w:rsidRDefault="00CA3AC4" w:rsidP="000C3849">
      <w:pPr>
        <w:pStyle w:val="Marge"/>
        <w:keepNext/>
        <w:numPr>
          <w:ilvl w:val="0"/>
          <w:numId w:val="16"/>
        </w:numPr>
        <w:tabs>
          <w:tab w:val="clear" w:pos="502"/>
          <w:tab w:val="num" w:pos="567"/>
        </w:tabs>
        <w:spacing w:after="120"/>
        <w:ind w:left="567" w:hanging="567"/>
        <w:rPr>
          <w:rFonts w:cs="Arial"/>
          <w:szCs w:val="22"/>
          <w:lang w:val="en-GB"/>
        </w:rPr>
      </w:pPr>
      <w:r w:rsidRPr="003C1CCC">
        <w:rPr>
          <w:rFonts w:cs="Arial"/>
          <w:szCs w:val="22"/>
          <w:lang w:val="en-GB"/>
        </w:rPr>
        <w:t>T</w:t>
      </w:r>
      <w:r w:rsidR="00676A0F" w:rsidRPr="003C1CCC">
        <w:rPr>
          <w:rFonts w:cs="Arial"/>
          <w:szCs w:val="22"/>
          <w:lang w:val="en-GB"/>
        </w:rPr>
        <w:t>wo</w:t>
      </w:r>
      <w:r w:rsidRPr="003C1CCC">
        <w:rPr>
          <w:rFonts w:cs="Arial"/>
          <w:szCs w:val="22"/>
          <w:lang w:val="en-GB"/>
        </w:rPr>
        <w:t xml:space="preserve"> States (</w:t>
      </w:r>
      <w:r w:rsidR="00676A0F" w:rsidRPr="003C1CCC">
        <w:rPr>
          <w:rFonts w:cs="Arial"/>
          <w:szCs w:val="22"/>
          <w:lang w:val="en-GB"/>
        </w:rPr>
        <w:t>Angola and Somalia</w:t>
      </w:r>
      <w:r w:rsidRPr="003C1CCC">
        <w:rPr>
          <w:rFonts w:cs="Arial"/>
          <w:szCs w:val="22"/>
          <w:lang w:val="en-GB"/>
        </w:rPr>
        <w:t>) ratified the Convention between January 20</w:t>
      </w:r>
      <w:r w:rsidR="00194215" w:rsidRPr="003C1CCC">
        <w:rPr>
          <w:rFonts w:cs="Arial"/>
          <w:szCs w:val="22"/>
          <w:lang w:val="en-GB"/>
        </w:rPr>
        <w:t>20</w:t>
      </w:r>
      <w:r w:rsidRPr="003C1CCC">
        <w:rPr>
          <w:rFonts w:cs="Arial"/>
          <w:szCs w:val="22"/>
          <w:lang w:val="en-GB"/>
        </w:rPr>
        <w:t xml:space="preserve"> and December 20</w:t>
      </w:r>
      <w:r w:rsidR="00194215" w:rsidRPr="003C1CCC">
        <w:rPr>
          <w:rFonts w:cs="Arial"/>
          <w:szCs w:val="22"/>
          <w:lang w:val="en-GB"/>
        </w:rPr>
        <w:t>2</w:t>
      </w:r>
      <w:r w:rsidRPr="003C1CCC">
        <w:rPr>
          <w:rFonts w:cs="Arial"/>
          <w:szCs w:val="22"/>
          <w:lang w:val="en-GB"/>
        </w:rPr>
        <w:t>1. At the end of 20</w:t>
      </w:r>
      <w:r w:rsidR="00194215" w:rsidRPr="003C1CCC">
        <w:rPr>
          <w:rFonts w:cs="Arial"/>
          <w:szCs w:val="22"/>
          <w:lang w:val="en-GB"/>
        </w:rPr>
        <w:t>21</w:t>
      </w:r>
      <w:r w:rsidRPr="003C1CCC">
        <w:rPr>
          <w:rFonts w:cs="Arial"/>
          <w:szCs w:val="22"/>
          <w:lang w:val="en-GB"/>
        </w:rPr>
        <w:t>, 1</w:t>
      </w:r>
      <w:r w:rsidR="00194215" w:rsidRPr="003C1CCC">
        <w:rPr>
          <w:rFonts w:cs="Arial"/>
          <w:szCs w:val="22"/>
          <w:lang w:val="en-GB"/>
        </w:rPr>
        <w:t>80</w:t>
      </w:r>
      <w:r w:rsidRPr="003C1CCC">
        <w:rPr>
          <w:rFonts w:cs="Arial"/>
          <w:szCs w:val="22"/>
          <w:lang w:val="en-GB"/>
        </w:rPr>
        <w:t xml:space="preserve"> States were parties to the Convention.</w:t>
      </w:r>
    </w:p>
    <w:p w14:paraId="02BBDF4B" w14:textId="4CB6500D" w:rsidR="00CA3AC4" w:rsidRPr="003C1CCC" w:rsidRDefault="00CA3AC4" w:rsidP="002E223C">
      <w:pPr>
        <w:pStyle w:val="Paragraphedeliste"/>
        <w:keepNext/>
        <w:numPr>
          <w:ilvl w:val="0"/>
          <w:numId w:val="18"/>
        </w:numPr>
        <w:spacing w:before="240" w:after="120"/>
        <w:ind w:left="562" w:hanging="562"/>
        <w:contextualSpacing w:val="0"/>
        <w:rPr>
          <w:rFonts w:ascii="Arial" w:hAnsi="Arial" w:cs="Arial"/>
          <w:b/>
          <w:sz w:val="22"/>
          <w:szCs w:val="22"/>
          <w:lang w:val="en-GB"/>
        </w:rPr>
      </w:pPr>
      <w:r w:rsidRPr="003C1CCC">
        <w:rPr>
          <w:rFonts w:ascii="Arial" w:hAnsi="Arial" w:cs="Arial"/>
          <w:b/>
          <w:sz w:val="22"/>
          <w:szCs w:val="22"/>
          <w:lang w:val="en-GB"/>
        </w:rPr>
        <w:t xml:space="preserve">Sound governance </w:t>
      </w:r>
      <w:r w:rsidR="00674531" w:rsidRPr="003C1CCC">
        <w:rPr>
          <w:rFonts w:ascii="Arial" w:hAnsi="Arial" w:cs="Arial"/>
          <w:b/>
          <w:sz w:val="22"/>
          <w:szCs w:val="22"/>
          <w:lang w:val="en-GB"/>
        </w:rPr>
        <w:t>ensured</w:t>
      </w:r>
    </w:p>
    <w:p w14:paraId="39160399" w14:textId="6175941F" w:rsidR="00CA3AC4" w:rsidRPr="003C1CCC" w:rsidRDefault="00F076AC" w:rsidP="00F076AC">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3C1CCC">
        <w:rPr>
          <w:rFonts w:asciiTheme="minorBidi" w:hAnsiTheme="minorBidi" w:cstheme="minorBidi"/>
          <w:szCs w:val="22"/>
          <w:lang w:val="en-GB"/>
        </w:rPr>
        <w:t>T</w:t>
      </w:r>
      <w:r w:rsidR="00CA3AC4" w:rsidRPr="003C1CCC">
        <w:rPr>
          <w:rFonts w:asciiTheme="minorBidi" w:hAnsiTheme="minorBidi" w:cstheme="minorBidi"/>
          <w:szCs w:val="22"/>
          <w:lang w:val="en-GB"/>
        </w:rPr>
        <w:t xml:space="preserve">he </w:t>
      </w:r>
      <w:r w:rsidR="00D43A2C" w:rsidRPr="003C1CCC">
        <w:rPr>
          <w:rFonts w:asciiTheme="minorBidi" w:hAnsiTheme="minorBidi" w:cstheme="minorBidi"/>
          <w:szCs w:val="22"/>
          <w:lang w:val="en-GB"/>
        </w:rPr>
        <w:t xml:space="preserve">eighth session of the </w:t>
      </w:r>
      <w:r w:rsidR="00CA3AC4" w:rsidRPr="003C1CCC">
        <w:rPr>
          <w:rFonts w:asciiTheme="minorBidi" w:hAnsiTheme="minorBidi" w:cstheme="minorBidi"/>
          <w:szCs w:val="22"/>
          <w:lang w:val="en-GB"/>
        </w:rPr>
        <w:t xml:space="preserve">General Assembly </w:t>
      </w:r>
      <w:r w:rsidR="00D43A2C" w:rsidRPr="003C1CCC">
        <w:rPr>
          <w:rFonts w:asciiTheme="minorBidi" w:hAnsiTheme="minorBidi" w:cstheme="minorBidi"/>
          <w:szCs w:val="22"/>
          <w:lang w:val="en-GB"/>
        </w:rPr>
        <w:t>(</w:t>
      </w:r>
      <w:r w:rsidR="00D43A2C" w:rsidRPr="003C1CCC">
        <w:rPr>
          <w:rFonts w:asciiTheme="minorBidi" w:hAnsiTheme="minorBidi" w:cstheme="minorBidi"/>
          <w:szCs w:val="22"/>
          <w:lang w:val="en-GB" w:eastAsia="zh-CN"/>
        </w:rPr>
        <w:t>8</w:t>
      </w:r>
      <w:r w:rsidR="0090490B">
        <w:rPr>
          <w:rFonts w:asciiTheme="minorBidi" w:hAnsiTheme="minorBidi" w:cstheme="minorBidi"/>
          <w:szCs w:val="22"/>
          <w:lang w:val="en-GB"/>
        </w:rPr>
        <w:t>-</w:t>
      </w:r>
      <w:r w:rsidR="00D43A2C" w:rsidRPr="003C1CCC">
        <w:rPr>
          <w:rFonts w:asciiTheme="minorBidi" w:hAnsiTheme="minorBidi" w:cstheme="minorBidi"/>
          <w:szCs w:val="22"/>
          <w:lang w:val="en-GB" w:eastAsia="zh-CN"/>
        </w:rPr>
        <w:t xml:space="preserve">10 September 2021, UNESCO </w:t>
      </w:r>
      <w:r w:rsidR="0090490B">
        <w:rPr>
          <w:rFonts w:asciiTheme="minorBidi" w:hAnsiTheme="minorBidi" w:cstheme="minorBidi"/>
          <w:szCs w:val="22"/>
          <w:lang w:val="en-GB" w:eastAsia="zh-CN"/>
        </w:rPr>
        <w:t>H</w:t>
      </w:r>
      <w:r w:rsidR="00D43A2C" w:rsidRPr="003C1CCC">
        <w:rPr>
          <w:rFonts w:asciiTheme="minorBidi" w:hAnsiTheme="minorBidi" w:cstheme="minorBidi"/>
          <w:szCs w:val="22"/>
          <w:lang w:val="en-GB" w:eastAsia="zh-CN"/>
        </w:rPr>
        <w:t xml:space="preserve">eadquarters; </w:t>
      </w:r>
      <w:r w:rsidR="00D43A2C" w:rsidRPr="003C1CCC">
        <w:rPr>
          <w:rFonts w:asciiTheme="minorBidi" w:hAnsiTheme="minorBidi" w:cstheme="minorBidi"/>
          <w:szCs w:val="22"/>
          <w:lang w:val="en-GB"/>
        </w:rPr>
        <w:t>hereafter ‘8.GA’)</w:t>
      </w:r>
      <w:r w:rsidR="00DF1221" w:rsidRPr="003C1CCC">
        <w:rPr>
          <w:rFonts w:asciiTheme="minorBidi" w:hAnsiTheme="minorBidi" w:cstheme="minorBidi"/>
          <w:szCs w:val="22"/>
          <w:lang w:val="en-GB"/>
        </w:rPr>
        <w:t xml:space="preserve"> </w:t>
      </w:r>
      <w:r w:rsidR="00CA3AC4" w:rsidRPr="003C1CCC">
        <w:rPr>
          <w:rFonts w:asciiTheme="minorBidi" w:hAnsiTheme="minorBidi" w:cstheme="minorBidi"/>
          <w:szCs w:val="22"/>
          <w:lang w:val="en-GB"/>
        </w:rPr>
        <w:t xml:space="preserve">approved a plan for the use of the resources of the Intangible Cultural Heritage Fund (hereafter </w:t>
      </w:r>
      <w:r w:rsidR="00464BFA" w:rsidRPr="003C1CCC">
        <w:rPr>
          <w:rFonts w:asciiTheme="minorBidi" w:hAnsiTheme="minorBidi" w:cstheme="minorBidi"/>
          <w:szCs w:val="22"/>
          <w:lang w:val="en-GB"/>
        </w:rPr>
        <w:t>‘</w:t>
      </w:r>
      <w:r w:rsidR="00CA3AC4" w:rsidRPr="003C1CCC">
        <w:rPr>
          <w:rFonts w:asciiTheme="minorBidi" w:hAnsiTheme="minorBidi" w:cstheme="minorBidi"/>
          <w:szCs w:val="22"/>
          <w:lang w:val="en-GB"/>
        </w:rPr>
        <w:t>the Fund</w:t>
      </w:r>
      <w:r w:rsidR="00464BFA" w:rsidRPr="003C1CCC">
        <w:rPr>
          <w:rFonts w:asciiTheme="minorBidi" w:hAnsiTheme="minorBidi" w:cstheme="minorBidi"/>
          <w:szCs w:val="22"/>
          <w:lang w:val="en-GB"/>
        </w:rPr>
        <w:t>’</w:t>
      </w:r>
      <w:r w:rsidR="00CA3AC4" w:rsidRPr="003C1CCC">
        <w:rPr>
          <w:rFonts w:asciiTheme="minorBidi" w:hAnsiTheme="minorBidi" w:cstheme="minorBidi"/>
          <w:szCs w:val="22"/>
          <w:lang w:val="en-GB"/>
        </w:rPr>
        <w:t>) for the period 1 January 20</w:t>
      </w:r>
      <w:r w:rsidR="001E332C" w:rsidRPr="003C1CCC">
        <w:rPr>
          <w:rFonts w:asciiTheme="minorBidi" w:hAnsiTheme="minorBidi" w:cstheme="minorBidi"/>
          <w:szCs w:val="22"/>
          <w:lang w:val="en-GB"/>
        </w:rPr>
        <w:t>20</w:t>
      </w:r>
      <w:r w:rsidR="00CA3AC4" w:rsidRPr="003C1CCC">
        <w:rPr>
          <w:rFonts w:asciiTheme="minorBidi" w:hAnsiTheme="minorBidi" w:cstheme="minorBidi"/>
          <w:szCs w:val="22"/>
          <w:lang w:val="en-GB"/>
        </w:rPr>
        <w:t xml:space="preserve"> to 31 December 20</w:t>
      </w:r>
      <w:r w:rsidR="001E332C" w:rsidRPr="003C1CCC">
        <w:rPr>
          <w:rFonts w:asciiTheme="minorBidi" w:hAnsiTheme="minorBidi" w:cstheme="minorBidi"/>
          <w:szCs w:val="22"/>
          <w:lang w:val="en-GB"/>
        </w:rPr>
        <w:t>21</w:t>
      </w:r>
      <w:r w:rsidR="00CA3AC4" w:rsidRPr="003C1CCC">
        <w:rPr>
          <w:rFonts w:asciiTheme="minorBidi" w:hAnsiTheme="minorBidi" w:cstheme="minorBidi"/>
          <w:szCs w:val="22"/>
          <w:lang w:val="en-GB"/>
        </w:rPr>
        <w:t>, which devoted 20 per cent of the budget (US$</w:t>
      </w:r>
      <w:r w:rsidR="001E332C" w:rsidRPr="003C1CCC">
        <w:rPr>
          <w:rFonts w:asciiTheme="minorBidi" w:hAnsiTheme="minorBidi" w:cstheme="minorBidi"/>
          <w:szCs w:val="22"/>
          <w:lang w:val="en-GB"/>
        </w:rPr>
        <w:t>1,568,076</w:t>
      </w:r>
      <w:r w:rsidR="00CA3AC4" w:rsidRPr="003C1CCC">
        <w:rPr>
          <w:rFonts w:asciiTheme="minorBidi" w:hAnsiTheme="minorBidi" w:cstheme="minorBidi"/>
          <w:szCs w:val="22"/>
          <w:lang w:val="en-GB"/>
        </w:rPr>
        <w:t>) to ‘other functions of the Committee</w:t>
      </w:r>
      <w:r w:rsidR="007A10ED" w:rsidRPr="003C1CCC">
        <w:rPr>
          <w:rFonts w:asciiTheme="minorBidi" w:hAnsiTheme="minorBidi" w:cstheme="minorBidi"/>
          <w:szCs w:val="22"/>
          <w:lang w:val="en-GB"/>
        </w:rPr>
        <w:t>’</w:t>
      </w:r>
      <w:r w:rsidR="001C6A87" w:rsidRPr="003C1CCC">
        <w:rPr>
          <w:rFonts w:asciiTheme="minorBidi" w:hAnsiTheme="minorBidi" w:cstheme="minorBidi"/>
          <w:szCs w:val="22"/>
          <w:lang w:val="en-GB"/>
        </w:rPr>
        <w:t>,</w:t>
      </w:r>
      <w:r w:rsidR="003D7369" w:rsidRPr="003C1CCC">
        <w:rPr>
          <w:rFonts w:asciiTheme="minorBidi" w:hAnsiTheme="minorBidi" w:cstheme="minorBidi"/>
          <w:szCs w:val="22"/>
          <w:lang w:val="en-GB"/>
        </w:rPr>
        <w:t xml:space="preserve"> and a total sum of US$423,380 (27 per cent of th</w:t>
      </w:r>
      <w:r w:rsidR="00644D1A" w:rsidRPr="003C1CCC">
        <w:rPr>
          <w:rFonts w:asciiTheme="minorBidi" w:hAnsiTheme="minorBidi" w:cstheme="minorBidi"/>
          <w:szCs w:val="22"/>
          <w:lang w:val="en-GB"/>
        </w:rPr>
        <w:t>e</w:t>
      </w:r>
      <w:r w:rsidR="003D7369" w:rsidRPr="003C1CCC">
        <w:rPr>
          <w:rFonts w:asciiTheme="minorBidi" w:hAnsiTheme="minorBidi" w:cstheme="minorBidi"/>
          <w:szCs w:val="22"/>
          <w:lang w:val="en-GB"/>
        </w:rPr>
        <w:t xml:space="preserve"> </w:t>
      </w:r>
      <w:r w:rsidR="0003170A" w:rsidRPr="003C1CCC">
        <w:rPr>
          <w:rFonts w:asciiTheme="minorBidi" w:hAnsiTheme="minorBidi" w:cstheme="minorBidi"/>
          <w:szCs w:val="22"/>
          <w:lang w:val="en-GB"/>
        </w:rPr>
        <w:t>line</w:t>
      </w:r>
      <w:r w:rsidR="003D7369" w:rsidRPr="003C1CCC">
        <w:rPr>
          <w:rFonts w:asciiTheme="minorBidi" w:hAnsiTheme="minorBidi" w:cstheme="minorBidi"/>
          <w:szCs w:val="22"/>
          <w:lang w:val="en-GB"/>
        </w:rPr>
        <w:t xml:space="preserve"> ‘other </w:t>
      </w:r>
      <w:r w:rsidR="00DF302C" w:rsidRPr="003C1CCC">
        <w:rPr>
          <w:rFonts w:asciiTheme="minorBidi" w:hAnsiTheme="minorBidi" w:cstheme="minorBidi"/>
          <w:szCs w:val="22"/>
          <w:lang w:val="en-GB"/>
        </w:rPr>
        <w:t>functions</w:t>
      </w:r>
      <w:r w:rsidR="00644D1A" w:rsidRPr="003C1CCC">
        <w:rPr>
          <w:rFonts w:asciiTheme="minorBidi" w:hAnsiTheme="minorBidi" w:cstheme="minorBidi"/>
          <w:szCs w:val="22"/>
          <w:lang w:val="en-GB"/>
        </w:rPr>
        <w:t xml:space="preserve"> of the Committee</w:t>
      </w:r>
      <w:r w:rsidR="0090490B">
        <w:rPr>
          <w:rFonts w:asciiTheme="minorBidi" w:hAnsiTheme="minorBidi" w:cstheme="minorBidi"/>
          <w:szCs w:val="22"/>
          <w:lang w:val="en-GB"/>
        </w:rPr>
        <w:t>’</w:t>
      </w:r>
      <w:r w:rsidR="00DF302C" w:rsidRPr="003C1CCC">
        <w:rPr>
          <w:rFonts w:asciiTheme="minorBidi" w:hAnsiTheme="minorBidi" w:cstheme="minorBidi"/>
          <w:szCs w:val="22"/>
          <w:lang w:val="en-GB"/>
        </w:rPr>
        <w:t>)</w:t>
      </w:r>
      <w:r w:rsidR="003D7369" w:rsidRPr="003C1CCC">
        <w:rPr>
          <w:rFonts w:asciiTheme="minorBidi" w:hAnsiTheme="minorBidi" w:cstheme="minorBidi"/>
          <w:szCs w:val="22"/>
          <w:lang w:val="en-GB"/>
        </w:rPr>
        <w:t xml:space="preserve"> was allocated to ensure the sound governance</w:t>
      </w:r>
      <w:r w:rsidRPr="003C1CCC">
        <w:rPr>
          <w:rFonts w:asciiTheme="minorBidi" w:hAnsiTheme="minorBidi" w:cstheme="minorBidi"/>
          <w:szCs w:val="22"/>
          <w:lang w:val="en-GB"/>
        </w:rPr>
        <w:t xml:space="preserve"> (</w:t>
      </w:r>
      <w:r w:rsidR="007B430A" w:rsidRPr="007B430A">
        <w:rPr>
          <w:rFonts w:asciiTheme="minorBidi" w:hAnsiTheme="minorBidi" w:cstheme="minorBidi"/>
          <w:szCs w:val="22"/>
          <w:lang w:val="en-GB"/>
        </w:rPr>
        <w:t>Resolution</w:t>
      </w:r>
      <w:r w:rsidR="007B430A">
        <w:rPr>
          <w:rFonts w:asciiTheme="minorBidi" w:hAnsiTheme="minorBidi" w:cstheme="minorBidi"/>
          <w:szCs w:val="22"/>
          <w:lang w:val="en-GB"/>
        </w:rPr>
        <w:t xml:space="preserve"> </w:t>
      </w:r>
      <w:hyperlink r:id="rId15" w:history="1">
        <w:r w:rsidR="007B430A">
          <w:rPr>
            <w:rStyle w:val="Lienhypertexte"/>
            <w:rFonts w:asciiTheme="minorBidi" w:hAnsiTheme="minorBidi" w:cstheme="minorBidi"/>
            <w:szCs w:val="22"/>
            <w:lang w:val="en-GB"/>
          </w:rPr>
          <w:t>8. GA 7</w:t>
        </w:r>
      </w:hyperlink>
      <w:r w:rsidRPr="00272420">
        <w:rPr>
          <w:rStyle w:val="Lienhypertexte"/>
          <w:rFonts w:asciiTheme="minorBidi" w:hAnsiTheme="minorBidi" w:cstheme="minorBidi"/>
          <w:bCs/>
          <w:color w:val="auto"/>
          <w:szCs w:val="22"/>
          <w:u w:val="none"/>
          <w:lang w:val="en-GB"/>
        </w:rPr>
        <w:t>)</w:t>
      </w:r>
      <w:r w:rsidR="007A10ED" w:rsidRPr="0090490B">
        <w:rPr>
          <w:rFonts w:asciiTheme="minorBidi" w:hAnsiTheme="minorBidi" w:cstheme="minorBidi"/>
          <w:szCs w:val="22"/>
          <w:lang w:val="en-GB"/>
        </w:rPr>
        <w:t>.</w:t>
      </w:r>
    </w:p>
    <w:p w14:paraId="4E41B55E" w14:textId="08184F05" w:rsidR="00F37BCB" w:rsidRPr="003C1CCC" w:rsidRDefault="00F37BCB" w:rsidP="00F37BCB">
      <w:pPr>
        <w:pStyle w:val="Marge"/>
        <w:numPr>
          <w:ilvl w:val="0"/>
          <w:numId w:val="16"/>
        </w:numPr>
        <w:tabs>
          <w:tab w:val="clear" w:pos="502"/>
          <w:tab w:val="num" w:pos="567"/>
        </w:tabs>
        <w:spacing w:after="120"/>
        <w:ind w:left="567" w:hanging="567"/>
        <w:rPr>
          <w:rFonts w:cs="Arial"/>
          <w:szCs w:val="22"/>
          <w:lang w:val="en-GB"/>
        </w:rPr>
      </w:pPr>
      <w:r w:rsidRPr="003C1CCC">
        <w:rPr>
          <w:rFonts w:asciiTheme="minorBidi" w:hAnsiTheme="minorBidi" w:cstheme="minorBidi"/>
          <w:snapToGrid/>
          <w:szCs w:val="22"/>
          <w:lang w:val="en-GB" w:eastAsia="fr-FR"/>
        </w:rPr>
        <w:t xml:space="preserve">The global </w:t>
      </w:r>
      <w:r w:rsidRPr="003C1CCC">
        <w:rPr>
          <w:rFonts w:asciiTheme="minorBidi" w:hAnsiTheme="minorBidi" w:cstheme="minorBidi"/>
          <w:szCs w:val="22"/>
          <w:lang w:val="en-GB"/>
        </w:rPr>
        <w:t xml:space="preserve">reflection on the listing mechanisms of the 2003 Convention, which was initiated </w:t>
      </w:r>
      <w:r w:rsidRPr="003C1CCC">
        <w:rPr>
          <w:rFonts w:cs="Arial"/>
          <w:szCs w:val="22"/>
          <w:lang w:val="en-GB"/>
        </w:rPr>
        <w:t xml:space="preserve">at the twelfth </w:t>
      </w:r>
      <w:r w:rsidRPr="003C1CCC">
        <w:rPr>
          <w:rFonts w:asciiTheme="minorBidi" w:hAnsiTheme="minorBidi" w:cstheme="minorBidi"/>
          <w:szCs w:val="22"/>
          <w:shd w:val="clear" w:color="auto" w:fill="FFFFFF"/>
          <w:lang w:val="en-GB"/>
        </w:rPr>
        <w:t>session</w:t>
      </w:r>
      <w:r w:rsidRPr="003C1CCC">
        <w:rPr>
          <w:rFonts w:cs="Arial"/>
          <w:szCs w:val="22"/>
          <w:lang w:val="en-GB"/>
        </w:rPr>
        <w:t xml:space="preserve"> of the Committee (</w:t>
      </w:r>
      <w:r w:rsidR="007B430A" w:rsidRPr="007B430A">
        <w:rPr>
          <w:rFonts w:cs="Arial"/>
          <w:szCs w:val="22"/>
          <w:lang w:val="en-GB"/>
        </w:rPr>
        <w:t xml:space="preserve">Decision </w:t>
      </w:r>
      <w:hyperlink r:id="rId16" w:history="1">
        <w:r w:rsidR="007B430A">
          <w:rPr>
            <w:rStyle w:val="Lienhypertexte"/>
            <w:rFonts w:cs="Arial"/>
            <w:szCs w:val="22"/>
            <w:lang w:val="en-GB"/>
          </w:rPr>
          <w:t>12.COM 14</w:t>
        </w:r>
      </w:hyperlink>
      <w:r w:rsidRPr="003C1CCC">
        <w:rPr>
          <w:rFonts w:cs="Arial"/>
          <w:szCs w:val="22"/>
          <w:lang w:val="en-GB"/>
        </w:rPr>
        <w:t xml:space="preserve">), </w:t>
      </w:r>
      <w:r w:rsidR="00464BFA" w:rsidRPr="003C1CCC">
        <w:rPr>
          <w:rFonts w:cs="Arial"/>
          <w:szCs w:val="22"/>
          <w:lang w:val="en-GB"/>
        </w:rPr>
        <w:t>aimed to establish</w:t>
      </w:r>
      <w:r w:rsidRPr="003C1CCC">
        <w:rPr>
          <w:rFonts w:cs="Arial"/>
          <w:szCs w:val="22"/>
          <w:lang w:val="en-GB"/>
        </w:rPr>
        <w:t xml:space="preserve"> concrete recommendations and present them to the Committee at its sixteenth session in the form of proposed amendments to the Operational Directives (</w:t>
      </w:r>
      <w:r w:rsidRPr="00BB56DE">
        <w:rPr>
          <w:rFonts w:cs="Arial"/>
          <w:szCs w:val="22"/>
          <w:lang w:val="en-GB"/>
        </w:rPr>
        <w:t xml:space="preserve">Document </w:t>
      </w:r>
      <w:hyperlink r:id="rId17" w:history="1">
        <w:r w:rsidRPr="00BB56DE">
          <w:rPr>
            <w:rStyle w:val="Lienhypertexte"/>
            <w:rFonts w:asciiTheme="minorBidi" w:hAnsiTheme="minorBidi" w:cstheme="minorBidi"/>
            <w:szCs w:val="22"/>
            <w:lang w:val="en-GB"/>
          </w:rPr>
          <w:t>LHE/21/16.COM/</w:t>
        </w:r>
        <w:r w:rsidR="00DC380F" w:rsidRPr="00BB56DE">
          <w:rPr>
            <w:rStyle w:val="Lienhypertexte"/>
            <w:rFonts w:asciiTheme="minorBidi" w:hAnsiTheme="minorBidi" w:cstheme="minorBidi"/>
            <w:szCs w:val="22"/>
            <w:lang w:val="en-GB"/>
          </w:rPr>
          <w:t>14</w:t>
        </w:r>
      </w:hyperlink>
      <w:r w:rsidR="00464BFA" w:rsidRPr="00BB56DE">
        <w:rPr>
          <w:rFonts w:asciiTheme="minorBidi" w:hAnsiTheme="minorBidi" w:cstheme="minorBidi"/>
          <w:szCs w:val="22"/>
          <w:lang w:val="en-GB"/>
        </w:rPr>
        <w:t>)</w:t>
      </w:r>
      <w:r w:rsidRPr="00BB56DE">
        <w:rPr>
          <w:rFonts w:cs="Arial"/>
          <w:szCs w:val="22"/>
          <w:lang w:val="en-GB"/>
        </w:rPr>
        <w:t>.</w:t>
      </w:r>
      <w:r w:rsidRPr="003C1CCC">
        <w:rPr>
          <w:rFonts w:cs="Arial"/>
          <w:szCs w:val="22"/>
          <w:lang w:val="en-GB"/>
        </w:rPr>
        <w:t xml:space="preserve"> These recommendations were developed through a multi-stakeholder consultation process, starting with </w:t>
      </w:r>
      <w:r w:rsidR="00464BFA" w:rsidRPr="003C1CCC">
        <w:rPr>
          <w:rFonts w:cs="Arial"/>
          <w:szCs w:val="22"/>
          <w:lang w:val="en-GB"/>
        </w:rPr>
        <w:t xml:space="preserve">an </w:t>
      </w:r>
      <w:r w:rsidRPr="003C1CCC">
        <w:rPr>
          <w:rFonts w:asciiTheme="minorBidi" w:hAnsiTheme="minorBidi" w:cstheme="minorBidi"/>
          <w:snapToGrid/>
          <w:szCs w:val="22"/>
          <w:lang w:val="en-GB" w:eastAsia="fr-FR"/>
        </w:rPr>
        <w:t>o</w:t>
      </w:r>
      <w:r w:rsidRPr="003C1CCC">
        <w:rPr>
          <w:rFonts w:cs="Arial"/>
          <w:szCs w:val="22"/>
          <w:lang w:val="en-GB"/>
        </w:rPr>
        <w:t xml:space="preserve">nline survey with experts between March and April 2021 and </w:t>
      </w:r>
      <w:r w:rsidR="00464BFA" w:rsidRPr="003C1CCC">
        <w:rPr>
          <w:rFonts w:cs="Arial"/>
          <w:szCs w:val="22"/>
          <w:lang w:val="en-GB"/>
        </w:rPr>
        <w:t xml:space="preserve">an </w:t>
      </w:r>
      <w:r w:rsidRPr="003C1CCC">
        <w:rPr>
          <w:rFonts w:cs="Arial"/>
          <w:szCs w:val="22"/>
          <w:lang w:val="en-GB"/>
        </w:rPr>
        <w:t xml:space="preserve">online </w:t>
      </w:r>
      <w:r w:rsidR="00BA2EAA" w:rsidRPr="003C1CCC">
        <w:rPr>
          <w:rFonts w:cs="Arial"/>
          <w:szCs w:val="22"/>
          <w:lang w:val="en-GB"/>
        </w:rPr>
        <w:t xml:space="preserve">category VI </w:t>
      </w:r>
      <w:r w:rsidRPr="003C1CCC">
        <w:rPr>
          <w:rFonts w:cs="Arial"/>
          <w:szCs w:val="22"/>
          <w:lang w:val="en-GB"/>
        </w:rPr>
        <w:t>meeting of experts in May 2021 to identify the main challenges around t</w:t>
      </w:r>
      <w:r w:rsidRPr="003C1CCC">
        <w:rPr>
          <w:rFonts w:cs="Arial"/>
          <w:color w:val="000000"/>
          <w:szCs w:val="22"/>
          <w:shd w:val="clear" w:color="auto" w:fill="FFFFFF"/>
          <w:lang w:val="en-GB"/>
        </w:rPr>
        <w:t>he listing mechanisms</w:t>
      </w:r>
      <w:r w:rsidRPr="003C1CCC">
        <w:rPr>
          <w:rFonts w:cs="Arial"/>
          <w:szCs w:val="22"/>
          <w:lang w:val="en-GB"/>
        </w:rPr>
        <w:t xml:space="preserve"> and possible solutions. Based on the </w:t>
      </w:r>
      <w:r w:rsidR="00464BFA" w:rsidRPr="003C1CCC">
        <w:rPr>
          <w:rFonts w:cs="Arial"/>
          <w:szCs w:val="22"/>
          <w:lang w:val="en-GB"/>
        </w:rPr>
        <w:t xml:space="preserve">experts’ </w:t>
      </w:r>
      <w:r w:rsidRPr="003C1CCC">
        <w:rPr>
          <w:rFonts w:cs="Arial"/>
          <w:szCs w:val="22"/>
          <w:lang w:val="en-GB"/>
        </w:rPr>
        <w:t xml:space="preserve">preliminary recommendations, the Open-ended intergovernmental working group was convened twice, from 8 to 9 July and from 9 to 10 September 2021 </w:t>
      </w:r>
      <w:r w:rsidR="00464BFA" w:rsidRPr="003C1CCC">
        <w:rPr>
          <w:rFonts w:asciiTheme="minorBidi" w:hAnsiTheme="minorBidi" w:cstheme="minorBidi"/>
          <w:snapToGrid/>
          <w:szCs w:val="22"/>
          <w:lang w:val="en-GB" w:eastAsia="fr-FR"/>
        </w:rPr>
        <w:t xml:space="preserve">to </w:t>
      </w:r>
      <w:r w:rsidRPr="003C1CCC">
        <w:rPr>
          <w:rFonts w:asciiTheme="minorBidi" w:hAnsiTheme="minorBidi" w:cstheme="minorBidi"/>
          <w:snapToGrid/>
          <w:szCs w:val="22"/>
          <w:lang w:val="en-GB" w:eastAsia="fr-FR"/>
        </w:rPr>
        <w:t>discuss i</w:t>
      </w:r>
      <w:r w:rsidR="0005744A" w:rsidRPr="003C1CCC">
        <w:rPr>
          <w:rFonts w:cs="Arial"/>
          <w:szCs w:val="22"/>
          <w:lang w:val="en-GB"/>
        </w:rPr>
        <w:t>ssues</w:t>
      </w:r>
      <w:r w:rsidRPr="003C1CCC">
        <w:rPr>
          <w:rFonts w:cs="Arial"/>
          <w:szCs w:val="22"/>
          <w:lang w:val="en-GB"/>
        </w:rPr>
        <w:t xml:space="preserve"> related to the inscription criteria, the follow-up of inscribed elements and the methodology for evaluating </w:t>
      </w:r>
      <w:r w:rsidRPr="00210B18">
        <w:rPr>
          <w:rFonts w:cs="Arial"/>
          <w:szCs w:val="22"/>
          <w:lang w:val="en-GB"/>
        </w:rPr>
        <w:t>nominations</w:t>
      </w:r>
      <w:r w:rsidR="0005744A" w:rsidRPr="00210B18">
        <w:rPr>
          <w:rFonts w:cs="Arial"/>
          <w:szCs w:val="22"/>
          <w:lang w:val="en-GB"/>
        </w:rPr>
        <w:t>.</w:t>
      </w:r>
      <w:r w:rsidRPr="00210B18">
        <w:rPr>
          <w:rFonts w:cs="Arial"/>
          <w:szCs w:val="22"/>
          <w:lang w:val="en-GB"/>
        </w:rPr>
        <w:t xml:space="preserve"> </w:t>
      </w:r>
      <w:r w:rsidR="00DC14F3" w:rsidRPr="00210B18">
        <w:rPr>
          <w:rFonts w:cs="Arial"/>
          <w:szCs w:val="22"/>
          <w:lang w:val="en-GB"/>
        </w:rPr>
        <w:t>[</w:t>
      </w:r>
      <w:r w:rsidRPr="00210B18">
        <w:rPr>
          <w:rFonts w:cs="Arial"/>
          <w:szCs w:val="22"/>
          <w:lang w:val="en-GB"/>
        </w:rPr>
        <w:t>The Committee</w:t>
      </w:r>
      <w:r w:rsidRPr="003C1CCC">
        <w:rPr>
          <w:rFonts w:cs="Arial"/>
          <w:szCs w:val="22"/>
          <w:lang w:val="en-GB"/>
        </w:rPr>
        <w:t xml:space="preserve"> also decided to </w:t>
      </w:r>
      <w:r w:rsidRPr="003C1CCC">
        <w:rPr>
          <w:rFonts w:asciiTheme="minorBidi" w:hAnsiTheme="minorBidi" w:cstheme="minorBidi"/>
          <w:szCs w:val="22"/>
          <w:lang w:val="en-GB"/>
        </w:rPr>
        <w:t xml:space="preserve">extend the mandate of the </w:t>
      </w:r>
      <w:r w:rsidR="00BA2EAA" w:rsidRPr="003C1CCC">
        <w:rPr>
          <w:rFonts w:cs="Arial"/>
          <w:szCs w:val="22"/>
          <w:lang w:val="en-GB"/>
        </w:rPr>
        <w:t>O</w:t>
      </w:r>
      <w:r w:rsidRPr="003C1CCC">
        <w:rPr>
          <w:rFonts w:cs="Arial"/>
          <w:szCs w:val="22"/>
          <w:lang w:val="en-GB"/>
        </w:rPr>
        <w:t xml:space="preserve">pen-ended intergovernmental working group so that it may </w:t>
      </w:r>
      <w:r w:rsidR="00464BFA" w:rsidRPr="003C1CCC">
        <w:rPr>
          <w:rFonts w:asciiTheme="minorBidi" w:hAnsiTheme="minorBidi" w:cstheme="minorBidi"/>
          <w:szCs w:val="22"/>
          <w:lang w:val="en-GB"/>
        </w:rPr>
        <w:t>address the</w:t>
      </w:r>
      <w:r w:rsidRPr="003C1CCC">
        <w:rPr>
          <w:rFonts w:asciiTheme="minorBidi" w:hAnsiTheme="minorBidi" w:cstheme="minorBidi"/>
          <w:szCs w:val="22"/>
          <w:lang w:val="en-GB"/>
        </w:rPr>
        <w:t xml:space="preserve"> remaining issues through an additional online meeting </w:t>
      </w:r>
      <w:r w:rsidR="00BA2EAA" w:rsidRPr="003C1CCC">
        <w:rPr>
          <w:rFonts w:asciiTheme="minorBidi" w:hAnsiTheme="minorBidi" w:cstheme="minorBidi"/>
          <w:szCs w:val="22"/>
          <w:lang w:val="en-GB"/>
        </w:rPr>
        <w:t xml:space="preserve">to be </w:t>
      </w:r>
      <w:r w:rsidRPr="003C1CCC">
        <w:rPr>
          <w:rFonts w:asciiTheme="minorBidi" w:hAnsiTheme="minorBidi" w:cstheme="minorBidi"/>
          <w:szCs w:val="22"/>
          <w:lang w:val="en-GB"/>
        </w:rPr>
        <w:t>convened in early 2022</w:t>
      </w:r>
      <w:r w:rsidR="006104D1" w:rsidRPr="003C1CCC">
        <w:rPr>
          <w:rFonts w:asciiTheme="minorBidi" w:hAnsiTheme="minorBidi" w:cstheme="minorBidi"/>
          <w:szCs w:val="22"/>
          <w:lang w:val="en-GB"/>
        </w:rPr>
        <w:t>.</w:t>
      </w:r>
      <w:r w:rsidRPr="003C1CCC">
        <w:rPr>
          <w:rFonts w:asciiTheme="minorBidi" w:hAnsiTheme="minorBidi" w:cstheme="minorBidi"/>
          <w:szCs w:val="22"/>
          <w:lang w:val="en-GB"/>
        </w:rPr>
        <w:t xml:space="preserve"> </w:t>
      </w:r>
      <w:r w:rsidR="006104D1" w:rsidRPr="003C1CCC">
        <w:rPr>
          <w:rFonts w:asciiTheme="minorBidi" w:hAnsiTheme="minorBidi" w:cstheme="minorBidi"/>
          <w:szCs w:val="22"/>
          <w:lang w:val="en-GB"/>
        </w:rPr>
        <w:t>T</w:t>
      </w:r>
      <w:r w:rsidR="008B1DAD" w:rsidRPr="003C1CCC">
        <w:rPr>
          <w:rFonts w:asciiTheme="minorBidi" w:hAnsiTheme="minorBidi" w:cstheme="minorBidi"/>
          <w:szCs w:val="22"/>
          <w:lang w:val="en-GB"/>
        </w:rPr>
        <w:t xml:space="preserve">he results </w:t>
      </w:r>
      <w:r w:rsidR="006104D1" w:rsidRPr="003C1CCC">
        <w:rPr>
          <w:rFonts w:asciiTheme="minorBidi" w:hAnsiTheme="minorBidi" w:cstheme="minorBidi"/>
          <w:szCs w:val="22"/>
          <w:lang w:val="en-GB"/>
        </w:rPr>
        <w:t xml:space="preserve">of this meeting </w:t>
      </w:r>
      <w:r w:rsidR="008B1DAD" w:rsidRPr="003C1CCC">
        <w:rPr>
          <w:rFonts w:asciiTheme="minorBidi" w:hAnsiTheme="minorBidi" w:cstheme="minorBidi"/>
          <w:szCs w:val="22"/>
          <w:lang w:val="en-GB"/>
        </w:rPr>
        <w:t xml:space="preserve">may be examined by </w:t>
      </w:r>
      <w:r w:rsidRPr="003C1CCC">
        <w:rPr>
          <w:rFonts w:asciiTheme="minorBidi" w:hAnsiTheme="minorBidi" w:cstheme="minorBidi"/>
          <w:szCs w:val="22"/>
          <w:lang w:val="en-GB"/>
        </w:rPr>
        <w:t xml:space="preserve">an extraordinary Committee session </w:t>
      </w:r>
      <w:r w:rsidR="00FF61B2" w:rsidRPr="003C1CCC">
        <w:rPr>
          <w:rFonts w:asciiTheme="minorBidi" w:hAnsiTheme="minorBidi" w:cstheme="minorBidi"/>
          <w:szCs w:val="22"/>
          <w:lang w:val="en-GB"/>
        </w:rPr>
        <w:t xml:space="preserve">in the form of revised Operational Directives </w:t>
      </w:r>
      <w:r w:rsidR="006104D1" w:rsidRPr="003C1CCC">
        <w:rPr>
          <w:rFonts w:asciiTheme="minorBidi" w:hAnsiTheme="minorBidi" w:cstheme="minorBidi"/>
          <w:szCs w:val="22"/>
          <w:lang w:val="en-GB"/>
        </w:rPr>
        <w:t>which will be</w:t>
      </w:r>
      <w:r w:rsidR="00FF61B2" w:rsidRPr="003C1CCC">
        <w:rPr>
          <w:rFonts w:asciiTheme="minorBidi" w:hAnsiTheme="minorBidi" w:cstheme="minorBidi"/>
          <w:szCs w:val="22"/>
          <w:lang w:val="en-GB"/>
        </w:rPr>
        <w:t xml:space="preserve"> presented for final approval to the ninth session of the </w:t>
      </w:r>
      <w:r w:rsidRPr="003C1CCC">
        <w:rPr>
          <w:rFonts w:asciiTheme="minorBidi" w:hAnsiTheme="minorBidi" w:cstheme="minorBidi"/>
          <w:szCs w:val="22"/>
          <w:lang w:val="en-GB"/>
        </w:rPr>
        <w:t>General Assembly in mid-2022</w:t>
      </w:r>
      <w:r w:rsidR="00464BFA" w:rsidRPr="003C1CCC">
        <w:rPr>
          <w:rFonts w:asciiTheme="minorBidi" w:hAnsiTheme="minorBidi" w:cstheme="minorBidi"/>
          <w:szCs w:val="22"/>
          <w:lang w:val="en-GB"/>
        </w:rPr>
        <w:t xml:space="preserve"> </w:t>
      </w:r>
      <w:r w:rsidR="0005744A" w:rsidRPr="003C1CCC">
        <w:rPr>
          <w:rFonts w:asciiTheme="minorBidi" w:hAnsiTheme="minorBidi" w:cstheme="minorBidi"/>
          <w:szCs w:val="22"/>
          <w:lang w:val="en-GB"/>
        </w:rPr>
        <w:t>(</w:t>
      </w:r>
      <w:r w:rsidR="0005744A" w:rsidRPr="005F4C17">
        <w:rPr>
          <w:rFonts w:asciiTheme="minorBidi" w:hAnsiTheme="minorBidi" w:cstheme="minorBidi"/>
          <w:szCs w:val="22"/>
          <w:lang w:val="en-GB"/>
        </w:rPr>
        <w:t xml:space="preserve">Decision </w:t>
      </w:r>
      <w:r w:rsidR="0005744A" w:rsidRPr="005F4C17">
        <w:rPr>
          <w:rFonts w:cs="Arial"/>
          <w:szCs w:val="22"/>
          <w:lang w:val="en-GB"/>
        </w:rPr>
        <w:t>16.COM 1</w:t>
      </w:r>
      <w:r w:rsidR="00982656" w:rsidRPr="005F4C17">
        <w:rPr>
          <w:rFonts w:cs="Arial"/>
          <w:szCs w:val="22"/>
          <w:lang w:val="en-GB"/>
        </w:rPr>
        <w:t>4</w:t>
      </w:r>
      <w:r w:rsidR="0005744A" w:rsidRPr="005F4C17">
        <w:rPr>
          <w:rFonts w:cs="Arial"/>
          <w:szCs w:val="22"/>
          <w:lang w:val="en-GB"/>
        </w:rPr>
        <w:t>)</w:t>
      </w:r>
      <w:r w:rsidRPr="005F4C17">
        <w:rPr>
          <w:rFonts w:asciiTheme="minorBidi" w:hAnsiTheme="minorBidi" w:cstheme="minorBidi"/>
          <w:szCs w:val="22"/>
          <w:lang w:val="en-GB"/>
        </w:rPr>
        <w:t>.</w:t>
      </w:r>
      <w:r w:rsidR="00DC14F3" w:rsidRPr="005F4C17">
        <w:rPr>
          <w:rFonts w:asciiTheme="minorBidi" w:hAnsiTheme="minorBidi" w:cstheme="minorBidi"/>
          <w:szCs w:val="22"/>
          <w:lang w:val="en-GB"/>
        </w:rPr>
        <w:t>]</w:t>
      </w:r>
    </w:p>
    <w:p w14:paraId="412BC77A" w14:textId="42646DFE" w:rsidR="00D2474B" w:rsidRPr="00D2474B" w:rsidRDefault="00D2474B" w:rsidP="00D2474B">
      <w:pPr>
        <w:pStyle w:val="Marge"/>
        <w:numPr>
          <w:ilvl w:val="0"/>
          <w:numId w:val="16"/>
        </w:numPr>
        <w:tabs>
          <w:tab w:val="clear" w:pos="502"/>
          <w:tab w:val="num" w:pos="567"/>
        </w:tabs>
        <w:spacing w:after="120"/>
        <w:ind w:left="567" w:hanging="567"/>
        <w:rPr>
          <w:lang w:val="en-GB"/>
        </w:rPr>
      </w:pPr>
      <w:r>
        <w:rPr>
          <w:lang w:val="en-GB"/>
        </w:rPr>
        <w:t xml:space="preserve">The Committee at its sixteenth session examined the evaluation </w:t>
      </w:r>
      <w:r w:rsidRPr="005F4C17">
        <w:rPr>
          <w:szCs w:val="22"/>
          <w:lang w:val="en-US"/>
        </w:rPr>
        <w:t>of the 2003 Convention</w:t>
      </w:r>
      <w:r w:rsidR="00EC67F3" w:rsidRPr="00EC67F3">
        <w:rPr>
          <w:rFonts w:asciiTheme="minorBidi" w:eastAsia="Malgun Gothic" w:hAnsiTheme="minorBidi" w:cstheme="minorBidi"/>
          <w:lang w:val="en-US" w:eastAsia="ko-KR"/>
        </w:rPr>
        <w:t xml:space="preserve"> </w:t>
      </w:r>
      <w:r w:rsidR="00EC67F3">
        <w:rPr>
          <w:rFonts w:asciiTheme="minorBidi" w:eastAsia="Malgun Gothic" w:hAnsiTheme="minorBidi" w:cstheme="minorBidi"/>
          <w:lang w:val="en-US" w:eastAsia="ko-KR"/>
        </w:rPr>
        <w:t xml:space="preserve">and </w:t>
      </w:r>
      <w:r w:rsidR="00EC67F3" w:rsidRPr="00D2474B">
        <w:rPr>
          <w:rFonts w:asciiTheme="minorBidi" w:eastAsia="Malgun Gothic" w:hAnsiTheme="minorBidi" w:cstheme="minorBidi"/>
          <w:lang w:val="en-US" w:eastAsia="ko-KR"/>
        </w:rPr>
        <w:t>a set of</w:t>
      </w:r>
      <w:r w:rsidR="00EC67F3">
        <w:rPr>
          <w:rFonts w:asciiTheme="minorBidi" w:eastAsia="Malgun Gothic" w:hAnsiTheme="minorBidi" w:cstheme="minorBidi"/>
          <w:lang w:val="en-US" w:eastAsia="ko-KR"/>
        </w:rPr>
        <w:t xml:space="preserve"> twelve recommendations</w:t>
      </w:r>
      <w:r w:rsidRPr="00D2474B">
        <w:rPr>
          <w:snapToGrid/>
          <w:szCs w:val="22"/>
          <w:lang w:val="en-US"/>
        </w:rPr>
        <w:t>, conducted by</w:t>
      </w:r>
      <w:r w:rsidRPr="00D2474B">
        <w:rPr>
          <w:rFonts w:asciiTheme="minorBidi" w:eastAsia="Malgun Gothic" w:hAnsiTheme="minorBidi" w:cstheme="minorBidi"/>
          <w:lang w:val="en-US" w:eastAsia="ko-KR"/>
        </w:rPr>
        <w:t xml:space="preserve"> the </w:t>
      </w:r>
      <w:r w:rsidRPr="005F4C17">
        <w:rPr>
          <w:rFonts w:asciiTheme="minorBidi" w:eastAsia="Malgun Gothic" w:hAnsiTheme="minorBidi" w:cstheme="minorBidi"/>
          <w:lang w:val="en-US" w:eastAsia="ko-KR"/>
        </w:rPr>
        <w:t>UNESCO Internal Oversight Service</w:t>
      </w:r>
      <w:r w:rsidR="006F23B4">
        <w:rPr>
          <w:rFonts w:asciiTheme="minorBidi" w:eastAsia="Malgun Gothic" w:hAnsiTheme="minorBidi" w:cstheme="minorBidi"/>
          <w:lang w:val="en-US" w:eastAsia="ko-KR"/>
        </w:rPr>
        <w:t xml:space="preserve">. Furthermore, it requested the Secretariat to </w:t>
      </w:r>
      <w:r w:rsidR="006F23B4" w:rsidRPr="006F23B4">
        <w:rPr>
          <w:rFonts w:cs="Arial"/>
          <w:szCs w:val="22"/>
          <w:lang w:val="en-GB"/>
        </w:rPr>
        <w:t>develop a roadmap, reflecting</w:t>
      </w:r>
      <w:r w:rsidR="006F23B4" w:rsidRPr="00E856E6">
        <w:rPr>
          <w:rFonts w:cs="Arial"/>
          <w:szCs w:val="22"/>
          <w:lang w:val="en-GB"/>
        </w:rPr>
        <w:t xml:space="preserve"> the</w:t>
      </w:r>
      <w:r w:rsidR="006F23B4">
        <w:rPr>
          <w:rFonts w:cs="Arial"/>
          <w:szCs w:val="22"/>
          <w:lang w:val="en-GB"/>
        </w:rPr>
        <w:t>se</w:t>
      </w:r>
      <w:r w:rsidR="006F23B4" w:rsidRPr="00E856E6">
        <w:rPr>
          <w:rFonts w:cs="Arial"/>
          <w:szCs w:val="22"/>
          <w:lang w:val="en-GB"/>
        </w:rPr>
        <w:t xml:space="preserve"> recommendations</w:t>
      </w:r>
      <w:r w:rsidR="006F23B4">
        <w:rPr>
          <w:rFonts w:cs="Arial"/>
          <w:szCs w:val="22"/>
          <w:lang w:val="en-GB"/>
        </w:rPr>
        <w:t>, and to</w:t>
      </w:r>
      <w:r w:rsidR="006F23B4" w:rsidRPr="005F4C17">
        <w:rPr>
          <w:lang w:val="en-US"/>
        </w:rPr>
        <w:t xml:space="preserve"> report on the</w:t>
      </w:r>
      <w:r w:rsidR="006F23B4">
        <w:rPr>
          <w:lang w:val="en-US"/>
        </w:rPr>
        <w:t>ir</w:t>
      </w:r>
      <w:r w:rsidR="006F23B4" w:rsidRPr="005F4C17">
        <w:rPr>
          <w:lang w:val="en-US"/>
        </w:rPr>
        <w:t xml:space="preserve"> implementation status </w:t>
      </w:r>
      <w:r w:rsidR="00E103BD">
        <w:rPr>
          <w:lang w:val="en-US"/>
        </w:rPr>
        <w:t>to</w:t>
      </w:r>
      <w:r w:rsidR="006F23B4" w:rsidRPr="005F4C17">
        <w:rPr>
          <w:lang w:val="en-US"/>
        </w:rPr>
        <w:t xml:space="preserve"> the seventeenth session of the Committee</w:t>
      </w:r>
      <w:r w:rsidR="006F23B4">
        <w:rPr>
          <w:lang w:val="en-US"/>
        </w:rPr>
        <w:t xml:space="preserve"> </w:t>
      </w:r>
      <w:r w:rsidR="006F23B4">
        <w:rPr>
          <w:rFonts w:asciiTheme="minorBidi" w:eastAsia="Malgun Gothic" w:hAnsiTheme="minorBidi" w:cstheme="minorBidi"/>
          <w:lang w:val="en-US" w:eastAsia="ko-KR"/>
        </w:rPr>
        <w:t>(</w:t>
      </w:r>
      <w:r w:rsidR="006F23B4" w:rsidRPr="00055473">
        <w:rPr>
          <w:rFonts w:cs="Arial"/>
          <w:szCs w:val="22"/>
          <w:lang w:val="en-GB"/>
        </w:rPr>
        <w:t xml:space="preserve">Decision 16.COM </w:t>
      </w:r>
      <w:r w:rsidR="006F23B4">
        <w:rPr>
          <w:rFonts w:cs="Arial"/>
          <w:szCs w:val="22"/>
          <w:lang w:val="en-GB"/>
        </w:rPr>
        <w:t>10</w:t>
      </w:r>
      <w:r w:rsidR="006F23B4">
        <w:rPr>
          <w:rFonts w:asciiTheme="minorBidi" w:eastAsia="Malgun Gothic" w:hAnsiTheme="minorBidi" w:cstheme="minorBidi"/>
          <w:lang w:val="en-US" w:eastAsia="ko-KR"/>
        </w:rPr>
        <w:t>)</w:t>
      </w:r>
      <w:r w:rsidRPr="005F4C17">
        <w:rPr>
          <w:bCs/>
          <w:snapToGrid/>
          <w:szCs w:val="22"/>
          <w:lang w:val="en-US"/>
        </w:rPr>
        <w:t>.</w:t>
      </w:r>
    </w:p>
    <w:p w14:paraId="59252155" w14:textId="0F72FB16" w:rsidR="008A63CF" w:rsidRPr="0064045D" w:rsidRDefault="00D43A2C" w:rsidP="000C3849">
      <w:pPr>
        <w:pStyle w:val="Marge"/>
        <w:numPr>
          <w:ilvl w:val="0"/>
          <w:numId w:val="16"/>
        </w:numPr>
        <w:tabs>
          <w:tab w:val="clear" w:pos="502"/>
          <w:tab w:val="num" w:pos="567"/>
        </w:tabs>
        <w:spacing w:after="120"/>
        <w:ind w:left="567" w:hanging="567"/>
        <w:rPr>
          <w:lang w:val="en-GB"/>
        </w:rPr>
      </w:pPr>
      <w:r w:rsidRPr="003C1CCC">
        <w:rPr>
          <w:lang w:val="en-GB"/>
        </w:rPr>
        <w:t>T</w:t>
      </w:r>
      <w:r w:rsidR="00CA3AC4" w:rsidRPr="003C1CCC">
        <w:rPr>
          <w:lang w:val="en-GB"/>
        </w:rPr>
        <w:t>he knowledge management services of the Convention</w:t>
      </w:r>
      <w:r w:rsidR="00BD289E" w:rsidRPr="003C1CCC">
        <w:rPr>
          <w:lang w:val="en-GB"/>
        </w:rPr>
        <w:t xml:space="preserve"> were ensured to support the sound governance of the Convention and responded adequately to the </w:t>
      </w:r>
      <w:r w:rsidR="00464BFA" w:rsidRPr="003C1CCC">
        <w:rPr>
          <w:lang w:val="en-GB"/>
        </w:rPr>
        <w:t xml:space="preserve">need for </w:t>
      </w:r>
      <w:r w:rsidR="00BD289E" w:rsidRPr="003C1CCC">
        <w:rPr>
          <w:lang w:val="en-GB"/>
        </w:rPr>
        <w:t xml:space="preserve">new modalities to </w:t>
      </w:r>
      <w:r w:rsidR="00BD289E" w:rsidRPr="003C1CCC">
        <w:rPr>
          <w:rFonts w:cs="Arial"/>
          <w:szCs w:val="22"/>
          <w:lang w:val="en-GB"/>
        </w:rPr>
        <w:t>facilitate</w:t>
      </w:r>
      <w:r w:rsidR="00BD289E" w:rsidRPr="003C1CCC">
        <w:rPr>
          <w:lang w:val="en-GB"/>
        </w:rPr>
        <w:t xml:space="preserve"> the governing bodies’ work of the Convention.</w:t>
      </w:r>
      <w:r w:rsidR="00CA3AC4" w:rsidRPr="003C1CCC">
        <w:rPr>
          <w:lang w:val="en-GB"/>
        </w:rPr>
        <w:t xml:space="preserve"> </w:t>
      </w:r>
      <w:r w:rsidR="00BD289E" w:rsidRPr="003C1CCC">
        <w:rPr>
          <w:lang w:val="en-GB"/>
        </w:rPr>
        <w:t xml:space="preserve">This </w:t>
      </w:r>
      <w:r w:rsidR="00CA3AC4" w:rsidRPr="003C1CCC">
        <w:rPr>
          <w:lang w:val="en-GB"/>
        </w:rPr>
        <w:t>include</w:t>
      </w:r>
      <w:r w:rsidR="00BD289E" w:rsidRPr="003C1CCC">
        <w:rPr>
          <w:lang w:val="en-GB"/>
        </w:rPr>
        <w:t>s</w:t>
      </w:r>
      <w:r w:rsidR="00D64E01" w:rsidRPr="003C1CCC">
        <w:rPr>
          <w:lang w:val="en-GB"/>
        </w:rPr>
        <w:t>, among others,</w:t>
      </w:r>
      <w:r w:rsidR="00CA3AC4" w:rsidRPr="003C1CCC">
        <w:rPr>
          <w:lang w:val="en-GB"/>
        </w:rPr>
        <w:t xml:space="preserve"> the </w:t>
      </w:r>
      <w:r w:rsidR="00BD289E" w:rsidRPr="0064045D">
        <w:rPr>
          <w:lang w:val="en-GB"/>
        </w:rPr>
        <w:t xml:space="preserve">smooth running of </w:t>
      </w:r>
      <w:r w:rsidR="00BD289E" w:rsidRPr="0064045D">
        <w:rPr>
          <w:rFonts w:cs="Arial"/>
          <w:szCs w:val="22"/>
          <w:lang w:val="en-GB"/>
        </w:rPr>
        <w:t>the</w:t>
      </w:r>
      <w:r w:rsidR="00BD289E" w:rsidRPr="0064045D">
        <w:rPr>
          <w:lang w:val="en-GB"/>
        </w:rPr>
        <w:t xml:space="preserve"> </w:t>
      </w:r>
      <w:r w:rsidR="00CA3AC4" w:rsidRPr="0064045D">
        <w:rPr>
          <w:lang w:val="en-GB"/>
        </w:rPr>
        <w:t xml:space="preserve">online </w:t>
      </w:r>
      <w:r w:rsidR="00D64E01" w:rsidRPr="0064045D">
        <w:rPr>
          <w:lang w:val="en-GB"/>
        </w:rPr>
        <w:t xml:space="preserve">periodic </w:t>
      </w:r>
      <w:r w:rsidR="00CA3AC4" w:rsidRPr="0064045D">
        <w:rPr>
          <w:lang w:val="en-GB"/>
        </w:rPr>
        <w:t>reporting interface</w:t>
      </w:r>
      <w:r w:rsidR="00D64E01" w:rsidRPr="0064045D">
        <w:rPr>
          <w:lang w:val="en-GB"/>
        </w:rPr>
        <w:t xml:space="preserve">, which was used </w:t>
      </w:r>
      <w:r w:rsidR="00464BFA" w:rsidRPr="0064045D">
        <w:rPr>
          <w:lang w:val="en-GB"/>
        </w:rPr>
        <w:t xml:space="preserve">by </w:t>
      </w:r>
      <w:r w:rsidR="00D64E01" w:rsidRPr="0064045D">
        <w:rPr>
          <w:lang w:val="en-GB"/>
        </w:rPr>
        <w:t xml:space="preserve">the States Parties in the Latin America and the Caribbean region </w:t>
      </w:r>
      <w:r w:rsidR="00991FD3" w:rsidRPr="0064045D">
        <w:rPr>
          <w:lang w:val="en-GB"/>
        </w:rPr>
        <w:t>in 2020 and the Europ</w:t>
      </w:r>
      <w:r w:rsidR="008A63CF" w:rsidRPr="0064045D">
        <w:rPr>
          <w:lang w:val="en-GB"/>
        </w:rPr>
        <w:t>e</w:t>
      </w:r>
      <w:r w:rsidR="00991FD3" w:rsidRPr="0064045D">
        <w:rPr>
          <w:lang w:val="en-GB"/>
        </w:rPr>
        <w:t xml:space="preserve"> region in </w:t>
      </w:r>
      <w:r w:rsidR="00FA1031" w:rsidRPr="0064045D">
        <w:rPr>
          <w:lang w:val="en-GB"/>
        </w:rPr>
        <w:t>202</w:t>
      </w:r>
      <w:r w:rsidR="00991FD3" w:rsidRPr="0064045D">
        <w:rPr>
          <w:lang w:val="en-GB"/>
        </w:rPr>
        <w:t>1</w:t>
      </w:r>
      <w:r w:rsidR="00CA3AC4" w:rsidRPr="0064045D">
        <w:rPr>
          <w:lang w:val="en-GB"/>
        </w:rPr>
        <w:t xml:space="preserve">. </w:t>
      </w:r>
      <w:r w:rsidR="00464BFA" w:rsidRPr="0064045D">
        <w:rPr>
          <w:lang w:val="en-GB"/>
        </w:rPr>
        <w:t>V</w:t>
      </w:r>
      <w:r w:rsidR="008A63CF" w:rsidRPr="0064045D">
        <w:rPr>
          <w:lang w:val="en-GB"/>
        </w:rPr>
        <w:t xml:space="preserve">arious </w:t>
      </w:r>
      <w:r w:rsidR="003615DD" w:rsidRPr="0064045D">
        <w:rPr>
          <w:lang w:val="en-GB"/>
        </w:rPr>
        <w:t>educational and knowledge management tools were also made available online in open access format in order to enhance the dissemination and use of these tools.</w:t>
      </w:r>
    </w:p>
    <w:p w14:paraId="7069729D" w14:textId="73B738C3" w:rsidR="00CA3AC4" w:rsidRPr="0064045D" w:rsidRDefault="00CA3AC4" w:rsidP="00BB4782">
      <w:pPr>
        <w:pStyle w:val="Paragraphedeliste"/>
        <w:keepNext/>
        <w:numPr>
          <w:ilvl w:val="0"/>
          <w:numId w:val="18"/>
        </w:numPr>
        <w:tabs>
          <w:tab w:val="num" w:pos="567"/>
        </w:tabs>
        <w:spacing w:before="240" w:after="120"/>
        <w:ind w:left="567" w:hanging="567"/>
        <w:contextualSpacing w:val="0"/>
        <w:jc w:val="both"/>
        <w:rPr>
          <w:rFonts w:ascii="Arial" w:hAnsi="Arial" w:cs="Arial"/>
          <w:b/>
          <w:sz w:val="22"/>
          <w:szCs w:val="22"/>
          <w:lang w:val="en-GB"/>
        </w:rPr>
      </w:pPr>
      <w:r w:rsidRPr="0064045D">
        <w:rPr>
          <w:rFonts w:ascii="Arial" w:hAnsi="Arial" w:cs="Arial"/>
          <w:b/>
          <w:sz w:val="22"/>
          <w:szCs w:val="22"/>
          <w:lang w:val="en-GB"/>
        </w:rPr>
        <w:t>Strengthening the capacity-building programme and guidelines on safeguarding measures and good practices</w:t>
      </w:r>
    </w:p>
    <w:p w14:paraId="41C56B18" w14:textId="7492805F" w:rsidR="00475922" w:rsidRPr="0064045D" w:rsidRDefault="00254EBC" w:rsidP="00821A37">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A47C2B">
        <w:rPr>
          <w:rFonts w:asciiTheme="minorBidi" w:hAnsiTheme="minorBidi" w:cstheme="minorBidi"/>
          <w:szCs w:val="22"/>
          <w:lang w:val="en-GB"/>
        </w:rPr>
        <w:t>Capacity</w:t>
      </w:r>
      <w:r w:rsidR="00CB31EE">
        <w:rPr>
          <w:rFonts w:asciiTheme="minorBidi" w:hAnsiTheme="minorBidi" w:cstheme="minorBidi"/>
          <w:szCs w:val="22"/>
          <w:lang w:val="en-GB"/>
        </w:rPr>
        <w:t xml:space="preserve"> </w:t>
      </w:r>
      <w:r w:rsidRPr="00A47C2B">
        <w:rPr>
          <w:rFonts w:asciiTheme="minorBidi" w:hAnsiTheme="minorBidi" w:cstheme="minorBidi"/>
          <w:szCs w:val="22"/>
          <w:lang w:val="en-GB"/>
        </w:rPr>
        <w:t>building continues to be central to the mandate of the 2003 Convention as one of the two global funding priorities of the Convention, ‘Strengthening capacities to safeguard intangible cultural heritage and contribute to sustainable development’</w:t>
      </w:r>
      <w:r w:rsidR="00977C61" w:rsidRPr="00A47C2B">
        <w:rPr>
          <w:rFonts w:asciiTheme="minorBidi" w:hAnsiTheme="minorBidi" w:cstheme="minorBidi"/>
          <w:szCs w:val="22"/>
          <w:lang w:val="en-GB"/>
        </w:rPr>
        <w:t xml:space="preserve"> (2018-2021)</w:t>
      </w:r>
      <w:r w:rsidRPr="00A47C2B">
        <w:rPr>
          <w:rFonts w:asciiTheme="minorBidi" w:hAnsiTheme="minorBidi" w:cstheme="minorBidi"/>
          <w:szCs w:val="22"/>
          <w:lang w:val="en-GB"/>
        </w:rPr>
        <w:t>. Consequently, a total of sum of US$</w:t>
      </w:r>
      <w:r w:rsidR="00644D1A" w:rsidRPr="00A47C2B">
        <w:rPr>
          <w:rFonts w:asciiTheme="minorBidi" w:hAnsiTheme="minorBidi" w:cstheme="minorBidi"/>
          <w:szCs w:val="22"/>
          <w:lang w:val="en-GB"/>
        </w:rPr>
        <w:t>517</w:t>
      </w:r>
      <w:r w:rsidRPr="00A47C2B">
        <w:rPr>
          <w:rFonts w:asciiTheme="minorBidi" w:hAnsiTheme="minorBidi" w:cstheme="minorBidi"/>
          <w:szCs w:val="22"/>
          <w:lang w:val="en-GB"/>
        </w:rPr>
        <w:t>,</w:t>
      </w:r>
      <w:r w:rsidR="00644D1A" w:rsidRPr="00A47C2B">
        <w:rPr>
          <w:rFonts w:asciiTheme="minorBidi" w:hAnsiTheme="minorBidi" w:cstheme="minorBidi"/>
          <w:szCs w:val="22"/>
          <w:lang w:val="en-GB"/>
        </w:rPr>
        <w:t>465</w:t>
      </w:r>
      <w:r w:rsidRPr="00A47C2B">
        <w:rPr>
          <w:rFonts w:asciiTheme="minorBidi" w:hAnsiTheme="minorBidi" w:cstheme="minorBidi"/>
          <w:szCs w:val="22"/>
          <w:lang w:val="en-GB"/>
        </w:rPr>
        <w:t xml:space="preserve"> – i.e., 3</w:t>
      </w:r>
      <w:r w:rsidR="00644D1A" w:rsidRPr="00A47C2B">
        <w:rPr>
          <w:rFonts w:asciiTheme="minorBidi" w:hAnsiTheme="minorBidi" w:cstheme="minorBidi"/>
          <w:szCs w:val="22"/>
          <w:lang w:val="en-GB"/>
        </w:rPr>
        <w:t>3</w:t>
      </w:r>
      <w:r w:rsidRPr="00A47C2B">
        <w:rPr>
          <w:rFonts w:asciiTheme="minorBidi" w:hAnsiTheme="minorBidi" w:cstheme="minorBidi"/>
          <w:szCs w:val="22"/>
          <w:lang w:val="en-GB"/>
        </w:rPr>
        <w:t xml:space="preserve"> per cent of the line ‘other functions of the Committee’</w:t>
      </w:r>
      <w:r w:rsidRPr="0064045D">
        <w:rPr>
          <w:rFonts w:asciiTheme="minorBidi" w:hAnsiTheme="minorBidi" w:cstheme="minorBidi"/>
          <w:szCs w:val="22"/>
          <w:lang w:val="en-GB"/>
        </w:rPr>
        <w:t xml:space="preserve"> – was allocated for the period January 2020 to December 2021. </w:t>
      </w:r>
      <w:r w:rsidR="00C97DA7" w:rsidRPr="0064045D">
        <w:rPr>
          <w:rFonts w:asciiTheme="minorBidi" w:hAnsiTheme="minorBidi" w:cstheme="minorBidi"/>
          <w:szCs w:val="22"/>
          <w:lang w:val="en-GB"/>
        </w:rPr>
        <w:t xml:space="preserve">An important outcome was the </w:t>
      </w:r>
      <w:r w:rsidR="00DC26BF" w:rsidRPr="0064045D">
        <w:rPr>
          <w:rFonts w:asciiTheme="minorBidi" w:hAnsiTheme="minorBidi" w:cstheme="minorBidi"/>
          <w:szCs w:val="22"/>
          <w:lang w:val="en-GB"/>
        </w:rPr>
        <w:t xml:space="preserve">high </w:t>
      </w:r>
      <w:r w:rsidR="00C97DA7" w:rsidRPr="0064045D">
        <w:rPr>
          <w:rFonts w:asciiTheme="minorBidi" w:hAnsiTheme="minorBidi" w:cstheme="minorBidi"/>
          <w:szCs w:val="22"/>
          <w:lang w:val="en-GB"/>
        </w:rPr>
        <w:t xml:space="preserve">submission </w:t>
      </w:r>
      <w:r w:rsidR="00DC26BF" w:rsidRPr="0064045D">
        <w:rPr>
          <w:rFonts w:asciiTheme="minorBidi" w:hAnsiTheme="minorBidi" w:cstheme="minorBidi"/>
          <w:szCs w:val="22"/>
          <w:lang w:val="en-GB"/>
        </w:rPr>
        <w:t xml:space="preserve">rate </w:t>
      </w:r>
      <w:r w:rsidR="00C97DA7" w:rsidRPr="0064045D">
        <w:rPr>
          <w:rFonts w:asciiTheme="minorBidi" w:hAnsiTheme="minorBidi" w:cstheme="minorBidi"/>
          <w:szCs w:val="22"/>
          <w:lang w:val="en-GB"/>
        </w:rPr>
        <w:t>of</w:t>
      </w:r>
      <w:r w:rsidR="00064468" w:rsidRPr="0064045D">
        <w:rPr>
          <w:rFonts w:asciiTheme="minorBidi" w:hAnsiTheme="minorBidi" w:cstheme="minorBidi"/>
          <w:szCs w:val="22"/>
          <w:lang w:val="en-GB"/>
        </w:rPr>
        <w:t xml:space="preserve"> periodic reports </w:t>
      </w:r>
      <w:r w:rsidR="00C97DA7" w:rsidRPr="0064045D">
        <w:rPr>
          <w:rFonts w:asciiTheme="minorBidi" w:hAnsiTheme="minorBidi" w:cstheme="minorBidi"/>
          <w:szCs w:val="22"/>
          <w:lang w:val="en-GB"/>
        </w:rPr>
        <w:t>from</w:t>
      </w:r>
      <w:r w:rsidR="00064468" w:rsidRPr="0064045D">
        <w:rPr>
          <w:rFonts w:asciiTheme="minorBidi" w:hAnsiTheme="minorBidi" w:cstheme="minorBidi"/>
          <w:szCs w:val="22"/>
          <w:lang w:val="en-GB"/>
        </w:rPr>
        <w:t xml:space="preserve"> </w:t>
      </w:r>
      <w:r w:rsidR="00296951" w:rsidRPr="0064045D">
        <w:rPr>
          <w:rFonts w:asciiTheme="minorBidi" w:hAnsiTheme="minorBidi" w:cstheme="minorBidi"/>
          <w:szCs w:val="22"/>
          <w:lang w:val="en-GB"/>
        </w:rPr>
        <w:t>States</w:t>
      </w:r>
      <w:r w:rsidR="00064468" w:rsidRPr="0064045D">
        <w:rPr>
          <w:rFonts w:asciiTheme="minorBidi" w:hAnsiTheme="minorBidi" w:cstheme="minorBidi"/>
          <w:szCs w:val="22"/>
          <w:lang w:val="en-GB"/>
        </w:rPr>
        <w:t xml:space="preserve"> in Latin America and the Caribbean</w:t>
      </w:r>
      <w:r w:rsidR="00DC26BF" w:rsidRPr="0064045D">
        <w:rPr>
          <w:rFonts w:asciiTheme="minorBidi" w:hAnsiTheme="minorBidi" w:cstheme="minorBidi"/>
          <w:szCs w:val="22"/>
          <w:lang w:val="en-GB"/>
        </w:rPr>
        <w:t>, as the first regional cycle of reporting</w:t>
      </w:r>
      <w:r w:rsidR="00965115" w:rsidRPr="0064045D">
        <w:rPr>
          <w:rStyle w:val="Lienhypertexte"/>
          <w:rFonts w:asciiTheme="minorBidi" w:hAnsiTheme="minorBidi" w:cstheme="minorBidi"/>
          <w:color w:val="auto"/>
          <w:szCs w:val="22"/>
          <w:u w:val="none"/>
          <w:lang w:val="en-GB"/>
        </w:rPr>
        <w:t>.</w:t>
      </w:r>
      <w:r w:rsidR="005241D2" w:rsidRPr="0064045D">
        <w:rPr>
          <w:rStyle w:val="Lienhypertexte"/>
          <w:rFonts w:asciiTheme="minorBidi" w:hAnsiTheme="minorBidi" w:cstheme="minorBidi"/>
          <w:color w:val="auto"/>
          <w:szCs w:val="22"/>
          <w:u w:val="none"/>
          <w:lang w:val="en-GB"/>
        </w:rPr>
        <w:t xml:space="preserve"> </w:t>
      </w:r>
      <w:r w:rsidR="00461675" w:rsidRPr="0064045D">
        <w:rPr>
          <w:rStyle w:val="Lienhypertexte"/>
          <w:rFonts w:asciiTheme="minorBidi" w:hAnsiTheme="minorBidi" w:cstheme="minorBidi"/>
          <w:color w:val="auto"/>
          <w:szCs w:val="22"/>
          <w:u w:val="none"/>
          <w:lang w:val="en-GB"/>
        </w:rPr>
        <w:t>Key activities for safeguarding living heritage in the context of disaster risk reduction in the Philippines and Honduras</w:t>
      </w:r>
      <w:r w:rsidR="00461675" w:rsidRPr="0064045D" w:rsidDel="00DC26BF">
        <w:rPr>
          <w:rStyle w:val="Lienhypertexte"/>
          <w:rFonts w:asciiTheme="minorBidi" w:hAnsiTheme="minorBidi" w:cstheme="minorBidi"/>
          <w:color w:val="auto"/>
          <w:szCs w:val="22"/>
          <w:u w:val="none"/>
          <w:lang w:val="en-GB"/>
        </w:rPr>
        <w:t xml:space="preserve"> </w:t>
      </w:r>
      <w:r w:rsidR="00461675" w:rsidRPr="0064045D">
        <w:rPr>
          <w:rStyle w:val="Lienhypertexte"/>
          <w:rFonts w:asciiTheme="minorBidi" w:hAnsiTheme="minorBidi" w:cstheme="minorBidi"/>
          <w:color w:val="auto"/>
          <w:szCs w:val="22"/>
          <w:u w:val="none"/>
          <w:lang w:val="en-GB"/>
        </w:rPr>
        <w:t xml:space="preserve">were also piloted </w:t>
      </w:r>
      <w:r w:rsidR="00461675" w:rsidRPr="0059761D">
        <w:rPr>
          <w:rStyle w:val="Lienhypertexte"/>
          <w:rFonts w:asciiTheme="minorBidi" w:hAnsiTheme="minorBidi" w:cstheme="minorBidi"/>
          <w:color w:val="auto"/>
          <w:szCs w:val="22"/>
          <w:u w:val="none"/>
          <w:lang w:val="en-GB"/>
        </w:rPr>
        <w:t>online</w:t>
      </w:r>
      <w:r w:rsidR="005241D2" w:rsidRPr="0059761D">
        <w:rPr>
          <w:rStyle w:val="Lienhypertexte"/>
          <w:rFonts w:asciiTheme="minorBidi" w:hAnsiTheme="minorBidi" w:cstheme="minorBidi"/>
          <w:color w:val="auto"/>
          <w:szCs w:val="22"/>
          <w:u w:val="none"/>
          <w:lang w:val="en-GB"/>
        </w:rPr>
        <w:t xml:space="preserve">. </w:t>
      </w:r>
      <w:r w:rsidR="00461675" w:rsidRPr="0059761D">
        <w:rPr>
          <w:rStyle w:val="Lienhypertexte"/>
          <w:rFonts w:asciiTheme="minorBidi" w:hAnsiTheme="minorBidi" w:cstheme="minorBidi"/>
          <w:color w:val="auto"/>
          <w:szCs w:val="22"/>
          <w:u w:val="none"/>
          <w:lang w:val="en-GB"/>
        </w:rPr>
        <w:t>T</w:t>
      </w:r>
      <w:r w:rsidR="00064468" w:rsidRPr="0059761D">
        <w:rPr>
          <w:rStyle w:val="Lienhypertexte"/>
          <w:rFonts w:asciiTheme="minorBidi" w:hAnsiTheme="minorBidi" w:cstheme="minorBidi"/>
          <w:color w:val="auto"/>
          <w:szCs w:val="22"/>
          <w:u w:val="none"/>
          <w:lang w:val="en-GB"/>
        </w:rPr>
        <w:t xml:space="preserve">he </w:t>
      </w:r>
      <w:r w:rsidR="00461675" w:rsidRPr="0059761D">
        <w:rPr>
          <w:rStyle w:val="Lienhypertexte"/>
          <w:rFonts w:asciiTheme="minorBidi" w:hAnsiTheme="minorBidi" w:cstheme="minorBidi"/>
          <w:color w:val="auto"/>
          <w:szCs w:val="22"/>
          <w:u w:val="none"/>
          <w:lang w:val="en-GB"/>
        </w:rPr>
        <w:t>sixteenth</w:t>
      </w:r>
      <w:r w:rsidR="00461675" w:rsidRPr="0064045D">
        <w:rPr>
          <w:rStyle w:val="Lienhypertexte"/>
          <w:rFonts w:asciiTheme="minorBidi" w:hAnsiTheme="minorBidi" w:cstheme="minorBidi"/>
          <w:color w:val="auto"/>
          <w:szCs w:val="22"/>
          <w:u w:val="none"/>
          <w:lang w:val="en-GB"/>
        </w:rPr>
        <w:t xml:space="preserve"> session of the Committee therefore </w:t>
      </w:r>
      <w:r w:rsidR="00B064DA" w:rsidRPr="0064045D">
        <w:rPr>
          <w:rStyle w:val="Lienhypertexte"/>
          <w:rFonts w:asciiTheme="minorBidi" w:hAnsiTheme="minorBidi" w:cstheme="minorBidi"/>
          <w:color w:val="auto"/>
          <w:szCs w:val="22"/>
          <w:u w:val="none"/>
          <w:lang w:val="en-GB"/>
        </w:rPr>
        <w:t>welcomed</w:t>
      </w:r>
      <w:r w:rsidR="00C97DA7" w:rsidRPr="0064045D">
        <w:rPr>
          <w:rStyle w:val="Lienhypertexte"/>
          <w:rFonts w:asciiTheme="minorBidi" w:hAnsiTheme="minorBidi" w:cstheme="minorBidi"/>
          <w:color w:val="auto"/>
          <w:szCs w:val="22"/>
          <w:u w:val="none"/>
          <w:lang w:val="en-GB"/>
        </w:rPr>
        <w:t xml:space="preserve"> the</w:t>
      </w:r>
      <w:r w:rsidR="00B064DA" w:rsidRPr="0064045D">
        <w:rPr>
          <w:rStyle w:val="Lienhypertexte"/>
          <w:rFonts w:asciiTheme="minorBidi" w:hAnsiTheme="minorBidi" w:cstheme="minorBidi"/>
          <w:color w:val="auto"/>
          <w:szCs w:val="22"/>
          <w:u w:val="none"/>
          <w:lang w:val="en-GB"/>
        </w:rPr>
        <w:t xml:space="preserve"> strategic repositioning of the global capacity-building programme to a multi-modal approach</w:t>
      </w:r>
      <w:r w:rsidR="000F4F96" w:rsidRPr="0064045D">
        <w:rPr>
          <w:rStyle w:val="Lienhypertexte"/>
          <w:rFonts w:asciiTheme="minorBidi" w:hAnsiTheme="minorBidi" w:cstheme="minorBidi"/>
          <w:color w:val="auto"/>
          <w:szCs w:val="22"/>
          <w:u w:val="none"/>
          <w:lang w:val="en-GB"/>
        </w:rPr>
        <w:t xml:space="preserve"> (</w:t>
      </w:r>
      <w:r w:rsidR="00B064DA" w:rsidRPr="0064045D">
        <w:rPr>
          <w:rStyle w:val="Lienhypertexte"/>
          <w:rFonts w:asciiTheme="minorBidi" w:hAnsiTheme="minorBidi" w:cstheme="minorBidi"/>
          <w:color w:val="auto"/>
          <w:szCs w:val="22"/>
          <w:u w:val="none"/>
          <w:lang w:val="en-GB"/>
        </w:rPr>
        <w:t>in-person, fully online, hybrid, and blended delivery formats</w:t>
      </w:r>
      <w:r w:rsidR="000F4F96" w:rsidRPr="0064045D">
        <w:rPr>
          <w:rStyle w:val="Lienhypertexte"/>
          <w:rFonts w:asciiTheme="minorBidi" w:hAnsiTheme="minorBidi" w:cstheme="minorBidi"/>
          <w:color w:val="auto"/>
          <w:szCs w:val="22"/>
          <w:u w:val="none"/>
          <w:lang w:val="en-GB"/>
        </w:rPr>
        <w:t xml:space="preserve">) </w:t>
      </w:r>
      <w:r w:rsidR="00461675" w:rsidRPr="0064045D">
        <w:rPr>
          <w:rFonts w:asciiTheme="minorBidi" w:hAnsiTheme="minorBidi" w:cstheme="minorBidi"/>
          <w:szCs w:val="22"/>
          <w:lang w:val="en-GB"/>
        </w:rPr>
        <w:t>(</w:t>
      </w:r>
      <w:r w:rsidR="00461675" w:rsidRPr="005F4C17">
        <w:rPr>
          <w:rFonts w:asciiTheme="minorBidi" w:hAnsiTheme="minorBidi" w:cstheme="minorBidi"/>
          <w:szCs w:val="22"/>
          <w:lang w:val="en-GB"/>
        </w:rPr>
        <w:t>Decision 16.COM 5.b)</w:t>
      </w:r>
      <w:r w:rsidR="002E0D75" w:rsidRPr="005F4C17">
        <w:rPr>
          <w:rStyle w:val="Lienhypertexte"/>
          <w:rFonts w:asciiTheme="minorBidi" w:hAnsiTheme="minorBidi" w:cstheme="minorBidi"/>
          <w:color w:val="auto"/>
          <w:szCs w:val="22"/>
          <w:u w:val="none"/>
          <w:lang w:val="en-GB"/>
        </w:rPr>
        <w:t>.</w:t>
      </w:r>
    </w:p>
    <w:p w14:paraId="08DE9670" w14:textId="77777777" w:rsidR="00CA3AC4" w:rsidRPr="003C1CCC" w:rsidRDefault="00CA3AC4" w:rsidP="002E223C">
      <w:pPr>
        <w:pStyle w:val="Paragraphedeliste"/>
        <w:keepNext/>
        <w:numPr>
          <w:ilvl w:val="0"/>
          <w:numId w:val="18"/>
        </w:numPr>
        <w:spacing w:before="240" w:after="120"/>
        <w:ind w:left="562" w:hanging="562"/>
        <w:contextualSpacing w:val="0"/>
        <w:jc w:val="both"/>
        <w:rPr>
          <w:rFonts w:asciiTheme="minorBidi" w:hAnsiTheme="minorBidi" w:cstheme="minorBidi"/>
          <w:b/>
          <w:sz w:val="22"/>
          <w:szCs w:val="22"/>
          <w:lang w:val="en-GB"/>
        </w:rPr>
      </w:pPr>
      <w:r w:rsidRPr="003C1CCC">
        <w:rPr>
          <w:rFonts w:asciiTheme="minorBidi" w:hAnsiTheme="minorBidi" w:cstheme="minorBidi"/>
          <w:b/>
          <w:sz w:val="22"/>
          <w:szCs w:val="22"/>
          <w:lang w:val="en-GB"/>
        </w:rPr>
        <w:t>Integration of intangible cultural heritage into development plans, policies and programmes</w:t>
      </w:r>
    </w:p>
    <w:p w14:paraId="2A9B2F74" w14:textId="26DE3D8C" w:rsidR="00753013" w:rsidRPr="003C1CCC" w:rsidRDefault="00CA3AC4" w:rsidP="0006768D">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3C1CCC">
        <w:rPr>
          <w:rFonts w:asciiTheme="minorBidi" w:hAnsiTheme="minorBidi" w:cstheme="minorBidi"/>
          <w:szCs w:val="22"/>
          <w:lang w:val="en-GB"/>
        </w:rPr>
        <w:t xml:space="preserve">Integrating intangible cultural heritage into development plans, policies and programmes is key to promoting the objectives of the Convention in the context of the 2030 </w:t>
      </w:r>
      <w:r w:rsidR="009F407C">
        <w:rPr>
          <w:rFonts w:asciiTheme="minorBidi" w:hAnsiTheme="minorBidi" w:cstheme="minorBidi"/>
          <w:szCs w:val="22"/>
          <w:lang w:val="en-GB"/>
        </w:rPr>
        <w:t xml:space="preserve">Agenda for </w:t>
      </w:r>
      <w:r w:rsidRPr="003C1CCC">
        <w:rPr>
          <w:rFonts w:asciiTheme="minorBidi" w:hAnsiTheme="minorBidi" w:cstheme="minorBidi"/>
          <w:szCs w:val="22"/>
          <w:lang w:val="en-GB"/>
        </w:rPr>
        <w:t xml:space="preserve">Sustainable Development. </w:t>
      </w:r>
      <w:r w:rsidR="0003618F" w:rsidRPr="003C1CCC">
        <w:rPr>
          <w:rFonts w:asciiTheme="minorBidi" w:hAnsiTheme="minorBidi" w:cstheme="minorBidi"/>
          <w:szCs w:val="22"/>
          <w:lang w:val="en-GB"/>
        </w:rPr>
        <w:t>A total sum of US$203,850 was allocated for this purpose – i.e., 13 per cent of the line ‘other functions of the Committee’ – for the period 2020</w:t>
      </w:r>
      <w:r w:rsidR="00CB31EE">
        <w:rPr>
          <w:rFonts w:asciiTheme="minorBidi" w:hAnsiTheme="minorBidi" w:cstheme="minorBidi"/>
          <w:szCs w:val="22"/>
          <w:lang w:val="en-GB"/>
        </w:rPr>
        <w:t>-</w:t>
      </w:r>
      <w:r w:rsidR="0003618F" w:rsidRPr="003C1CCC">
        <w:rPr>
          <w:rFonts w:asciiTheme="minorBidi" w:hAnsiTheme="minorBidi" w:cstheme="minorBidi"/>
          <w:szCs w:val="22"/>
          <w:lang w:val="en-GB"/>
        </w:rPr>
        <w:t>2021.</w:t>
      </w:r>
      <w:r w:rsidR="00977C61" w:rsidRPr="003C1CCC">
        <w:rPr>
          <w:rFonts w:asciiTheme="minorBidi" w:hAnsiTheme="minorBidi" w:cstheme="minorBidi"/>
          <w:szCs w:val="22"/>
          <w:lang w:val="en-GB"/>
        </w:rPr>
        <w:t xml:space="preserve"> </w:t>
      </w:r>
      <w:r w:rsidR="00C161B7">
        <w:rPr>
          <w:rFonts w:asciiTheme="minorBidi" w:hAnsiTheme="minorBidi" w:cstheme="minorBidi"/>
          <w:szCs w:val="22"/>
          <w:lang w:val="en-GB"/>
        </w:rPr>
        <w:t>In line with</w:t>
      </w:r>
      <w:r w:rsidR="00753013" w:rsidRPr="003C1CCC">
        <w:rPr>
          <w:rFonts w:asciiTheme="minorBidi" w:hAnsiTheme="minorBidi" w:cstheme="minorBidi"/>
          <w:szCs w:val="22"/>
          <w:lang w:val="en-GB"/>
        </w:rPr>
        <w:t xml:space="preserve"> </w:t>
      </w:r>
      <w:r w:rsidR="00C161B7">
        <w:rPr>
          <w:rFonts w:asciiTheme="minorBidi" w:hAnsiTheme="minorBidi" w:cstheme="minorBidi"/>
          <w:szCs w:val="22"/>
          <w:lang w:val="en-GB"/>
        </w:rPr>
        <w:t xml:space="preserve">the </w:t>
      </w:r>
      <w:r w:rsidR="00753013" w:rsidRPr="003C1CCC">
        <w:rPr>
          <w:rFonts w:asciiTheme="minorBidi" w:hAnsiTheme="minorBidi" w:cstheme="minorBidi"/>
          <w:szCs w:val="22"/>
          <w:lang w:val="en-GB"/>
        </w:rPr>
        <w:t>global funding priority</w:t>
      </w:r>
      <w:r w:rsidR="00C161B7">
        <w:rPr>
          <w:rFonts w:asciiTheme="minorBidi" w:hAnsiTheme="minorBidi" w:cstheme="minorBidi"/>
          <w:szCs w:val="22"/>
          <w:lang w:val="en-GB"/>
        </w:rPr>
        <w:t xml:space="preserve"> </w:t>
      </w:r>
      <w:r w:rsidR="00753013" w:rsidRPr="003C1CCC">
        <w:rPr>
          <w:rFonts w:asciiTheme="minorBidi" w:hAnsiTheme="minorBidi" w:cstheme="minorBidi"/>
          <w:szCs w:val="22"/>
          <w:lang w:val="en-GB"/>
        </w:rPr>
        <w:t xml:space="preserve">‘Safeguarding </w:t>
      </w:r>
      <w:r w:rsidR="00FD46B1">
        <w:rPr>
          <w:rFonts w:asciiTheme="minorBidi" w:hAnsiTheme="minorBidi" w:cstheme="minorBidi"/>
          <w:szCs w:val="22"/>
          <w:lang w:val="en-GB"/>
        </w:rPr>
        <w:t>i</w:t>
      </w:r>
      <w:r w:rsidR="00753013" w:rsidRPr="003C1CCC">
        <w:rPr>
          <w:rFonts w:asciiTheme="minorBidi" w:hAnsiTheme="minorBidi" w:cstheme="minorBidi"/>
          <w:szCs w:val="22"/>
          <w:lang w:val="en-GB"/>
        </w:rPr>
        <w:t xml:space="preserve">ntangible </w:t>
      </w:r>
      <w:r w:rsidR="00FD46B1">
        <w:rPr>
          <w:rFonts w:asciiTheme="minorBidi" w:hAnsiTheme="minorBidi" w:cstheme="minorBidi"/>
          <w:szCs w:val="22"/>
          <w:lang w:val="en-GB"/>
        </w:rPr>
        <w:t>c</w:t>
      </w:r>
      <w:r w:rsidR="00753013" w:rsidRPr="003C1CCC">
        <w:rPr>
          <w:rFonts w:asciiTheme="minorBidi" w:hAnsiTheme="minorBidi" w:cstheme="minorBidi"/>
          <w:szCs w:val="22"/>
          <w:lang w:val="en-GB"/>
        </w:rPr>
        <w:t xml:space="preserve">ultural </w:t>
      </w:r>
      <w:r w:rsidR="00FD46B1">
        <w:rPr>
          <w:rFonts w:asciiTheme="minorBidi" w:hAnsiTheme="minorBidi" w:cstheme="minorBidi"/>
          <w:szCs w:val="22"/>
          <w:lang w:val="en-GB"/>
        </w:rPr>
        <w:t>h</w:t>
      </w:r>
      <w:r w:rsidR="00753013" w:rsidRPr="003C1CCC">
        <w:rPr>
          <w:rFonts w:asciiTheme="minorBidi" w:hAnsiTheme="minorBidi" w:cstheme="minorBidi"/>
          <w:szCs w:val="22"/>
          <w:lang w:val="en-GB"/>
        </w:rPr>
        <w:t xml:space="preserve">eritage in formal and non-formal education’, </w:t>
      </w:r>
      <w:r w:rsidR="00C161B7">
        <w:rPr>
          <w:rFonts w:asciiTheme="minorBidi" w:hAnsiTheme="minorBidi" w:cstheme="minorBidi"/>
          <w:szCs w:val="22"/>
          <w:lang w:val="en-GB"/>
        </w:rPr>
        <w:t xml:space="preserve">around </w:t>
      </w:r>
      <w:r w:rsidR="00FD46B1">
        <w:rPr>
          <w:rFonts w:asciiTheme="minorBidi" w:hAnsiTheme="minorBidi" w:cstheme="minorBidi"/>
          <w:szCs w:val="22"/>
          <w:lang w:val="en-GB"/>
        </w:rPr>
        <w:t xml:space="preserve">fifty </w:t>
      </w:r>
      <w:r w:rsidR="00C161B7">
        <w:rPr>
          <w:rFonts w:asciiTheme="minorBidi" w:hAnsiTheme="minorBidi" w:cstheme="minorBidi"/>
          <w:szCs w:val="22"/>
          <w:lang w:val="en-GB"/>
        </w:rPr>
        <w:t xml:space="preserve">countries </w:t>
      </w:r>
      <w:r w:rsidR="00A12FE2">
        <w:rPr>
          <w:rFonts w:asciiTheme="minorBidi" w:hAnsiTheme="minorBidi" w:cstheme="minorBidi"/>
          <w:szCs w:val="22"/>
          <w:lang w:val="en-GB"/>
        </w:rPr>
        <w:t xml:space="preserve">showcased </w:t>
      </w:r>
      <w:r w:rsidR="00BE46BC" w:rsidRPr="00BE46BC">
        <w:rPr>
          <w:rFonts w:asciiTheme="minorBidi" w:hAnsiTheme="minorBidi" w:cstheme="minorBidi"/>
          <w:szCs w:val="22"/>
          <w:lang w:val="en-GB"/>
        </w:rPr>
        <w:t xml:space="preserve">the </w:t>
      </w:r>
      <w:r w:rsidR="00C161B7">
        <w:rPr>
          <w:rFonts w:asciiTheme="minorBidi" w:hAnsiTheme="minorBidi" w:cstheme="minorBidi"/>
          <w:szCs w:val="22"/>
          <w:lang w:val="en-GB"/>
        </w:rPr>
        <w:t>i</w:t>
      </w:r>
      <w:r w:rsidR="00BE46BC" w:rsidRPr="00BE46BC">
        <w:rPr>
          <w:rFonts w:asciiTheme="minorBidi" w:hAnsiTheme="minorBidi" w:cstheme="minorBidi"/>
          <w:szCs w:val="22"/>
          <w:lang w:val="en-GB"/>
        </w:rPr>
        <w:t>ntegrati</w:t>
      </w:r>
      <w:r w:rsidR="00C161B7">
        <w:rPr>
          <w:rFonts w:asciiTheme="minorBidi" w:hAnsiTheme="minorBidi" w:cstheme="minorBidi"/>
          <w:szCs w:val="22"/>
          <w:lang w:val="en-GB"/>
        </w:rPr>
        <w:t>o</w:t>
      </w:r>
      <w:r w:rsidR="00BE46BC" w:rsidRPr="00BE46BC">
        <w:rPr>
          <w:rFonts w:asciiTheme="minorBidi" w:hAnsiTheme="minorBidi" w:cstheme="minorBidi"/>
          <w:szCs w:val="22"/>
          <w:lang w:val="en-GB"/>
        </w:rPr>
        <w:t>n</w:t>
      </w:r>
      <w:r w:rsidR="00C161B7">
        <w:rPr>
          <w:rFonts w:asciiTheme="minorBidi" w:hAnsiTheme="minorBidi" w:cstheme="minorBidi"/>
          <w:szCs w:val="22"/>
          <w:lang w:val="en-GB"/>
        </w:rPr>
        <w:t xml:space="preserve"> of</w:t>
      </w:r>
      <w:r w:rsidR="00BE46BC" w:rsidRPr="00BE46BC">
        <w:rPr>
          <w:rFonts w:asciiTheme="minorBidi" w:hAnsiTheme="minorBidi" w:cstheme="minorBidi"/>
          <w:szCs w:val="22"/>
          <w:lang w:val="en-GB"/>
        </w:rPr>
        <w:t xml:space="preserve"> living heritage into </w:t>
      </w:r>
      <w:r w:rsidR="00C161B7">
        <w:rPr>
          <w:rFonts w:asciiTheme="minorBidi" w:hAnsiTheme="minorBidi" w:cstheme="minorBidi"/>
          <w:szCs w:val="22"/>
          <w:lang w:val="en-GB"/>
        </w:rPr>
        <w:t xml:space="preserve">their </w:t>
      </w:r>
      <w:r w:rsidR="00BE46BC" w:rsidRPr="00BE46BC">
        <w:rPr>
          <w:rFonts w:asciiTheme="minorBidi" w:hAnsiTheme="minorBidi" w:cstheme="minorBidi"/>
          <w:szCs w:val="22"/>
          <w:lang w:val="en-GB"/>
        </w:rPr>
        <w:t xml:space="preserve">educational </w:t>
      </w:r>
      <w:r w:rsidR="00A12FE2">
        <w:rPr>
          <w:rFonts w:asciiTheme="minorBidi" w:hAnsiTheme="minorBidi" w:cstheme="minorBidi"/>
          <w:szCs w:val="22"/>
          <w:lang w:val="en-GB"/>
        </w:rPr>
        <w:t>contexts</w:t>
      </w:r>
      <w:r w:rsidR="00C161B7">
        <w:rPr>
          <w:rFonts w:asciiTheme="minorBidi" w:hAnsiTheme="minorBidi" w:cstheme="minorBidi"/>
          <w:szCs w:val="22"/>
          <w:lang w:val="en-GB"/>
        </w:rPr>
        <w:t xml:space="preserve">. </w:t>
      </w:r>
      <w:r w:rsidR="00582A2D">
        <w:rPr>
          <w:rFonts w:asciiTheme="minorBidi" w:hAnsiTheme="minorBidi" w:cstheme="minorBidi"/>
          <w:szCs w:val="22"/>
          <w:lang w:val="en-GB"/>
        </w:rPr>
        <w:t>A</w:t>
      </w:r>
      <w:r w:rsidR="00BE46BC" w:rsidRPr="00BE46BC">
        <w:rPr>
          <w:rFonts w:asciiTheme="minorBidi" w:hAnsiTheme="minorBidi" w:cstheme="minorBidi"/>
          <w:szCs w:val="22"/>
          <w:lang w:val="en-GB"/>
        </w:rPr>
        <w:t xml:space="preserve"> global learning network with </w:t>
      </w:r>
      <w:r w:rsidR="000046AA">
        <w:rPr>
          <w:rFonts w:asciiTheme="minorBidi" w:hAnsiTheme="minorBidi" w:cstheme="minorBidi"/>
          <w:szCs w:val="22"/>
          <w:lang w:val="en-GB"/>
        </w:rPr>
        <w:t xml:space="preserve">relevant </w:t>
      </w:r>
      <w:r w:rsidR="00BE46BC" w:rsidRPr="00BE46BC">
        <w:rPr>
          <w:rFonts w:asciiTheme="minorBidi" w:hAnsiTheme="minorBidi" w:cstheme="minorBidi"/>
          <w:szCs w:val="22"/>
          <w:lang w:val="en-GB"/>
        </w:rPr>
        <w:t>resource persons</w:t>
      </w:r>
      <w:r w:rsidR="00C161B7">
        <w:rPr>
          <w:rFonts w:asciiTheme="minorBidi" w:hAnsiTheme="minorBidi" w:cstheme="minorBidi"/>
          <w:szCs w:val="22"/>
          <w:lang w:val="en-GB"/>
        </w:rPr>
        <w:t>, t</w:t>
      </w:r>
      <w:r w:rsidR="0003618F" w:rsidRPr="003C1CCC">
        <w:rPr>
          <w:rFonts w:asciiTheme="minorBidi" w:hAnsiTheme="minorBidi" w:cstheme="minorBidi"/>
          <w:szCs w:val="22"/>
          <w:lang w:val="en-GB"/>
        </w:rPr>
        <w:t>he global clearing house for knowledge sharing on living heritage and education</w:t>
      </w:r>
      <w:r w:rsidR="00FD46B1">
        <w:rPr>
          <w:rFonts w:asciiTheme="minorBidi" w:hAnsiTheme="minorBidi" w:cstheme="minorBidi"/>
          <w:szCs w:val="22"/>
          <w:lang w:val="en-GB"/>
        </w:rPr>
        <w:t>,</w:t>
      </w:r>
      <w:r w:rsidR="003C1CCC" w:rsidRPr="003C1CCC">
        <w:rPr>
          <w:rFonts w:asciiTheme="minorBidi" w:hAnsiTheme="minorBidi" w:cstheme="minorBidi"/>
          <w:szCs w:val="22"/>
          <w:lang w:val="en-GB"/>
        </w:rPr>
        <w:t xml:space="preserve"> and</w:t>
      </w:r>
      <w:r w:rsidR="0003618F" w:rsidRPr="003C1CCC">
        <w:rPr>
          <w:rFonts w:asciiTheme="minorBidi" w:hAnsiTheme="minorBidi" w:cstheme="minorBidi"/>
          <w:szCs w:val="22"/>
          <w:lang w:val="en-GB"/>
        </w:rPr>
        <w:t xml:space="preserve"> the Massive open online course on </w:t>
      </w:r>
      <w:r w:rsidR="000F461E" w:rsidRPr="003C1CCC">
        <w:rPr>
          <w:rFonts w:asciiTheme="minorBidi" w:hAnsiTheme="minorBidi" w:cstheme="minorBidi"/>
          <w:szCs w:val="22"/>
          <w:lang w:val="en-GB"/>
        </w:rPr>
        <w:t>intangible cultural heritage safeguarding</w:t>
      </w:r>
      <w:r w:rsidR="0003618F" w:rsidRPr="003C1CCC">
        <w:rPr>
          <w:rFonts w:asciiTheme="minorBidi" w:hAnsiTheme="minorBidi" w:cstheme="minorBidi"/>
          <w:szCs w:val="22"/>
          <w:lang w:val="en-GB"/>
        </w:rPr>
        <w:t xml:space="preserve"> and sustainable development </w:t>
      </w:r>
      <w:r w:rsidR="008F6FAE" w:rsidRPr="003C1CCC">
        <w:rPr>
          <w:rFonts w:asciiTheme="minorBidi" w:hAnsiTheme="minorBidi" w:cstheme="minorBidi"/>
          <w:szCs w:val="22"/>
          <w:lang w:val="en-GB"/>
        </w:rPr>
        <w:t xml:space="preserve">were </w:t>
      </w:r>
      <w:r w:rsidR="00C161B7">
        <w:rPr>
          <w:rFonts w:asciiTheme="minorBidi" w:hAnsiTheme="minorBidi" w:cstheme="minorBidi"/>
          <w:szCs w:val="22"/>
          <w:lang w:val="en-GB"/>
        </w:rPr>
        <w:t xml:space="preserve">also </w:t>
      </w:r>
      <w:r w:rsidR="008F6FAE" w:rsidRPr="003C1CCC">
        <w:rPr>
          <w:rFonts w:asciiTheme="minorBidi" w:hAnsiTheme="minorBidi" w:cstheme="minorBidi"/>
          <w:szCs w:val="22"/>
          <w:lang w:val="en-GB"/>
        </w:rPr>
        <w:t>developed. The</w:t>
      </w:r>
      <w:r w:rsidR="00FD46B1">
        <w:rPr>
          <w:rFonts w:asciiTheme="minorBidi" w:hAnsiTheme="minorBidi" w:cstheme="minorBidi"/>
          <w:szCs w:val="22"/>
          <w:lang w:val="en-GB"/>
        </w:rPr>
        <w:t>se</w:t>
      </w:r>
      <w:r w:rsidR="008F6FAE" w:rsidRPr="003C1CCC">
        <w:rPr>
          <w:rFonts w:asciiTheme="minorBidi" w:hAnsiTheme="minorBidi" w:cstheme="minorBidi"/>
          <w:szCs w:val="22"/>
          <w:lang w:val="en-GB"/>
        </w:rPr>
        <w:t xml:space="preserve"> </w:t>
      </w:r>
      <w:r w:rsidR="00A269DE" w:rsidRPr="003C1CCC">
        <w:rPr>
          <w:rFonts w:asciiTheme="minorBidi" w:hAnsiTheme="minorBidi" w:cstheme="minorBidi"/>
          <w:szCs w:val="22"/>
          <w:lang w:val="en-GB"/>
        </w:rPr>
        <w:t xml:space="preserve">are concrete examples </w:t>
      </w:r>
      <w:r w:rsidR="00753013" w:rsidRPr="003C1CCC">
        <w:rPr>
          <w:rFonts w:asciiTheme="minorBidi" w:hAnsiTheme="minorBidi" w:cstheme="minorBidi"/>
          <w:szCs w:val="22"/>
          <w:lang w:val="en-GB"/>
        </w:rPr>
        <w:t xml:space="preserve">promoting the transmission </w:t>
      </w:r>
      <w:r w:rsidR="008F6FAE" w:rsidRPr="003C1CCC">
        <w:rPr>
          <w:rFonts w:asciiTheme="minorBidi" w:hAnsiTheme="minorBidi" w:cstheme="minorBidi"/>
          <w:szCs w:val="22"/>
          <w:lang w:val="en-GB"/>
        </w:rPr>
        <w:t xml:space="preserve">of living heritage </w:t>
      </w:r>
      <w:r w:rsidR="00753013" w:rsidRPr="003C1CCC">
        <w:rPr>
          <w:rFonts w:asciiTheme="minorBidi" w:hAnsiTheme="minorBidi" w:cstheme="minorBidi"/>
          <w:szCs w:val="22"/>
          <w:lang w:val="en-GB"/>
        </w:rPr>
        <w:t>through formal and non-formal education as a</w:t>
      </w:r>
      <w:r w:rsidR="00363498" w:rsidRPr="003C1CCC">
        <w:rPr>
          <w:rFonts w:asciiTheme="minorBidi" w:hAnsiTheme="minorBidi" w:cstheme="minorBidi"/>
          <w:szCs w:val="22"/>
          <w:lang w:val="en-GB"/>
        </w:rPr>
        <w:t>n important</w:t>
      </w:r>
      <w:r w:rsidR="00753013" w:rsidRPr="003C1CCC">
        <w:rPr>
          <w:rFonts w:asciiTheme="minorBidi" w:hAnsiTheme="minorBidi" w:cstheme="minorBidi"/>
          <w:szCs w:val="22"/>
          <w:lang w:val="en-GB"/>
        </w:rPr>
        <w:t xml:space="preserve"> safeguarding measure in line with Article 2 of the Convention</w:t>
      </w:r>
      <w:r w:rsidR="008F6FAE" w:rsidRPr="003C1CCC">
        <w:rPr>
          <w:rFonts w:asciiTheme="minorBidi" w:hAnsiTheme="minorBidi" w:cstheme="minorBidi"/>
          <w:szCs w:val="22"/>
          <w:lang w:val="en-GB"/>
        </w:rPr>
        <w:t xml:space="preserve"> and </w:t>
      </w:r>
      <w:r w:rsidR="00FD46B1">
        <w:rPr>
          <w:rFonts w:asciiTheme="minorBidi" w:hAnsiTheme="minorBidi" w:cstheme="minorBidi"/>
          <w:szCs w:val="22"/>
          <w:lang w:val="en-GB"/>
        </w:rPr>
        <w:t xml:space="preserve">contributing </w:t>
      </w:r>
      <w:r w:rsidR="008F6FAE" w:rsidRPr="003C1CCC">
        <w:rPr>
          <w:rFonts w:asciiTheme="minorBidi" w:hAnsiTheme="minorBidi" w:cstheme="minorBidi"/>
          <w:szCs w:val="22"/>
          <w:lang w:val="en-GB"/>
        </w:rPr>
        <w:t xml:space="preserve">to </w:t>
      </w:r>
      <w:r w:rsidR="00E71124" w:rsidRPr="00BE46BC">
        <w:rPr>
          <w:rFonts w:asciiTheme="minorBidi" w:hAnsiTheme="minorBidi" w:cstheme="minorBidi"/>
          <w:szCs w:val="22"/>
          <w:lang w:val="en-GB"/>
        </w:rPr>
        <w:t>SDG 4 for quality education</w:t>
      </w:r>
      <w:r w:rsidR="00E71124">
        <w:rPr>
          <w:rFonts w:asciiTheme="minorBidi" w:hAnsiTheme="minorBidi" w:cstheme="minorBidi"/>
          <w:szCs w:val="22"/>
          <w:lang w:val="en-GB"/>
        </w:rPr>
        <w:t>.</w:t>
      </w:r>
    </w:p>
    <w:p w14:paraId="437DCECF" w14:textId="77777777" w:rsidR="00CA3AC4" w:rsidRPr="003C1CCC" w:rsidRDefault="00CA3AC4" w:rsidP="002E223C">
      <w:pPr>
        <w:pStyle w:val="Paragraphedeliste"/>
        <w:keepNext/>
        <w:numPr>
          <w:ilvl w:val="0"/>
          <w:numId w:val="18"/>
        </w:numPr>
        <w:tabs>
          <w:tab w:val="num" w:pos="567"/>
        </w:tabs>
        <w:spacing w:before="240" w:after="120"/>
        <w:ind w:left="562" w:hanging="562"/>
        <w:contextualSpacing w:val="0"/>
        <w:rPr>
          <w:rFonts w:ascii="Arial" w:hAnsi="Arial" w:cs="Arial"/>
          <w:b/>
          <w:sz w:val="22"/>
          <w:szCs w:val="22"/>
          <w:lang w:val="en-GB"/>
        </w:rPr>
      </w:pPr>
      <w:r w:rsidRPr="003C1CCC">
        <w:rPr>
          <w:rFonts w:ascii="Arial" w:hAnsi="Arial" w:cs="Arial"/>
          <w:b/>
          <w:sz w:val="22"/>
          <w:szCs w:val="22"/>
          <w:lang w:val="en-GB"/>
        </w:rPr>
        <w:t>Raising awareness and outreach</w:t>
      </w:r>
    </w:p>
    <w:p w14:paraId="14947494" w14:textId="36EBE69F" w:rsidR="00F64EEC" w:rsidRPr="003C1CCC" w:rsidRDefault="006B7D69" w:rsidP="00CA3AC4">
      <w:pPr>
        <w:pStyle w:val="Marge"/>
        <w:numPr>
          <w:ilvl w:val="0"/>
          <w:numId w:val="16"/>
        </w:numPr>
        <w:tabs>
          <w:tab w:val="clear" w:pos="502"/>
          <w:tab w:val="num" w:pos="567"/>
        </w:tabs>
        <w:spacing w:after="120"/>
        <w:ind w:left="567" w:hanging="567"/>
        <w:rPr>
          <w:rFonts w:cs="Arial"/>
          <w:szCs w:val="22"/>
          <w:lang w:val="en-GB"/>
        </w:rPr>
      </w:pPr>
      <w:r w:rsidRPr="003C1CCC">
        <w:rPr>
          <w:rFonts w:cs="Arial"/>
          <w:szCs w:val="22"/>
          <w:lang w:val="en-GB"/>
        </w:rPr>
        <w:t>Raising awareness o</w:t>
      </w:r>
      <w:r w:rsidR="009F407C">
        <w:rPr>
          <w:rFonts w:cs="Arial"/>
          <w:szCs w:val="22"/>
          <w:lang w:val="en-GB"/>
        </w:rPr>
        <w:t>n</w:t>
      </w:r>
      <w:r w:rsidRPr="003C1CCC">
        <w:rPr>
          <w:rFonts w:cs="Arial"/>
          <w:szCs w:val="22"/>
          <w:lang w:val="en-GB"/>
        </w:rPr>
        <w:t xml:space="preserve"> the importance of intangible cultural heritage </w:t>
      </w:r>
      <w:r w:rsidR="00FD440C" w:rsidRPr="003C1CCC">
        <w:rPr>
          <w:rFonts w:cs="Arial"/>
          <w:szCs w:val="22"/>
          <w:lang w:val="en-GB"/>
        </w:rPr>
        <w:t>and p</w:t>
      </w:r>
      <w:r w:rsidR="00CA3AC4" w:rsidRPr="003C1CCC">
        <w:rPr>
          <w:rFonts w:cs="Arial"/>
          <w:szCs w:val="22"/>
          <w:lang w:val="en-GB"/>
        </w:rPr>
        <w:t xml:space="preserve">romoting the objectives of the Convention </w:t>
      </w:r>
      <w:r w:rsidR="00D96682" w:rsidRPr="003C1CCC">
        <w:rPr>
          <w:rFonts w:cs="Arial"/>
          <w:szCs w:val="22"/>
          <w:lang w:val="en-GB"/>
        </w:rPr>
        <w:t>are</w:t>
      </w:r>
      <w:r w:rsidR="00FD440C" w:rsidRPr="003C1CCC">
        <w:rPr>
          <w:rFonts w:cs="Arial"/>
          <w:szCs w:val="22"/>
          <w:lang w:val="en-GB"/>
        </w:rPr>
        <w:t xml:space="preserve"> </w:t>
      </w:r>
      <w:r w:rsidR="00F64EEC" w:rsidRPr="003C1CCC">
        <w:rPr>
          <w:rFonts w:cs="Arial"/>
          <w:szCs w:val="22"/>
          <w:lang w:val="en-GB"/>
        </w:rPr>
        <w:t xml:space="preserve">considered </w:t>
      </w:r>
      <w:r w:rsidR="00CA3AC4" w:rsidRPr="003C1CCC">
        <w:rPr>
          <w:rFonts w:cs="Arial"/>
          <w:szCs w:val="22"/>
          <w:lang w:val="en-GB"/>
        </w:rPr>
        <w:t>safeguarding action</w:t>
      </w:r>
      <w:r w:rsidR="003C1CCC" w:rsidRPr="003C1CCC">
        <w:rPr>
          <w:rFonts w:cs="Arial"/>
          <w:szCs w:val="22"/>
          <w:lang w:val="en-GB"/>
        </w:rPr>
        <w:t>s</w:t>
      </w:r>
      <w:r w:rsidR="00CA3AC4" w:rsidRPr="003C1CCC">
        <w:rPr>
          <w:rFonts w:cs="Arial"/>
          <w:szCs w:val="22"/>
          <w:lang w:val="en-GB"/>
        </w:rPr>
        <w:t xml:space="preserve"> in</w:t>
      </w:r>
      <w:r w:rsidR="003C1CCC" w:rsidRPr="003C1CCC">
        <w:rPr>
          <w:rFonts w:cs="Arial"/>
          <w:szCs w:val="22"/>
          <w:lang w:val="en-GB"/>
        </w:rPr>
        <w:t xml:space="preserve"> and of themselves</w:t>
      </w:r>
      <w:r w:rsidR="00CA3AC4" w:rsidRPr="003C1CCC">
        <w:rPr>
          <w:rFonts w:cs="Arial"/>
          <w:szCs w:val="22"/>
          <w:lang w:val="en-GB"/>
        </w:rPr>
        <w:t xml:space="preserve">, as defined in Article 2.3 of the Convention. </w:t>
      </w:r>
      <w:r w:rsidR="00F64EEC" w:rsidRPr="003C1CCC">
        <w:rPr>
          <w:rFonts w:cs="Arial"/>
          <w:szCs w:val="22"/>
          <w:lang w:val="en-GB"/>
        </w:rPr>
        <w:t>A total sum of US$4</w:t>
      </w:r>
      <w:r w:rsidR="001436C1" w:rsidRPr="003C1CCC">
        <w:rPr>
          <w:rFonts w:cs="Arial"/>
          <w:szCs w:val="22"/>
          <w:lang w:val="en-GB"/>
        </w:rPr>
        <w:t>2</w:t>
      </w:r>
      <w:r w:rsidR="00F64EEC" w:rsidRPr="003C1CCC">
        <w:rPr>
          <w:rFonts w:cs="Arial"/>
          <w:szCs w:val="22"/>
          <w:lang w:val="en-GB"/>
        </w:rPr>
        <w:t>3,</w:t>
      </w:r>
      <w:r w:rsidR="001436C1" w:rsidRPr="003C1CCC">
        <w:rPr>
          <w:rFonts w:cs="Arial"/>
          <w:szCs w:val="22"/>
          <w:lang w:val="en-GB"/>
        </w:rPr>
        <w:t>381</w:t>
      </w:r>
      <w:r w:rsidR="00F64EEC" w:rsidRPr="003C1CCC">
        <w:rPr>
          <w:rFonts w:cs="Arial"/>
          <w:szCs w:val="22"/>
          <w:lang w:val="en-GB"/>
        </w:rPr>
        <w:t xml:space="preserve"> </w:t>
      </w:r>
      <w:r w:rsidR="00D96682" w:rsidRPr="003C1CCC">
        <w:rPr>
          <w:rFonts w:cs="Arial"/>
          <w:szCs w:val="22"/>
          <w:lang w:val="en-GB"/>
        </w:rPr>
        <w:t xml:space="preserve">– i.e., 27 per cent of the line ‘other functions of the Committee’ – </w:t>
      </w:r>
      <w:r w:rsidR="00F64EEC" w:rsidRPr="003C1CCC">
        <w:rPr>
          <w:rFonts w:cs="Arial"/>
          <w:szCs w:val="22"/>
          <w:lang w:val="en-GB"/>
        </w:rPr>
        <w:t xml:space="preserve">was allocated to support the Secretariat’s initiative in these areas </w:t>
      </w:r>
      <w:r w:rsidR="00D96682" w:rsidRPr="003C1CCC">
        <w:rPr>
          <w:rFonts w:cs="Arial"/>
          <w:szCs w:val="22"/>
          <w:lang w:val="en-GB"/>
        </w:rPr>
        <w:t xml:space="preserve">of action </w:t>
      </w:r>
      <w:r w:rsidR="00F64EEC" w:rsidRPr="003C1CCC">
        <w:rPr>
          <w:rFonts w:cs="Arial"/>
          <w:szCs w:val="22"/>
          <w:lang w:val="en-GB"/>
        </w:rPr>
        <w:t>for the period 2020–2021.</w:t>
      </w:r>
    </w:p>
    <w:p w14:paraId="55731890" w14:textId="4E861E9C" w:rsidR="00280601" w:rsidRPr="003C1CCC" w:rsidRDefault="003615DD" w:rsidP="000C3849">
      <w:pPr>
        <w:pStyle w:val="Paragraphedeliste"/>
        <w:numPr>
          <w:ilvl w:val="0"/>
          <w:numId w:val="16"/>
        </w:numPr>
        <w:tabs>
          <w:tab w:val="clear" w:pos="502"/>
          <w:tab w:val="num" w:pos="567"/>
        </w:tabs>
        <w:spacing w:after="120"/>
        <w:ind w:left="567" w:hanging="567"/>
        <w:contextualSpacing w:val="0"/>
        <w:jc w:val="both"/>
        <w:rPr>
          <w:rFonts w:asciiTheme="minorBidi" w:hAnsiTheme="minorBidi" w:cstheme="minorBidi"/>
          <w:szCs w:val="22"/>
          <w:lang w:val="en-GB"/>
        </w:rPr>
      </w:pPr>
      <w:r w:rsidRPr="003C1CCC">
        <w:rPr>
          <w:rFonts w:asciiTheme="minorBidi" w:hAnsiTheme="minorBidi" w:cstheme="minorBidi"/>
          <w:snapToGrid w:val="0"/>
          <w:sz w:val="22"/>
          <w:szCs w:val="22"/>
          <w:lang w:val="en-GB" w:eastAsia="en-US"/>
        </w:rPr>
        <w:t>The interactive online tool ‘</w:t>
      </w:r>
      <w:hyperlink r:id="rId18" w:history="1">
        <w:r w:rsidRPr="003C1CCC">
          <w:rPr>
            <w:rStyle w:val="Lienhypertexte"/>
            <w:rFonts w:asciiTheme="minorBidi" w:hAnsiTheme="minorBidi" w:cstheme="minorBidi"/>
            <w:sz w:val="22"/>
            <w:szCs w:val="22"/>
            <w:lang w:val="en-GB"/>
          </w:rPr>
          <w:t>Dive into intangible cultural heritage</w:t>
        </w:r>
      </w:hyperlink>
      <w:r w:rsidRPr="003C1CCC">
        <w:rPr>
          <w:rFonts w:asciiTheme="minorBidi" w:hAnsiTheme="minorBidi" w:cstheme="minorBidi"/>
          <w:snapToGrid w:val="0"/>
          <w:sz w:val="22"/>
          <w:szCs w:val="22"/>
          <w:lang w:val="en-GB" w:eastAsia="en-US"/>
        </w:rPr>
        <w:t xml:space="preserve">’ </w:t>
      </w:r>
      <w:r w:rsidR="008C4F21" w:rsidRPr="003C1CCC">
        <w:rPr>
          <w:rFonts w:asciiTheme="minorBidi" w:hAnsiTheme="minorBidi" w:cstheme="minorBidi"/>
          <w:snapToGrid w:val="0"/>
          <w:sz w:val="22"/>
          <w:szCs w:val="22"/>
          <w:lang w:val="en-GB" w:eastAsia="en-US"/>
        </w:rPr>
        <w:t xml:space="preserve">developed in 2019 </w:t>
      </w:r>
      <w:r w:rsidR="004316EA" w:rsidRPr="003C1CCC">
        <w:rPr>
          <w:rFonts w:asciiTheme="minorBidi" w:hAnsiTheme="minorBidi" w:cstheme="minorBidi"/>
          <w:snapToGrid w:val="0"/>
          <w:sz w:val="22"/>
          <w:szCs w:val="22"/>
          <w:lang w:val="en-GB" w:eastAsia="en-US"/>
        </w:rPr>
        <w:t>was followed by</w:t>
      </w:r>
      <w:r w:rsidR="00280601" w:rsidRPr="003C1CCC">
        <w:rPr>
          <w:rFonts w:asciiTheme="minorBidi" w:hAnsiTheme="minorBidi" w:cstheme="minorBidi"/>
          <w:snapToGrid w:val="0"/>
          <w:sz w:val="22"/>
          <w:szCs w:val="22"/>
          <w:lang w:val="en-GB" w:eastAsia="en-US"/>
        </w:rPr>
        <w:t xml:space="preserve"> </w:t>
      </w:r>
      <w:r w:rsidR="008C4F21" w:rsidRPr="003C1CCC">
        <w:rPr>
          <w:rFonts w:asciiTheme="minorBidi" w:hAnsiTheme="minorBidi" w:cstheme="minorBidi"/>
          <w:snapToGrid w:val="0"/>
          <w:sz w:val="22"/>
          <w:szCs w:val="22"/>
          <w:lang w:val="en-GB" w:eastAsia="en-US"/>
        </w:rPr>
        <w:t xml:space="preserve">another tool </w:t>
      </w:r>
      <w:r w:rsidR="00280601" w:rsidRPr="003C1CCC">
        <w:rPr>
          <w:rFonts w:asciiTheme="minorBidi" w:hAnsiTheme="minorBidi" w:cstheme="minorBidi"/>
          <w:sz w:val="22"/>
          <w:szCs w:val="22"/>
          <w:lang w:val="en-GB"/>
        </w:rPr>
        <w:t>‘</w:t>
      </w:r>
      <w:hyperlink r:id="rId19" w:history="1">
        <w:r w:rsidR="00280601" w:rsidRPr="003C1CCC">
          <w:rPr>
            <w:rStyle w:val="Lienhypertexte"/>
            <w:rFonts w:asciiTheme="minorBidi" w:hAnsiTheme="minorBidi" w:cstheme="minorBidi"/>
            <w:sz w:val="22"/>
            <w:szCs w:val="22"/>
            <w:lang w:val="en-GB"/>
          </w:rPr>
          <w:t>Dive into Living Heritage and Sustainable Development</w:t>
        </w:r>
      </w:hyperlink>
      <w:r w:rsidR="00280601" w:rsidRPr="003C1CCC">
        <w:rPr>
          <w:rFonts w:asciiTheme="minorBidi" w:hAnsiTheme="minorBidi" w:cstheme="minorBidi"/>
          <w:sz w:val="22"/>
          <w:szCs w:val="22"/>
          <w:lang w:val="en-GB"/>
        </w:rPr>
        <w:t>’</w:t>
      </w:r>
      <w:r w:rsidR="00C51DED">
        <w:rPr>
          <w:rFonts w:asciiTheme="minorBidi" w:hAnsiTheme="minorBidi" w:cstheme="minorBidi"/>
          <w:sz w:val="22"/>
          <w:szCs w:val="22"/>
          <w:lang w:val="en-GB"/>
        </w:rPr>
        <w:t>,</w:t>
      </w:r>
      <w:r w:rsidR="00280601" w:rsidRPr="003C1CCC">
        <w:rPr>
          <w:rFonts w:asciiTheme="minorBidi" w:hAnsiTheme="minorBidi" w:cstheme="minorBidi"/>
          <w:sz w:val="22"/>
          <w:szCs w:val="22"/>
          <w:lang w:val="en-GB"/>
        </w:rPr>
        <w:t xml:space="preserve"> </w:t>
      </w:r>
      <w:r w:rsidR="004316EA" w:rsidRPr="003C1CCC">
        <w:rPr>
          <w:rFonts w:asciiTheme="minorBidi" w:hAnsiTheme="minorBidi" w:cstheme="minorBidi"/>
          <w:snapToGrid w:val="0"/>
          <w:sz w:val="22"/>
          <w:szCs w:val="22"/>
          <w:lang w:val="en-GB" w:eastAsia="en-US"/>
        </w:rPr>
        <w:t>as</w:t>
      </w:r>
      <w:r w:rsidRPr="003C1CCC">
        <w:rPr>
          <w:rFonts w:asciiTheme="minorBidi" w:hAnsiTheme="minorBidi" w:cstheme="minorBidi"/>
          <w:snapToGrid w:val="0"/>
          <w:sz w:val="22"/>
          <w:szCs w:val="22"/>
          <w:lang w:val="en-GB" w:eastAsia="en-US"/>
        </w:rPr>
        <w:t xml:space="preserve"> </w:t>
      </w:r>
      <w:r w:rsidR="00A87D3A" w:rsidRPr="003C1CCC">
        <w:rPr>
          <w:rFonts w:asciiTheme="minorBidi" w:hAnsiTheme="minorBidi" w:cstheme="minorBidi"/>
          <w:snapToGrid w:val="0"/>
          <w:sz w:val="22"/>
          <w:szCs w:val="22"/>
          <w:lang w:val="en-GB" w:eastAsia="en-US"/>
        </w:rPr>
        <w:t>presented to</w:t>
      </w:r>
      <w:r w:rsidR="00C237A4" w:rsidRPr="003C1CCC">
        <w:rPr>
          <w:rFonts w:asciiTheme="minorBidi" w:hAnsiTheme="minorBidi" w:cstheme="minorBidi"/>
          <w:snapToGrid w:val="0"/>
          <w:sz w:val="22"/>
          <w:szCs w:val="22"/>
          <w:lang w:val="en-GB" w:eastAsia="en-US"/>
        </w:rPr>
        <w:t xml:space="preserve"> the </w:t>
      </w:r>
      <w:r w:rsidR="00A87D3A" w:rsidRPr="003C1CCC">
        <w:rPr>
          <w:rFonts w:asciiTheme="minorBidi" w:hAnsiTheme="minorBidi" w:cstheme="minorBidi"/>
          <w:snapToGrid w:val="0"/>
          <w:sz w:val="22"/>
          <w:szCs w:val="22"/>
          <w:lang w:val="en-GB" w:eastAsia="en-US"/>
        </w:rPr>
        <w:t xml:space="preserve">Committee at </w:t>
      </w:r>
      <w:r w:rsidR="00A87D3A" w:rsidRPr="003C1CCC">
        <w:rPr>
          <w:rFonts w:ascii="Arial" w:hAnsi="Arial" w:cs="Arial"/>
          <w:snapToGrid w:val="0"/>
          <w:sz w:val="22"/>
          <w:szCs w:val="22"/>
          <w:lang w:val="en-GB" w:eastAsia="en-US"/>
        </w:rPr>
        <w:t xml:space="preserve">its </w:t>
      </w:r>
      <w:r w:rsidR="00C237A4" w:rsidRPr="003C1CCC">
        <w:rPr>
          <w:rFonts w:ascii="Arial" w:hAnsi="Arial" w:cs="Arial"/>
          <w:snapToGrid w:val="0"/>
          <w:sz w:val="22"/>
          <w:szCs w:val="22"/>
          <w:lang w:val="en-GB" w:eastAsia="en-US"/>
        </w:rPr>
        <w:t xml:space="preserve">fifteenth session in December 2020. </w:t>
      </w:r>
      <w:r w:rsidR="00F57119" w:rsidRPr="003C1CCC">
        <w:rPr>
          <w:rFonts w:ascii="Arial" w:hAnsi="Arial" w:cs="Arial"/>
          <w:snapToGrid w:val="0"/>
          <w:sz w:val="22"/>
          <w:szCs w:val="22"/>
          <w:lang w:val="en-GB" w:eastAsia="en-US"/>
        </w:rPr>
        <w:t xml:space="preserve">It </w:t>
      </w:r>
      <w:r w:rsidR="004316EA" w:rsidRPr="003C1CCC">
        <w:rPr>
          <w:rFonts w:ascii="Arial" w:hAnsi="Arial" w:cs="Arial"/>
          <w:sz w:val="22"/>
          <w:szCs w:val="22"/>
          <w:lang w:val="en-GB"/>
        </w:rPr>
        <w:t xml:space="preserve">demonstrates the wide-ranging ways in which expressions and practices of living heritage and their safeguarding contribute to the seventeen Sustainable Development Goals in the framework of the 2030 Agenda. Each of the </w:t>
      </w:r>
      <w:r w:rsidR="00067DDA">
        <w:rPr>
          <w:rFonts w:ascii="Arial" w:hAnsi="Arial" w:cs="Arial"/>
          <w:sz w:val="22"/>
          <w:szCs w:val="22"/>
          <w:lang w:val="en-GB"/>
        </w:rPr>
        <w:t>inscribed</w:t>
      </w:r>
      <w:r w:rsidR="00067DDA" w:rsidRPr="003C1CCC">
        <w:rPr>
          <w:rFonts w:ascii="Arial" w:hAnsi="Arial" w:cs="Arial"/>
          <w:sz w:val="22"/>
          <w:szCs w:val="22"/>
          <w:lang w:val="en-GB"/>
        </w:rPr>
        <w:t xml:space="preserve"> </w:t>
      </w:r>
      <w:r w:rsidR="004316EA" w:rsidRPr="003C1CCC">
        <w:rPr>
          <w:rFonts w:ascii="Arial" w:hAnsi="Arial" w:cs="Arial"/>
          <w:sz w:val="22"/>
          <w:szCs w:val="22"/>
          <w:lang w:val="en-GB"/>
        </w:rPr>
        <w:t xml:space="preserve">elements </w:t>
      </w:r>
      <w:r w:rsidR="00DF2C23">
        <w:rPr>
          <w:rFonts w:ascii="Arial" w:hAnsi="Arial" w:cs="Arial"/>
          <w:sz w:val="22"/>
          <w:szCs w:val="22"/>
          <w:lang w:val="en-GB"/>
        </w:rPr>
        <w:t>a</w:t>
      </w:r>
      <w:r w:rsidR="00DF2C23" w:rsidRPr="003C1CCC">
        <w:rPr>
          <w:rFonts w:ascii="Arial" w:hAnsi="Arial" w:cs="Arial"/>
          <w:sz w:val="22"/>
          <w:szCs w:val="22"/>
          <w:lang w:val="en-GB"/>
        </w:rPr>
        <w:t xml:space="preserve">re </w:t>
      </w:r>
      <w:r w:rsidR="004316EA" w:rsidRPr="003C1CCC">
        <w:rPr>
          <w:rFonts w:ascii="Arial" w:hAnsi="Arial" w:cs="Arial"/>
          <w:sz w:val="22"/>
          <w:szCs w:val="22"/>
          <w:lang w:val="en-GB"/>
        </w:rPr>
        <w:t>analy</w:t>
      </w:r>
      <w:r w:rsidR="003C1CCC">
        <w:rPr>
          <w:rFonts w:ascii="Arial" w:hAnsi="Arial" w:cs="Arial"/>
          <w:sz w:val="22"/>
          <w:szCs w:val="22"/>
          <w:lang w:val="en-GB"/>
        </w:rPr>
        <w:t>s</w:t>
      </w:r>
      <w:r w:rsidR="004316EA" w:rsidRPr="003C1CCC">
        <w:rPr>
          <w:rFonts w:ascii="Arial" w:hAnsi="Arial" w:cs="Arial"/>
          <w:sz w:val="22"/>
          <w:szCs w:val="22"/>
          <w:lang w:val="en-GB"/>
        </w:rPr>
        <w:t>ed – through concepts (e.g. dance, trees, pottery) or countries – to provide a panoramic visualization indicating to which goals they are linked.</w:t>
      </w:r>
    </w:p>
    <w:p w14:paraId="2F24AE3E" w14:textId="246347FD" w:rsidR="00AB679A" w:rsidRPr="003C1CCC" w:rsidRDefault="00A11BA0" w:rsidP="000C3849">
      <w:pPr>
        <w:pStyle w:val="Marge"/>
        <w:numPr>
          <w:ilvl w:val="0"/>
          <w:numId w:val="16"/>
        </w:numPr>
        <w:tabs>
          <w:tab w:val="clear" w:pos="502"/>
          <w:tab w:val="num" w:pos="567"/>
        </w:tabs>
        <w:spacing w:after="120"/>
        <w:ind w:left="567" w:hanging="567"/>
        <w:rPr>
          <w:rFonts w:asciiTheme="minorBidi" w:hAnsiTheme="minorBidi" w:cstheme="minorBidi"/>
          <w:lang w:val="en-GB"/>
        </w:rPr>
      </w:pPr>
      <w:r w:rsidRPr="003C1CCC">
        <w:rPr>
          <w:rStyle w:val="hps"/>
          <w:rFonts w:cs="Arial"/>
          <w:szCs w:val="22"/>
          <w:lang w:val="en-GB"/>
        </w:rPr>
        <w:t>T</w:t>
      </w:r>
      <w:r w:rsidR="00AB679A" w:rsidRPr="003C1CCC">
        <w:rPr>
          <w:rStyle w:val="hps"/>
          <w:rFonts w:cs="Arial"/>
          <w:szCs w:val="22"/>
          <w:lang w:val="en-GB"/>
        </w:rPr>
        <w:t xml:space="preserve">he </w:t>
      </w:r>
      <w:r w:rsidR="00AB679A" w:rsidRPr="003C1CCC">
        <w:rPr>
          <w:rFonts w:cs="Arial"/>
          <w:szCs w:val="22"/>
          <w:shd w:val="clear" w:color="auto" w:fill="FFFFFF"/>
          <w:lang w:val="en-GB"/>
        </w:rPr>
        <w:t xml:space="preserve">reflection process on the advisory functions to be performed by accredited </w:t>
      </w:r>
      <w:r w:rsidR="00035FAA" w:rsidRPr="003C1CCC">
        <w:rPr>
          <w:rFonts w:cs="Arial"/>
          <w:szCs w:val="22"/>
          <w:shd w:val="clear" w:color="auto" w:fill="FFFFFF"/>
          <w:lang w:val="en-GB"/>
        </w:rPr>
        <w:t>NGOs</w:t>
      </w:r>
      <w:r w:rsidR="00AB679A" w:rsidRPr="003C1CCC">
        <w:rPr>
          <w:rFonts w:cs="Arial"/>
          <w:szCs w:val="22"/>
          <w:shd w:val="clear" w:color="auto" w:fill="FFFFFF"/>
          <w:lang w:val="en-GB"/>
        </w:rPr>
        <w:t>,</w:t>
      </w:r>
      <w:r w:rsidR="00C15B54" w:rsidRPr="003C1CCC">
        <w:rPr>
          <w:rFonts w:cs="Arial"/>
          <w:szCs w:val="22"/>
          <w:shd w:val="clear" w:color="auto" w:fill="FFFFFF"/>
          <w:lang w:val="en-GB"/>
        </w:rPr>
        <w:t xml:space="preserve"> which </w:t>
      </w:r>
      <w:r w:rsidRPr="003C1CCC">
        <w:rPr>
          <w:rFonts w:cs="Arial"/>
          <w:szCs w:val="22"/>
          <w:shd w:val="clear" w:color="auto" w:fill="FFFFFF"/>
          <w:lang w:val="en-GB"/>
        </w:rPr>
        <w:t xml:space="preserve">has been </w:t>
      </w:r>
      <w:r w:rsidR="00C15B54" w:rsidRPr="003C1CCC">
        <w:rPr>
          <w:rFonts w:cs="Arial"/>
          <w:szCs w:val="22"/>
          <w:shd w:val="clear" w:color="auto" w:fill="FFFFFF"/>
          <w:lang w:val="en-GB"/>
        </w:rPr>
        <w:t>collectively undertaken</w:t>
      </w:r>
      <w:r w:rsidR="00C76C60" w:rsidRPr="003C1CCC">
        <w:rPr>
          <w:rFonts w:cs="Arial"/>
          <w:szCs w:val="22"/>
          <w:shd w:val="clear" w:color="auto" w:fill="FFFFFF"/>
          <w:lang w:val="en-GB"/>
        </w:rPr>
        <w:t xml:space="preserve"> </w:t>
      </w:r>
      <w:r w:rsidR="00C15B54" w:rsidRPr="003C1CCC">
        <w:rPr>
          <w:rFonts w:cs="Arial"/>
          <w:szCs w:val="22"/>
          <w:shd w:val="clear" w:color="auto" w:fill="FFFFFF"/>
          <w:lang w:val="en-GB"/>
        </w:rPr>
        <w:t xml:space="preserve">in collaboration with the </w:t>
      </w:r>
      <w:r w:rsidR="00C15B54" w:rsidRPr="003C1CCC">
        <w:rPr>
          <w:rFonts w:cs="Arial"/>
          <w:szCs w:val="22"/>
          <w:lang w:val="en-GB"/>
        </w:rPr>
        <w:t xml:space="preserve">accredited </w:t>
      </w:r>
      <w:r w:rsidR="00035FAA" w:rsidRPr="003C1CCC">
        <w:rPr>
          <w:rFonts w:cs="Arial"/>
          <w:szCs w:val="22"/>
          <w:lang w:val="en-GB"/>
        </w:rPr>
        <w:t>NGOs</w:t>
      </w:r>
      <w:r w:rsidR="00C15B54" w:rsidRPr="003C1CCC">
        <w:rPr>
          <w:rFonts w:cs="Arial"/>
          <w:szCs w:val="22"/>
          <w:lang w:val="en-GB"/>
        </w:rPr>
        <w:t>, the ICH NGO Forum, the informal ad hoc open-ended working group</w:t>
      </w:r>
      <w:r w:rsidR="00035FAA" w:rsidRPr="003C1CCC">
        <w:rPr>
          <w:rFonts w:cs="Arial"/>
          <w:szCs w:val="22"/>
          <w:lang w:val="en-GB"/>
        </w:rPr>
        <w:t xml:space="preserve">, </w:t>
      </w:r>
      <w:r w:rsidR="00C15B54" w:rsidRPr="003C1CCC">
        <w:rPr>
          <w:rFonts w:cs="Arial"/>
          <w:szCs w:val="22"/>
          <w:lang w:val="en-GB"/>
        </w:rPr>
        <w:t>States Parties</w:t>
      </w:r>
      <w:r w:rsidR="00660CD8" w:rsidRPr="003C1CCC">
        <w:rPr>
          <w:rFonts w:cs="Arial"/>
          <w:szCs w:val="22"/>
          <w:lang w:val="en-GB"/>
        </w:rPr>
        <w:t xml:space="preserve"> and the Secretariat, </w:t>
      </w:r>
      <w:r w:rsidR="00211CF7" w:rsidRPr="003C1CCC">
        <w:rPr>
          <w:rFonts w:cs="Arial"/>
          <w:szCs w:val="22"/>
          <w:lang w:val="en-GB"/>
        </w:rPr>
        <w:t xml:space="preserve">continued </w:t>
      </w:r>
      <w:r w:rsidRPr="003C1CCC">
        <w:rPr>
          <w:rFonts w:cs="Arial"/>
          <w:szCs w:val="22"/>
          <w:lang w:val="en-GB"/>
        </w:rPr>
        <w:t xml:space="preserve">in this reporting period. </w:t>
      </w:r>
      <w:r w:rsidR="004A4AA4" w:rsidRPr="003C1CCC">
        <w:rPr>
          <w:rFonts w:cs="Arial"/>
          <w:szCs w:val="22"/>
          <w:lang w:val="en-GB"/>
        </w:rPr>
        <w:t>Following the decision of the fourteenth session of t</w:t>
      </w:r>
      <w:r w:rsidR="00660CD8" w:rsidRPr="003C1CCC">
        <w:rPr>
          <w:rFonts w:cs="Arial"/>
          <w:szCs w:val="22"/>
          <w:lang w:val="en-GB"/>
        </w:rPr>
        <w:t>he Committee</w:t>
      </w:r>
      <w:r w:rsidR="004A4AA4" w:rsidRPr="003C1CCC">
        <w:rPr>
          <w:rFonts w:cs="Arial"/>
          <w:szCs w:val="22"/>
          <w:lang w:val="en-GB"/>
        </w:rPr>
        <w:t xml:space="preserve"> </w:t>
      </w:r>
      <w:r w:rsidR="004A4AA4" w:rsidRPr="007B430A">
        <w:rPr>
          <w:rFonts w:cs="Arial"/>
          <w:szCs w:val="22"/>
          <w:lang w:val="en-GB"/>
        </w:rPr>
        <w:t>(</w:t>
      </w:r>
      <w:r w:rsidR="007B430A" w:rsidRPr="007B430A">
        <w:rPr>
          <w:rFonts w:cs="Arial"/>
          <w:szCs w:val="22"/>
          <w:lang w:val="en-GB"/>
        </w:rPr>
        <w:t>Decision</w:t>
      </w:r>
      <w:r w:rsidR="007B430A" w:rsidRPr="007B430A">
        <w:rPr>
          <w:rFonts w:cs="Arial"/>
          <w:color w:val="414042"/>
          <w:szCs w:val="22"/>
          <w:lang w:val="en-GB"/>
        </w:rPr>
        <w:t xml:space="preserve"> </w:t>
      </w:r>
      <w:hyperlink r:id="rId20" w:history="1">
        <w:r w:rsidR="007B430A">
          <w:rPr>
            <w:rStyle w:val="Lienhypertexte"/>
            <w:rFonts w:asciiTheme="minorBidi" w:hAnsiTheme="minorBidi" w:cstheme="minorBidi"/>
            <w:szCs w:val="22"/>
            <w:lang w:val="en-GB"/>
          </w:rPr>
          <w:t>14.COM 15</w:t>
        </w:r>
      </w:hyperlink>
      <w:r w:rsidR="004A4AA4" w:rsidRPr="003C1CCC">
        <w:rPr>
          <w:rFonts w:cs="Arial"/>
          <w:szCs w:val="22"/>
          <w:lang w:val="en-GB"/>
        </w:rPr>
        <w:t>)</w:t>
      </w:r>
      <w:r w:rsidRPr="003C1CCC">
        <w:rPr>
          <w:rFonts w:cs="Arial"/>
          <w:szCs w:val="22"/>
          <w:lang w:val="en-GB"/>
        </w:rPr>
        <w:t xml:space="preserve">, </w:t>
      </w:r>
      <w:r w:rsidR="004A4AA4" w:rsidRPr="003C1CCC">
        <w:rPr>
          <w:rFonts w:cs="Arial"/>
          <w:szCs w:val="22"/>
          <w:lang w:val="en-GB"/>
        </w:rPr>
        <w:t xml:space="preserve">the fifteenth session of the Committee examined </w:t>
      </w:r>
      <w:r w:rsidR="00660CD8" w:rsidRPr="003C1CCC">
        <w:rPr>
          <w:rFonts w:cs="Arial"/>
          <w:szCs w:val="22"/>
          <w:lang w:val="en-GB"/>
        </w:rPr>
        <w:t xml:space="preserve">on an experimental basis the </w:t>
      </w:r>
      <w:r w:rsidR="00C15B54" w:rsidRPr="003C1CCC">
        <w:rPr>
          <w:rFonts w:cs="Arial"/>
          <w:szCs w:val="22"/>
          <w:lang w:val="en-GB"/>
        </w:rPr>
        <w:t>‘Report of the Non-Governmental Organizations Forum’</w:t>
      </w:r>
      <w:r w:rsidR="00C76C60" w:rsidRPr="003C1CCC">
        <w:rPr>
          <w:rFonts w:cs="Arial"/>
          <w:szCs w:val="22"/>
          <w:lang w:val="en-GB"/>
        </w:rPr>
        <w:t xml:space="preserve"> </w:t>
      </w:r>
      <w:r w:rsidR="004A4AA4" w:rsidRPr="003C1CCC">
        <w:rPr>
          <w:rFonts w:cs="Arial"/>
          <w:szCs w:val="22"/>
          <w:lang w:val="en-GB"/>
        </w:rPr>
        <w:t>under a stand-alone item (</w:t>
      </w:r>
      <w:r w:rsidR="002E223C" w:rsidRPr="002E223C">
        <w:rPr>
          <w:rFonts w:cs="Arial"/>
          <w:szCs w:val="22"/>
          <w:lang w:val="en-GB"/>
        </w:rPr>
        <w:t xml:space="preserve">Decision </w:t>
      </w:r>
      <w:hyperlink r:id="rId21" w:history="1">
        <w:r w:rsidR="002E223C">
          <w:rPr>
            <w:rStyle w:val="Lienhypertexte"/>
            <w:rFonts w:cs="Arial"/>
            <w:szCs w:val="22"/>
            <w:lang w:val="en-GB"/>
          </w:rPr>
          <w:t>15.COM 6</w:t>
        </w:r>
      </w:hyperlink>
      <w:r w:rsidR="004A4AA4" w:rsidRPr="003C1CCC">
        <w:rPr>
          <w:rFonts w:cs="Arial"/>
          <w:szCs w:val="22"/>
          <w:lang w:val="en-GB"/>
        </w:rPr>
        <w:t>)</w:t>
      </w:r>
      <w:r w:rsidR="00E84717">
        <w:rPr>
          <w:rFonts w:cs="Arial"/>
          <w:szCs w:val="22"/>
          <w:lang w:val="en-GB"/>
        </w:rPr>
        <w:t>.</w:t>
      </w:r>
      <w:r w:rsidR="004A4AA4" w:rsidRPr="003C1CCC">
        <w:rPr>
          <w:rFonts w:cs="Arial"/>
          <w:szCs w:val="22"/>
          <w:lang w:val="en-GB"/>
        </w:rPr>
        <w:t xml:space="preserve"> </w:t>
      </w:r>
      <w:r w:rsidR="00E84717">
        <w:rPr>
          <w:rFonts w:cs="Arial"/>
          <w:szCs w:val="22"/>
          <w:lang w:val="en-GB"/>
        </w:rPr>
        <w:t>T</w:t>
      </w:r>
      <w:r w:rsidR="004A4AA4" w:rsidRPr="003C1CCC">
        <w:rPr>
          <w:rFonts w:cs="Arial"/>
          <w:szCs w:val="22"/>
          <w:lang w:val="en-GB"/>
        </w:rPr>
        <w:t xml:space="preserve">he same practice took place during the sixteenth session of the Committee </w:t>
      </w:r>
      <w:r w:rsidR="008465C6" w:rsidRPr="003C1CCC">
        <w:rPr>
          <w:rFonts w:cs="Arial"/>
          <w:szCs w:val="22"/>
          <w:lang w:val="en-GB"/>
        </w:rPr>
        <w:t>(</w:t>
      </w:r>
      <w:r w:rsidR="008465C6" w:rsidRPr="005F4C17">
        <w:rPr>
          <w:rFonts w:cs="Arial"/>
          <w:szCs w:val="22"/>
          <w:lang w:val="en-GB"/>
        </w:rPr>
        <w:t xml:space="preserve">Decision 16.COM </w:t>
      </w:r>
      <w:r w:rsidR="00A146AB" w:rsidRPr="005F4C17">
        <w:rPr>
          <w:rFonts w:cs="Arial"/>
          <w:szCs w:val="22"/>
          <w:lang w:val="en-GB"/>
        </w:rPr>
        <w:t>9</w:t>
      </w:r>
      <w:r w:rsidR="008465C6" w:rsidRPr="00D659E7">
        <w:rPr>
          <w:rFonts w:cs="Arial"/>
          <w:szCs w:val="22"/>
          <w:lang w:val="en-GB"/>
        </w:rPr>
        <w:t>).</w:t>
      </w:r>
    </w:p>
    <w:p w14:paraId="191239A5" w14:textId="77777777" w:rsidR="002D245C" w:rsidRPr="003C1CCC" w:rsidRDefault="00CA3AC4" w:rsidP="00A47C2B">
      <w:pPr>
        <w:keepNext/>
        <w:numPr>
          <w:ilvl w:val="0"/>
          <w:numId w:val="17"/>
        </w:numPr>
        <w:tabs>
          <w:tab w:val="num" w:pos="567"/>
        </w:tabs>
        <w:snapToGrid w:val="0"/>
        <w:spacing w:before="240" w:after="120"/>
        <w:ind w:left="567" w:hanging="567"/>
        <w:jc w:val="both"/>
        <w:rPr>
          <w:rFonts w:ascii="Arial" w:hAnsi="Arial" w:cs="Arial"/>
          <w:sz w:val="22"/>
          <w:szCs w:val="22"/>
          <w:lang w:val="en-GB"/>
        </w:rPr>
      </w:pPr>
      <w:r w:rsidRPr="003C1CCC">
        <w:rPr>
          <w:rFonts w:ascii="Arial" w:hAnsi="Arial" w:cs="Arial"/>
          <w:b/>
          <w:sz w:val="22"/>
          <w:szCs w:val="22"/>
          <w:lang w:val="en-GB"/>
        </w:rPr>
        <w:t>Preparation of a draft plan for the use of the resources of the Fund and increasing the resources of the Fund</w:t>
      </w:r>
      <w:r w:rsidRPr="003C1CCC">
        <w:rPr>
          <w:rFonts w:ascii="Arial" w:hAnsi="Arial" w:cs="Arial"/>
          <w:sz w:val="22"/>
          <w:szCs w:val="22"/>
          <w:lang w:val="en-GB"/>
        </w:rPr>
        <w:t xml:space="preserve"> (Articles 7[c] and 7[d])</w:t>
      </w:r>
    </w:p>
    <w:p w14:paraId="713BF9E7" w14:textId="6DF8422A" w:rsidR="002D245C" w:rsidRPr="003C1CCC" w:rsidRDefault="002D245C" w:rsidP="002D245C">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3C1CCC">
        <w:rPr>
          <w:rFonts w:asciiTheme="minorBidi" w:hAnsiTheme="minorBidi" w:cstheme="minorBidi"/>
          <w:szCs w:val="22"/>
          <w:lang w:val="en-GB"/>
        </w:rPr>
        <w:t>The Committee examined at its sixteenth session a draft plan for the use of the resources of the Fund for the period 1 January 2022 to 31 December 2023 and, on a provisional basis, the first semester of 2024 (</w:t>
      </w:r>
      <w:r w:rsidRPr="005F4C17">
        <w:rPr>
          <w:rFonts w:asciiTheme="minorBidi" w:hAnsiTheme="minorBidi" w:cstheme="minorBidi"/>
          <w:szCs w:val="22"/>
          <w:lang w:val="en-GB"/>
        </w:rPr>
        <w:t xml:space="preserve">Decision 16.COM </w:t>
      </w:r>
      <w:r w:rsidR="00073066" w:rsidRPr="005F4C17">
        <w:rPr>
          <w:rFonts w:asciiTheme="minorBidi" w:hAnsiTheme="minorBidi" w:cstheme="minorBidi"/>
          <w:szCs w:val="22"/>
          <w:lang w:val="en-GB"/>
        </w:rPr>
        <w:t>1</w:t>
      </w:r>
      <w:r w:rsidR="008C1466" w:rsidRPr="005F4C17">
        <w:rPr>
          <w:rFonts w:asciiTheme="minorBidi" w:hAnsiTheme="minorBidi" w:cstheme="minorBidi"/>
          <w:szCs w:val="22"/>
          <w:lang w:val="en-GB"/>
        </w:rPr>
        <w:t>3</w:t>
      </w:r>
      <w:r w:rsidRPr="003C1CCC">
        <w:rPr>
          <w:rFonts w:asciiTheme="minorBidi" w:hAnsiTheme="minorBidi" w:cstheme="minorBidi"/>
          <w:szCs w:val="22"/>
          <w:lang w:val="en-GB"/>
        </w:rPr>
        <w:t>). In line with the new approval procedure introduced by the Committee in 2019 for the ‘Other functions of the Committee’ (</w:t>
      </w:r>
      <w:r w:rsidR="002E223C" w:rsidRPr="002E223C">
        <w:rPr>
          <w:rFonts w:asciiTheme="minorBidi" w:hAnsiTheme="minorBidi" w:cstheme="minorBidi"/>
          <w:szCs w:val="22"/>
          <w:lang w:val="en-GB"/>
        </w:rPr>
        <w:t xml:space="preserve">Decision </w:t>
      </w:r>
      <w:hyperlink r:id="rId22" w:history="1">
        <w:r w:rsidR="002E223C">
          <w:rPr>
            <w:rStyle w:val="Lienhypertexte"/>
            <w:rFonts w:asciiTheme="minorBidi" w:hAnsiTheme="minorBidi" w:cstheme="minorBidi"/>
            <w:szCs w:val="22"/>
            <w:lang w:val="en-GB"/>
          </w:rPr>
          <w:t>14.COM 7</w:t>
        </w:r>
      </w:hyperlink>
      <w:r w:rsidRPr="00272420">
        <w:rPr>
          <w:rStyle w:val="Lienhypertexte"/>
          <w:rFonts w:asciiTheme="minorBidi" w:hAnsiTheme="minorBidi" w:cstheme="minorBidi"/>
          <w:color w:val="auto"/>
          <w:szCs w:val="22"/>
          <w:u w:val="none"/>
          <w:lang w:val="en-GB"/>
        </w:rPr>
        <w:t>)</w:t>
      </w:r>
      <w:r w:rsidRPr="00EC1A3F">
        <w:rPr>
          <w:rFonts w:asciiTheme="minorBidi" w:hAnsiTheme="minorBidi" w:cstheme="minorBidi"/>
          <w:szCs w:val="22"/>
          <w:lang w:val="en-GB"/>
        </w:rPr>
        <w:t>,</w:t>
      </w:r>
      <w:r w:rsidRPr="003C1CCC">
        <w:rPr>
          <w:rFonts w:asciiTheme="minorBidi" w:hAnsiTheme="minorBidi" w:cstheme="minorBidi"/>
          <w:szCs w:val="22"/>
          <w:lang w:val="en-GB"/>
        </w:rPr>
        <w:t xml:space="preserve"> the draft plan was presented with a percentage breakdown under budget line ‘Other functions of the Committee’, in terms of Expected Results as per the approved C/5, as the Bureau no longer has the delegated authority to approve the spending plan under this line from the 2020–2021 biennium and onwards. This draft plan will be submitted to the ninth session of the General Assembly in 2022 for its approval. The largest percentage continues to be dedicated to International Assistance. See document</w:t>
      </w:r>
      <w:r w:rsidRPr="003C1CCC">
        <w:rPr>
          <w:rFonts w:asciiTheme="minorBidi" w:hAnsiTheme="minorBidi" w:cstheme="minorBidi"/>
          <w:lang w:val="en-GB"/>
        </w:rPr>
        <w:t> </w:t>
      </w:r>
      <w:hyperlink r:id="rId23" w:history="1">
        <w:r w:rsidRPr="0059761D">
          <w:rPr>
            <w:rStyle w:val="Lienhypertexte"/>
            <w:rFonts w:asciiTheme="minorBidi" w:hAnsiTheme="minorBidi" w:cstheme="minorBidi"/>
            <w:lang w:val="en-GB"/>
          </w:rPr>
          <w:t>LHE/</w:t>
        </w:r>
        <w:r w:rsidRPr="0059761D">
          <w:rPr>
            <w:rStyle w:val="Lienhypertexte"/>
            <w:rFonts w:asciiTheme="minorBidi" w:hAnsiTheme="minorBidi" w:cstheme="minorBidi"/>
            <w:szCs w:val="22"/>
            <w:lang w:val="en-GB"/>
          </w:rPr>
          <w:t>2</w:t>
        </w:r>
        <w:r w:rsidRPr="0059761D">
          <w:rPr>
            <w:rStyle w:val="Lienhypertexte"/>
            <w:rFonts w:asciiTheme="minorBidi" w:hAnsiTheme="minorBidi" w:cstheme="minorBidi"/>
            <w:lang w:val="en-GB"/>
          </w:rPr>
          <w:t>1/1</w:t>
        </w:r>
        <w:r w:rsidRPr="0059761D">
          <w:rPr>
            <w:rStyle w:val="Lienhypertexte"/>
            <w:rFonts w:asciiTheme="minorBidi" w:hAnsiTheme="minorBidi" w:cstheme="minorBidi"/>
            <w:szCs w:val="22"/>
            <w:lang w:val="en-GB"/>
          </w:rPr>
          <w:t>6</w:t>
        </w:r>
        <w:r w:rsidRPr="0059761D">
          <w:rPr>
            <w:rStyle w:val="Lienhypertexte"/>
            <w:rFonts w:asciiTheme="minorBidi" w:hAnsiTheme="minorBidi" w:cstheme="minorBidi"/>
            <w:lang w:val="en-GB"/>
          </w:rPr>
          <w:t>.COM/</w:t>
        </w:r>
        <w:r w:rsidR="00EA3787" w:rsidRPr="0059761D">
          <w:rPr>
            <w:rStyle w:val="Lienhypertexte"/>
            <w:rFonts w:asciiTheme="minorBidi" w:hAnsiTheme="minorBidi" w:cstheme="minorBidi"/>
            <w:lang w:val="en-GB"/>
          </w:rPr>
          <w:t>1</w:t>
        </w:r>
        <w:r w:rsidR="008C1466" w:rsidRPr="0059761D">
          <w:rPr>
            <w:rStyle w:val="Lienhypertexte"/>
            <w:rFonts w:asciiTheme="minorBidi" w:hAnsiTheme="minorBidi" w:cstheme="minorBidi"/>
            <w:lang w:val="en-GB"/>
          </w:rPr>
          <w:t>3</w:t>
        </w:r>
      </w:hyperlink>
      <w:r w:rsidRPr="0059761D">
        <w:rPr>
          <w:rFonts w:asciiTheme="minorBidi" w:hAnsiTheme="minorBidi" w:cstheme="minorBidi"/>
          <w:szCs w:val="22"/>
          <w:lang w:val="en-GB"/>
        </w:rPr>
        <w:t xml:space="preserve"> for the</w:t>
      </w:r>
      <w:r w:rsidRPr="003C1CCC">
        <w:rPr>
          <w:rFonts w:asciiTheme="minorBidi" w:hAnsiTheme="minorBidi" w:cstheme="minorBidi"/>
          <w:szCs w:val="22"/>
          <w:lang w:val="en-GB"/>
        </w:rPr>
        <w:t xml:space="preserve"> detailed plan.</w:t>
      </w:r>
    </w:p>
    <w:p w14:paraId="1D08BE56" w14:textId="07B46F6D" w:rsidR="00CA3AC4" w:rsidRPr="00602194" w:rsidRDefault="00CA3AC4" w:rsidP="00A47C2B">
      <w:pPr>
        <w:pStyle w:val="Marge"/>
        <w:numPr>
          <w:ilvl w:val="0"/>
          <w:numId w:val="16"/>
        </w:numPr>
        <w:tabs>
          <w:tab w:val="clear" w:pos="502"/>
          <w:tab w:val="num" w:pos="567"/>
        </w:tabs>
        <w:spacing w:before="120" w:after="120"/>
        <w:ind w:left="567" w:hanging="567"/>
        <w:rPr>
          <w:rFonts w:asciiTheme="minorBidi" w:hAnsiTheme="minorBidi" w:cstheme="minorBidi"/>
          <w:szCs w:val="22"/>
          <w:lang w:val="en-GB"/>
        </w:rPr>
      </w:pPr>
      <w:r w:rsidRPr="003C1CCC">
        <w:rPr>
          <w:rFonts w:asciiTheme="minorBidi" w:hAnsiTheme="minorBidi" w:cstheme="minorBidi"/>
          <w:szCs w:val="22"/>
          <w:lang w:val="en-GB"/>
        </w:rPr>
        <w:t xml:space="preserve">During the reporting period, voluntary </w:t>
      </w:r>
      <w:r w:rsidR="00406A38" w:rsidRPr="003C1CCC">
        <w:rPr>
          <w:rFonts w:asciiTheme="minorBidi" w:hAnsiTheme="minorBidi" w:cstheme="minorBidi"/>
          <w:szCs w:val="22"/>
          <w:lang w:val="en-GB"/>
        </w:rPr>
        <w:t xml:space="preserve">supplementary </w:t>
      </w:r>
      <w:r w:rsidRPr="003C1CCC">
        <w:rPr>
          <w:rFonts w:asciiTheme="minorBidi" w:hAnsiTheme="minorBidi" w:cstheme="minorBidi"/>
          <w:szCs w:val="22"/>
          <w:lang w:val="en-GB"/>
        </w:rPr>
        <w:t xml:space="preserve">contributions </w:t>
      </w:r>
      <w:r w:rsidRPr="007B430A">
        <w:rPr>
          <w:rFonts w:asciiTheme="minorBidi" w:hAnsiTheme="minorBidi" w:cstheme="minorBidi"/>
          <w:szCs w:val="22"/>
          <w:lang w:val="en-GB"/>
        </w:rPr>
        <w:t xml:space="preserve">of </w:t>
      </w:r>
      <w:r w:rsidRPr="005F4C17">
        <w:rPr>
          <w:rFonts w:asciiTheme="minorBidi" w:hAnsiTheme="minorBidi" w:cstheme="minorBidi"/>
          <w:szCs w:val="22"/>
          <w:lang w:val="en-GB"/>
        </w:rPr>
        <w:t>US$</w:t>
      </w:r>
      <w:r w:rsidR="00E32B4B" w:rsidRPr="005F4C17">
        <w:rPr>
          <w:rFonts w:asciiTheme="minorBidi" w:hAnsiTheme="minorBidi" w:cstheme="minorBidi"/>
          <w:szCs w:val="22"/>
          <w:lang w:val="en-GB"/>
        </w:rPr>
        <w:t>716,445</w:t>
      </w:r>
      <w:r w:rsidR="00F8394B" w:rsidRPr="00D7556C">
        <w:rPr>
          <w:rFonts w:asciiTheme="minorBidi" w:hAnsiTheme="minorBidi" w:cstheme="minorBidi"/>
          <w:szCs w:val="22"/>
          <w:lang w:val="en-GB"/>
        </w:rPr>
        <w:t xml:space="preserve"> </w:t>
      </w:r>
      <w:r w:rsidRPr="00B353CF">
        <w:rPr>
          <w:rFonts w:asciiTheme="minorBidi" w:hAnsiTheme="minorBidi" w:cstheme="minorBidi"/>
          <w:szCs w:val="22"/>
          <w:lang w:val="en-GB"/>
        </w:rPr>
        <w:t>from</w:t>
      </w:r>
      <w:r w:rsidRPr="00CC51B7">
        <w:rPr>
          <w:rFonts w:asciiTheme="minorBidi" w:hAnsiTheme="minorBidi" w:cstheme="minorBidi"/>
          <w:szCs w:val="22"/>
          <w:lang w:val="en-GB"/>
        </w:rPr>
        <w:t xml:space="preserve"> </w:t>
      </w:r>
      <w:r w:rsidR="00E32B4B" w:rsidRPr="00D2474B">
        <w:rPr>
          <w:rFonts w:asciiTheme="minorBidi" w:hAnsiTheme="minorBidi" w:cstheme="minorBidi"/>
          <w:szCs w:val="22"/>
          <w:lang w:val="en-GB"/>
        </w:rPr>
        <w:t>Azerbaijan, France, Kuwait, Switzerland and</w:t>
      </w:r>
      <w:r w:rsidR="00A92DEB" w:rsidRPr="00D2474B">
        <w:rPr>
          <w:rFonts w:asciiTheme="minorBidi" w:hAnsiTheme="minorBidi" w:cstheme="minorBidi"/>
          <w:szCs w:val="22"/>
          <w:lang w:val="en-GB"/>
        </w:rPr>
        <w:t xml:space="preserve"> </w:t>
      </w:r>
      <w:r w:rsidR="00107101" w:rsidRPr="00D2474B">
        <w:rPr>
          <w:rFonts w:asciiTheme="minorBidi" w:hAnsiTheme="minorBidi" w:cstheme="minorBidi"/>
          <w:szCs w:val="22"/>
          <w:lang w:val="en-GB"/>
        </w:rPr>
        <w:t>t</w:t>
      </w:r>
      <w:r w:rsidR="00A92DEB" w:rsidRPr="00D2474B">
        <w:rPr>
          <w:rFonts w:asciiTheme="minorBidi" w:hAnsiTheme="minorBidi" w:cstheme="minorBidi"/>
          <w:szCs w:val="22"/>
          <w:lang w:val="en-GB"/>
        </w:rPr>
        <w:t>he International Information and Networking Centre for Intangible Cultural Heritage in the Asia-Pacific Region under the auspices of UNESCO</w:t>
      </w:r>
      <w:r w:rsidR="00101160" w:rsidRPr="006F23B4">
        <w:rPr>
          <w:rFonts w:asciiTheme="minorBidi" w:hAnsiTheme="minorBidi" w:cstheme="minorBidi"/>
          <w:szCs w:val="22"/>
          <w:lang w:val="en-GB"/>
        </w:rPr>
        <w:t xml:space="preserve"> </w:t>
      </w:r>
      <w:r w:rsidR="00A039C0" w:rsidRPr="00EC67F3">
        <w:rPr>
          <w:rFonts w:asciiTheme="minorBidi" w:hAnsiTheme="minorBidi" w:cstheme="minorBidi"/>
          <w:szCs w:val="22"/>
          <w:lang w:val="en-GB"/>
        </w:rPr>
        <w:t>(Republic of Korea)</w:t>
      </w:r>
      <w:r w:rsidR="00E32B4B" w:rsidRPr="003C1CCC">
        <w:rPr>
          <w:rFonts w:asciiTheme="minorBidi" w:hAnsiTheme="minorBidi" w:cstheme="minorBidi"/>
          <w:szCs w:val="22"/>
          <w:lang w:val="en-GB"/>
        </w:rPr>
        <w:t xml:space="preserve"> </w:t>
      </w:r>
      <w:r w:rsidRPr="003C1CCC">
        <w:rPr>
          <w:rFonts w:asciiTheme="minorBidi" w:hAnsiTheme="minorBidi" w:cstheme="minorBidi"/>
          <w:szCs w:val="22"/>
          <w:lang w:val="en-GB"/>
        </w:rPr>
        <w:t>were made to the Fund to finance</w:t>
      </w:r>
      <w:r w:rsidR="00A039C0" w:rsidRPr="003C1CCC">
        <w:rPr>
          <w:rFonts w:asciiTheme="minorBidi" w:hAnsiTheme="minorBidi" w:cstheme="minorBidi"/>
          <w:szCs w:val="22"/>
          <w:lang w:val="en-GB"/>
        </w:rPr>
        <w:t xml:space="preserve"> the two funding priorities,</w:t>
      </w:r>
      <w:r w:rsidR="00107101" w:rsidRPr="003C1CCC">
        <w:rPr>
          <w:rFonts w:asciiTheme="minorBidi" w:hAnsiTheme="minorBidi" w:cstheme="minorBidi"/>
          <w:szCs w:val="22"/>
          <w:lang w:val="en-GB"/>
        </w:rPr>
        <w:t xml:space="preserve"> ‘Strengthening capacities to safeguard intangible cultural heritage and contribute to sustainable development’ and ‘Safeguarding intangible cultural heritage in formal and non-formal education’</w:t>
      </w:r>
      <w:r w:rsidR="0048392E" w:rsidRPr="003C1CCC">
        <w:rPr>
          <w:rFonts w:asciiTheme="minorBidi" w:hAnsiTheme="minorBidi" w:cstheme="minorBidi"/>
          <w:szCs w:val="22"/>
          <w:lang w:val="en-GB"/>
        </w:rPr>
        <w:t>,</w:t>
      </w:r>
      <w:r w:rsidR="00A039C0" w:rsidRPr="003C1CCC">
        <w:rPr>
          <w:rFonts w:asciiTheme="minorBidi" w:hAnsiTheme="minorBidi" w:cstheme="minorBidi"/>
          <w:szCs w:val="22"/>
          <w:lang w:val="en-GB"/>
        </w:rPr>
        <w:t xml:space="preserve"> </w:t>
      </w:r>
      <w:r w:rsidR="008E7C8F" w:rsidRPr="003C1CCC">
        <w:rPr>
          <w:rFonts w:asciiTheme="minorBidi" w:hAnsiTheme="minorBidi" w:cstheme="minorBidi"/>
          <w:szCs w:val="22"/>
          <w:lang w:val="en-GB"/>
        </w:rPr>
        <w:t xml:space="preserve">which were </w:t>
      </w:r>
      <w:r w:rsidR="00E32B4B" w:rsidRPr="003C1CCC">
        <w:rPr>
          <w:rFonts w:asciiTheme="minorBidi" w:hAnsiTheme="minorBidi" w:cstheme="minorBidi"/>
          <w:szCs w:val="22"/>
          <w:lang w:val="en-GB"/>
        </w:rPr>
        <w:t xml:space="preserve">approved </w:t>
      </w:r>
      <w:r w:rsidR="008E7C8F" w:rsidRPr="003C1CCC">
        <w:rPr>
          <w:rFonts w:asciiTheme="minorBidi" w:hAnsiTheme="minorBidi" w:cstheme="minorBidi"/>
          <w:szCs w:val="22"/>
          <w:lang w:val="en-GB"/>
        </w:rPr>
        <w:t>for the period 2018</w:t>
      </w:r>
      <w:r w:rsidR="003C1CCC">
        <w:rPr>
          <w:rFonts w:asciiTheme="minorBidi" w:hAnsiTheme="minorBidi" w:cstheme="minorBidi"/>
          <w:szCs w:val="22"/>
          <w:lang w:val="en-GB"/>
        </w:rPr>
        <w:t>–</w:t>
      </w:r>
      <w:r w:rsidR="008E7C8F" w:rsidRPr="003C1CCC">
        <w:rPr>
          <w:rFonts w:asciiTheme="minorBidi" w:hAnsiTheme="minorBidi" w:cstheme="minorBidi"/>
          <w:szCs w:val="22"/>
          <w:lang w:val="en-GB"/>
        </w:rPr>
        <w:t>2021</w:t>
      </w:r>
      <w:r w:rsidR="00A039C0" w:rsidRPr="003C1CCC">
        <w:rPr>
          <w:rFonts w:asciiTheme="minorBidi" w:hAnsiTheme="minorBidi" w:cstheme="minorBidi"/>
          <w:szCs w:val="22"/>
          <w:lang w:val="en-GB"/>
        </w:rPr>
        <w:t xml:space="preserve"> (</w:t>
      </w:r>
      <w:r w:rsidR="007B430A" w:rsidRPr="007B430A">
        <w:rPr>
          <w:rFonts w:asciiTheme="minorBidi" w:hAnsiTheme="minorBidi" w:cstheme="minorBidi"/>
          <w:szCs w:val="22"/>
          <w:lang w:val="en-GB"/>
        </w:rPr>
        <w:t xml:space="preserve">Decision </w:t>
      </w:r>
      <w:hyperlink r:id="rId24" w:history="1">
        <w:r w:rsidR="007B430A">
          <w:rPr>
            <w:rStyle w:val="Lienhypertexte"/>
            <w:rFonts w:asciiTheme="minorBidi" w:hAnsiTheme="minorBidi" w:cstheme="minorBidi"/>
            <w:szCs w:val="22"/>
            <w:lang w:val="en-GB"/>
          </w:rPr>
          <w:t>12.COM 6</w:t>
        </w:r>
      </w:hyperlink>
      <w:r w:rsidR="00A039C0" w:rsidRPr="003C1CCC">
        <w:rPr>
          <w:rFonts w:asciiTheme="minorBidi" w:hAnsiTheme="minorBidi" w:cstheme="minorBidi"/>
          <w:szCs w:val="22"/>
          <w:lang w:val="en-GB"/>
        </w:rPr>
        <w:t>)</w:t>
      </w:r>
      <w:r w:rsidR="005068C7" w:rsidRPr="003C1CCC">
        <w:rPr>
          <w:rFonts w:asciiTheme="minorBidi" w:hAnsiTheme="minorBidi" w:cstheme="minorBidi"/>
          <w:szCs w:val="22"/>
          <w:lang w:val="en-GB"/>
        </w:rPr>
        <w:t xml:space="preserve"> and consequently renewed at the sixteenth session of the Committee (</w:t>
      </w:r>
      <w:r w:rsidR="00E4184C" w:rsidRPr="005F4C17">
        <w:rPr>
          <w:rFonts w:asciiTheme="minorBidi" w:hAnsiTheme="minorBidi" w:cstheme="minorBidi"/>
          <w:szCs w:val="22"/>
          <w:lang w:val="en-GB"/>
        </w:rPr>
        <w:t xml:space="preserve">Decision 16.COM </w:t>
      </w:r>
      <w:r w:rsidR="0026073E" w:rsidRPr="005F4C17">
        <w:rPr>
          <w:rFonts w:asciiTheme="minorBidi" w:hAnsiTheme="minorBidi" w:cstheme="minorBidi"/>
          <w:szCs w:val="22"/>
          <w:lang w:val="en-GB"/>
        </w:rPr>
        <w:t>1</w:t>
      </w:r>
      <w:r w:rsidR="00994DDF" w:rsidRPr="005F4C17">
        <w:rPr>
          <w:rFonts w:asciiTheme="minorBidi" w:hAnsiTheme="minorBidi" w:cstheme="minorBidi"/>
          <w:szCs w:val="22"/>
          <w:lang w:val="en-GB"/>
        </w:rPr>
        <w:t>2</w:t>
      </w:r>
      <w:r w:rsidR="005068C7" w:rsidRPr="003C1CCC">
        <w:rPr>
          <w:rFonts w:asciiTheme="minorBidi" w:hAnsiTheme="minorBidi" w:cstheme="minorBidi"/>
          <w:szCs w:val="22"/>
          <w:lang w:val="en-GB"/>
        </w:rPr>
        <w:t>)</w:t>
      </w:r>
      <w:r w:rsidR="00E32B4B" w:rsidRPr="003C1CCC">
        <w:rPr>
          <w:rFonts w:asciiTheme="minorBidi" w:hAnsiTheme="minorBidi" w:cstheme="minorBidi"/>
          <w:szCs w:val="22"/>
          <w:lang w:val="en-GB"/>
        </w:rPr>
        <w:t>.</w:t>
      </w:r>
      <w:r w:rsidRPr="003C1CCC">
        <w:rPr>
          <w:rFonts w:asciiTheme="minorBidi" w:hAnsiTheme="minorBidi" w:cstheme="minorBidi"/>
          <w:szCs w:val="22"/>
          <w:lang w:val="en-GB"/>
        </w:rPr>
        <w:t xml:space="preserve"> The Sub-Fund of the Fund, devoted exclusively to enhancing the human capacities of the Secretariat, also received contributions of US$</w:t>
      </w:r>
      <w:r w:rsidR="00E32B4B" w:rsidRPr="003C1CCC">
        <w:rPr>
          <w:rFonts w:asciiTheme="minorBidi" w:hAnsiTheme="minorBidi" w:cstheme="minorBidi"/>
          <w:szCs w:val="22"/>
          <w:lang w:val="en-GB"/>
        </w:rPr>
        <w:t>40,822.76</w:t>
      </w:r>
      <w:r w:rsidRPr="003C1CCC">
        <w:rPr>
          <w:rFonts w:asciiTheme="minorBidi" w:hAnsiTheme="minorBidi" w:cstheme="minorBidi"/>
          <w:szCs w:val="22"/>
          <w:lang w:val="en-GB"/>
        </w:rPr>
        <w:t xml:space="preserve"> from</w:t>
      </w:r>
      <w:r w:rsidR="00E32B4B" w:rsidRPr="003C1CCC">
        <w:rPr>
          <w:rFonts w:asciiTheme="minorBidi" w:hAnsiTheme="minorBidi" w:cstheme="minorBidi"/>
          <w:szCs w:val="22"/>
          <w:lang w:val="en-GB"/>
        </w:rPr>
        <w:t xml:space="preserve"> Lithuania, Monaco, Palestine, </w:t>
      </w:r>
      <w:r w:rsidR="00E32B4B" w:rsidRPr="007B430A">
        <w:rPr>
          <w:rFonts w:asciiTheme="minorBidi" w:hAnsiTheme="minorBidi" w:cstheme="minorBidi"/>
          <w:szCs w:val="22"/>
          <w:lang w:val="en-GB"/>
        </w:rPr>
        <w:t>Slovakia</w:t>
      </w:r>
      <w:r w:rsidR="000A3C10" w:rsidRPr="007B430A">
        <w:rPr>
          <w:rFonts w:asciiTheme="minorBidi" w:hAnsiTheme="minorBidi" w:cstheme="minorBidi"/>
          <w:szCs w:val="22"/>
          <w:lang w:val="en-GB"/>
        </w:rPr>
        <w:t xml:space="preserve"> and the</w:t>
      </w:r>
      <w:r w:rsidR="00E32B4B" w:rsidRPr="007B430A">
        <w:rPr>
          <w:rFonts w:asciiTheme="minorBidi" w:hAnsiTheme="minorBidi" w:cstheme="minorBidi"/>
          <w:szCs w:val="22"/>
          <w:lang w:val="en-GB"/>
        </w:rPr>
        <w:t xml:space="preserve"> Fondazione Museo del Violino Antonio Stradivari</w:t>
      </w:r>
      <w:r w:rsidR="000A3C10" w:rsidRPr="007B430A">
        <w:rPr>
          <w:rFonts w:asciiTheme="minorBidi" w:hAnsiTheme="minorBidi" w:cstheme="minorBidi"/>
          <w:szCs w:val="22"/>
          <w:lang w:val="en-GB"/>
        </w:rPr>
        <w:t xml:space="preserve"> (Italy)</w:t>
      </w:r>
      <w:r w:rsidRPr="007B430A">
        <w:rPr>
          <w:rFonts w:asciiTheme="minorBidi" w:hAnsiTheme="minorBidi" w:cstheme="minorBidi"/>
          <w:szCs w:val="22"/>
          <w:lang w:val="en-GB"/>
        </w:rPr>
        <w:t>.</w:t>
      </w:r>
      <w:r w:rsidR="00D57C7F" w:rsidRPr="007B430A">
        <w:rPr>
          <w:rFonts w:asciiTheme="minorBidi" w:hAnsiTheme="minorBidi" w:cstheme="minorBidi"/>
          <w:szCs w:val="22"/>
          <w:lang w:val="en-GB"/>
        </w:rPr>
        <w:t xml:space="preserve"> </w:t>
      </w:r>
      <w:r w:rsidR="00CE7C34" w:rsidRPr="007B430A">
        <w:rPr>
          <w:rFonts w:asciiTheme="minorBidi" w:hAnsiTheme="minorBidi" w:cstheme="minorBidi"/>
          <w:szCs w:val="22"/>
          <w:lang w:val="en-GB"/>
        </w:rPr>
        <w:t>Document</w:t>
      </w:r>
      <w:r w:rsidR="00D57C7F" w:rsidRPr="007B430A">
        <w:rPr>
          <w:rFonts w:asciiTheme="minorBidi" w:hAnsiTheme="minorBidi" w:cstheme="minorBidi"/>
          <w:szCs w:val="22"/>
          <w:lang w:val="en-GB"/>
        </w:rPr>
        <w:t xml:space="preserve"> </w:t>
      </w:r>
      <w:hyperlink r:id="rId25" w:history="1">
        <w:r w:rsidR="00CE7C34" w:rsidRPr="007B430A">
          <w:rPr>
            <w:rStyle w:val="Lienhypertexte"/>
            <w:rFonts w:asciiTheme="minorBidi" w:hAnsiTheme="minorBidi" w:cstheme="minorBidi"/>
            <w:szCs w:val="22"/>
            <w:lang w:val="en-GB"/>
          </w:rPr>
          <w:t>LHE/21/16.COM/</w:t>
        </w:r>
        <w:r w:rsidR="00406A38" w:rsidRPr="007B430A">
          <w:rPr>
            <w:rStyle w:val="Lienhypertexte"/>
            <w:rFonts w:asciiTheme="minorBidi" w:hAnsiTheme="minorBidi" w:cstheme="minorBidi"/>
            <w:szCs w:val="22"/>
            <w:lang w:val="en-GB"/>
          </w:rPr>
          <w:t>INF.</w:t>
        </w:r>
        <w:r w:rsidR="006B0D26" w:rsidRPr="007B430A">
          <w:rPr>
            <w:rStyle w:val="Lienhypertexte"/>
            <w:rFonts w:asciiTheme="minorBidi" w:hAnsiTheme="minorBidi" w:cstheme="minorBidi"/>
            <w:szCs w:val="22"/>
            <w:lang w:val="en-GB"/>
          </w:rPr>
          <w:t>1</w:t>
        </w:r>
        <w:r w:rsidR="00E4251C" w:rsidRPr="007B430A">
          <w:rPr>
            <w:rStyle w:val="Lienhypertexte"/>
            <w:rFonts w:asciiTheme="minorBidi" w:hAnsiTheme="minorBidi" w:cstheme="minorBidi"/>
            <w:szCs w:val="22"/>
            <w:lang w:val="en-GB"/>
          </w:rPr>
          <w:t>3</w:t>
        </w:r>
        <w:r w:rsidR="00406A38" w:rsidRPr="007B430A">
          <w:rPr>
            <w:rStyle w:val="Lienhypertexte"/>
            <w:rFonts w:asciiTheme="minorBidi" w:hAnsiTheme="minorBidi" w:cstheme="minorBidi"/>
            <w:szCs w:val="22"/>
            <w:lang w:val="en-GB"/>
          </w:rPr>
          <w:t>.1</w:t>
        </w:r>
      </w:hyperlink>
      <w:r w:rsidR="00CE7C34" w:rsidRPr="007B430A">
        <w:rPr>
          <w:rFonts w:asciiTheme="minorBidi" w:hAnsiTheme="minorBidi" w:cstheme="minorBidi"/>
          <w:szCs w:val="22"/>
          <w:lang w:val="en-GB"/>
        </w:rPr>
        <w:t xml:space="preserve"> </w:t>
      </w:r>
      <w:r w:rsidRPr="007B430A">
        <w:rPr>
          <w:rFonts w:asciiTheme="minorBidi" w:hAnsiTheme="minorBidi" w:cstheme="minorBidi"/>
          <w:szCs w:val="22"/>
          <w:lang w:val="en-GB"/>
        </w:rPr>
        <w:t>includes</w:t>
      </w:r>
      <w:r w:rsidRPr="00602194">
        <w:rPr>
          <w:rFonts w:asciiTheme="minorBidi" w:hAnsiTheme="minorBidi" w:cstheme="minorBidi"/>
          <w:szCs w:val="22"/>
          <w:lang w:val="en-GB"/>
        </w:rPr>
        <w:t>, in Annex II, a list of such contributions for the period 1 January 20</w:t>
      </w:r>
      <w:r w:rsidR="00CE7C34" w:rsidRPr="00602194">
        <w:rPr>
          <w:rFonts w:asciiTheme="minorBidi" w:hAnsiTheme="minorBidi" w:cstheme="minorBidi"/>
          <w:szCs w:val="22"/>
          <w:lang w:val="en-GB"/>
        </w:rPr>
        <w:t>20</w:t>
      </w:r>
      <w:r w:rsidRPr="00602194">
        <w:rPr>
          <w:rFonts w:asciiTheme="minorBidi" w:hAnsiTheme="minorBidi" w:cstheme="minorBidi"/>
          <w:szCs w:val="22"/>
          <w:lang w:val="en-GB"/>
        </w:rPr>
        <w:t xml:space="preserve"> to 30 June 20</w:t>
      </w:r>
      <w:r w:rsidR="00CE7C34" w:rsidRPr="00602194">
        <w:rPr>
          <w:rFonts w:asciiTheme="minorBidi" w:hAnsiTheme="minorBidi" w:cstheme="minorBidi"/>
          <w:szCs w:val="22"/>
          <w:lang w:val="en-GB"/>
        </w:rPr>
        <w:t>2</w:t>
      </w:r>
      <w:r w:rsidRPr="00602194">
        <w:rPr>
          <w:rFonts w:asciiTheme="minorBidi" w:hAnsiTheme="minorBidi" w:cstheme="minorBidi"/>
          <w:szCs w:val="22"/>
          <w:lang w:val="en-GB"/>
        </w:rPr>
        <w:t>1</w:t>
      </w:r>
      <w:r w:rsidR="00F8394B" w:rsidRPr="00602194">
        <w:rPr>
          <w:rFonts w:asciiTheme="minorBidi" w:hAnsiTheme="minorBidi" w:cstheme="minorBidi"/>
          <w:szCs w:val="22"/>
          <w:lang w:val="en-GB"/>
        </w:rPr>
        <w:t>,</w:t>
      </w:r>
      <w:r w:rsidRPr="00602194">
        <w:rPr>
          <w:rFonts w:asciiTheme="minorBidi" w:hAnsiTheme="minorBidi" w:cstheme="minorBidi"/>
          <w:szCs w:val="22"/>
          <w:lang w:val="en-GB"/>
        </w:rPr>
        <w:t xml:space="preserve"> as well as a statement of income and expenditures in Annex I.</w:t>
      </w:r>
    </w:p>
    <w:p w14:paraId="737A97EB" w14:textId="77777777" w:rsidR="00CA3AC4" w:rsidRPr="003C1CCC" w:rsidRDefault="00CA3AC4" w:rsidP="002E223C">
      <w:pPr>
        <w:keepNext/>
        <w:numPr>
          <w:ilvl w:val="0"/>
          <w:numId w:val="17"/>
        </w:numPr>
        <w:tabs>
          <w:tab w:val="clear" w:pos="720"/>
        </w:tabs>
        <w:spacing w:before="240" w:after="120"/>
        <w:ind w:left="562" w:hanging="562"/>
        <w:jc w:val="both"/>
        <w:rPr>
          <w:rFonts w:ascii="Arial" w:hAnsi="Arial" w:cs="Arial"/>
          <w:b/>
          <w:sz w:val="22"/>
          <w:szCs w:val="22"/>
          <w:lang w:val="en-GB"/>
        </w:rPr>
      </w:pPr>
      <w:r w:rsidRPr="003C1CCC">
        <w:rPr>
          <w:rFonts w:ascii="Arial" w:hAnsi="Arial" w:cs="Arial"/>
          <w:b/>
          <w:sz w:val="22"/>
          <w:szCs w:val="22"/>
          <w:lang w:val="en-GB"/>
        </w:rPr>
        <w:t>Preparation of the Operational Directives for the implementation of the Convention</w:t>
      </w:r>
      <w:r w:rsidRPr="003C1CCC">
        <w:rPr>
          <w:rFonts w:ascii="Arial" w:hAnsi="Arial" w:cs="Arial"/>
          <w:sz w:val="22"/>
          <w:szCs w:val="22"/>
          <w:lang w:val="en-GB"/>
        </w:rPr>
        <w:t xml:space="preserve"> (Article 7[e])</w:t>
      </w:r>
    </w:p>
    <w:p w14:paraId="412318CB" w14:textId="1A1440C6" w:rsidR="00CA3AC4" w:rsidRPr="003C1CCC" w:rsidRDefault="00C25988" w:rsidP="00CA3AC4">
      <w:pPr>
        <w:pStyle w:val="Marge"/>
        <w:numPr>
          <w:ilvl w:val="0"/>
          <w:numId w:val="16"/>
        </w:numPr>
        <w:tabs>
          <w:tab w:val="clear" w:pos="502"/>
          <w:tab w:val="num" w:pos="567"/>
        </w:tabs>
        <w:spacing w:after="120"/>
        <w:ind w:left="567" w:hanging="567"/>
        <w:rPr>
          <w:rFonts w:eastAsia="Arial" w:cs="Arial"/>
          <w:i/>
          <w:szCs w:val="22"/>
          <w:lang w:val="en-GB"/>
        </w:rPr>
      </w:pPr>
      <w:r>
        <w:rPr>
          <w:rFonts w:cs="Arial"/>
          <w:szCs w:val="22"/>
          <w:lang w:val="en-GB"/>
        </w:rPr>
        <w:t>[</w:t>
      </w:r>
      <w:r w:rsidR="00CA3AC4" w:rsidRPr="003C1CCC">
        <w:rPr>
          <w:rFonts w:cs="Arial"/>
          <w:szCs w:val="22"/>
          <w:lang w:val="en-GB"/>
        </w:rPr>
        <w:t xml:space="preserve">During the reporting period, the Committee </w:t>
      </w:r>
      <w:r w:rsidR="004E7DF7" w:rsidRPr="003C1CCC">
        <w:rPr>
          <w:rFonts w:cs="Arial"/>
          <w:szCs w:val="22"/>
          <w:lang w:val="en-GB"/>
        </w:rPr>
        <w:t>examined the recommendations of the Open-ended intergovernmental working group within the framework of the above</w:t>
      </w:r>
      <w:r w:rsidR="00732187" w:rsidRPr="003C1CCC">
        <w:rPr>
          <w:rFonts w:cs="Arial"/>
          <w:szCs w:val="22"/>
          <w:lang w:val="en-GB"/>
        </w:rPr>
        <w:t>-</w:t>
      </w:r>
      <w:r w:rsidR="004E7DF7" w:rsidRPr="003C1CCC">
        <w:rPr>
          <w:rFonts w:cs="Arial"/>
          <w:szCs w:val="22"/>
          <w:lang w:val="en-GB"/>
        </w:rPr>
        <w:t xml:space="preserve">mentioned global reflection and </w:t>
      </w:r>
      <w:r w:rsidR="00CA3AC4" w:rsidRPr="003C1CCC">
        <w:rPr>
          <w:rFonts w:cs="Arial"/>
          <w:szCs w:val="22"/>
          <w:lang w:val="en-GB"/>
        </w:rPr>
        <w:t>recommended that the General Assembly approve amendments to the Operational Directives on the</w:t>
      </w:r>
      <w:r w:rsidR="00FE5A1A" w:rsidRPr="003C1CCC">
        <w:rPr>
          <w:rFonts w:cs="Arial"/>
          <w:szCs w:val="22"/>
          <w:lang w:val="en-GB"/>
        </w:rPr>
        <w:t xml:space="preserve"> listing mechanisms of the Convention (</w:t>
      </w:r>
      <w:r w:rsidR="000F2CFA" w:rsidRPr="005F4C17">
        <w:rPr>
          <w:rFonts w:cs="Arial"/>
          <w:szCs w:val="22"/>
          <w:lang w:val="en-GB"/>
        </w:rPr>
        <w:t xml:space="preserve">Decision 16.COM </w:t>
      </w:r>
      <w:r w:rsidR="00B84084" w:rsidRPr="005F4C17">
        <w:rPr>
          <w:rFonts w:cs="Arial"/>
          <w:szCs w:val="22"/>
          <w:lang w:val="en-GB"/>
        </w:rPr>
        <w:t>14</w:t>
      </w:r>
      <w:r w:rsidR="00FE5A1A" w:rsidRPr="003C1CCC">
        <w:rPr>
          <w:rFonts w:cs="Arial"/>
          <w:szCs w:val="22"/>
          <w:lang w:val="en-GB"/>
        </w:rPr>
        <w:t>)</w:t>
      </w:r>
      <w:r>
        <w:rPr>
          <w:rFonts w:cs="Arial"/>
          <w:szCs w:val="22"/>
          <w:lang w:val="en-GB"/>
        </w:rPr>
        <w:t>]</w:t>
      </w:r>
      <w:r w:rsidR="00FE5A1A" w:rsidRPr="003C1CCC">
        <w:rPr>
          <w:rFonts w:cs="Arial"/>
          <w:szCs w:val="22"/>
          <w:lang w:val="en-GB"/>
        </w:rPr>
        <w:t>.</w:t>
      </w:r>
    </w:p>
    <w:p w14:paraId="23D3453C" w14:textId="77777777" w:rsidR="00CA3AC4" w:rsidRPr="003C1CCC" w:rsidRDefault="00CA3AC4" w:rsidP="002E223C">
      <w:pPr>
        <w:keepNext/>
        <w:numPr>
          <w:ilvl w:val="0"/>
          <w:numId w:val="17"/>
        </w:numPr>
        <w:tabs>
          <w:tab w:val="clear" w:pos="720"/>
          <w:tab w:val="num" w:pos="567"/>
        </w:tabs>
        <w:spacing w:before="240" w:after="120"/>
        <w:ind w:left="562" w:hanging="562"/>
        <w:rPr>
          <w:rFonts w:ascii="Arial" w:hAnsi="Arial" w:cs="Arial"/>
          <w:b/>
          <w:sz w:val="22"/>
          <w:szCs w:val="22"/>
          <w:lang w:val="en-GB"/>
        </w:rPr>
      </w:pPr>
      <w:r w:rsidRPr="003C1CCC">
        <w:rPr>
          <w:rFonts w:ascii="Arial" w:hAnsi="Arial" w:cs="Arial"/>
          <w:b/>
          <w:sz w:val="22"/>
          <w:szCs w:val="22"/>
          <w:lang w:val="en-GB"/>
        </w:rPr>
        <w:t>Examination of periodic reports</w:t>
      </w:r>
      <w:r w:rsidRPr="003C1CCC">
        <w:rPr>
          <w:rFonts w:ascii="Arial" w:hAnsi="Arial" w:cs="Arial"/>
          <w:sz w:val="22"/>
          <w:szCs w:val="22"/>
          <w:lang w:val="en-GB"/>
        </w:rPr>
        <w:t xml:space="preserve"> (Article 7[f])</w:t>
      </w:r>
    </w:p>
    <w:p w14:paraId="3B87ABC9" w14:textId="2CAF9EEC" w:rsidR="00204FE5" w:rsidRPr="003C1CCC" w:rsidRDefault="00C27655" w:rsidP="00204FE5">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3C1CCC">
        <w:rPr>
          <w:rFonts w:asciiTheme="minorBidi" w:hAnsiTheme="minorBidi" w:cstheme="minorBidi"/>
          <w:szCs w:val="22"/>
          <w:lang w:val="en-GB"/>
        </w:rPr>
        <w:t>T</w:t>
      </w:r>
      <w:r w:rsidR="00CA3AC4" w:rsidRPr="003C1CCC">
        <w:rPr>
          <w:rFonts w:asciiTheme="minorBidi" w:hAnsiTheme="minorBidi" w:cstheme="minorBidi"/>
          <w:szCs w:val="22"/>
          <w:lang w:val="en-GB"/>
        </w:rPr>
        <w:t xml:space="preserve">he Committee examined </w:t>
      </w:r>
      <w:r w:rsidR="00E539D7">
        <w:rPr>
          <w:rFonts w:asciiTheme="minorBidi" w:hAnsiTheme="minorBidi" w:cstheme="minorBidi"/>
          <w:szCs w:val="22"/>
          <w:lang w:val="en-GB"/>
        </w:rPr>
        <w:t>twenty-seven</w:t>
      </w:r>
      <w:r w:rsidR="00E539D7" w:rsidRPr="003C1CCC">
        <w:rPr>
          <w:rFonts w:asciiTheme="minorBidi" w:hAnsiTheme="minorBidi" w:cstheme="minorBidi"/>
          <w:szCs w:val="22"/>
          <w:lang w:val="en-GB"/>
        </w:rPr>
        <w:t xml:space="preserve"> </w:t>
      </w:r>
      <w:r w:rsidR="00131894" w:rsidRPr="003C1CCC">
        <w:rPr>
          <w:rFonts w:asciiTheme="minorBidi" w:hAnsiTheme="minorBidi" w:cstheme="minorBidi"/>
          <w:szCs w:val="22"/>
          <w:lang w:val="en-GB"/>
        </w:rPr>
        <w:t xml:space="preserve">reports on the status of elements inscribed on the Urgent Safeguarding List </w:t>
      </w:r>
      <w:r w:rsidR="00E539D7">
        <w:rPr>
          <w:rFonts w:asciiTheme="minorBidi" w:hAnsiTheme="minorBidi" w:cstheme="minorBidi"/>
          <w:szCs w:val="22"/>
          <w:lang w:val="en-GB"/>
        </w:rPr>
        <w:t>–</w:t>
      </w:r>
      <w:r w:rsidR="00EE7DB6" w:rsidRPr="003C1CCC">
        <w:rPr>
          <w:rFonts w:asciiTheme="minorBidi" w:hAnsiTheme="minorBidi" w:cstheme="minorBidi"/>
          <w:szCs w:val="22"/>
          <w:lang w:val="en-GB"/>
        </w:rPr>
        <w:t xml:space="preserve"> </w:t>
      </w:r>
      <w:r w:rsidR="00E539D7">
        <w:rPr>
          <w:rFonts w:asciiTheme="minorBidi" w:hAnsiTheme="minorBidi" w:cstheme="minorBidi"/>
          <w:szCs w:val="22"/>
          <w:lang w:val="en-GB"/>
        </w:rPr>
        <w:t>nine</w:t>
      </w:r>
      <w:r w:rsidR="00E539D7" w:rsidRPr="003C1CCC">
        <w:rPr>
          <w:rFonts w:asciiTheme="minorBidi" w:hAnsiTheme="minorBidi" w:cstheme="minorBidi"/>
          <w:szCs w:val="22"/>
          <w:lang w:val="en-GB"/>
        </w:rPr>
        <w:t xml:space="preserve"> </w:t>
      </w:r>
      <w:r w:rsidR="00EE7DB6" w:rsidRPr="003C1CCC">
        <w:rPr>
          <w:rFonts w:asciiTheme="minorBidi" w:hAnsiTheme="minorBidi" w:cstheme="minorBidi"/>
          <w:szCs w:val="22"/>
          <w:lang w:val="en-GB"/>
        </w:rPr>
        <w:t xml:space="preserve">at its fifteenth session </w:t>
      </w:r>
      <w:r w:rsidR="00BB5288" w:rsidRPr="003C1CCC">
        <w:rPr>
          <w:rFonts w:asciiTheme="minorBidi" w:hAnsiTheme="minorBidi" w:cstheme="minorBidi"/>
          <w:szCs w:val="22"/>
          <w:lang w:val="en-GB"/>
        </w:rPr>
        <w:t xml:space="preserve">in 2020 </w:t>
      </w:r>
      <w:r w:rsidR="00131894" w:rsidRPr="003C1CCC">
        <w:rPr>
          <w:rFonts w:asciiTheme="minorBidi" w:hAnsiTheme="minorBidi" w:cstheme="minorBidi"/>
          <w:szCs w:val="22"/>
          <w:lang w:val="en-GB"/>
        </w:rPr>
        <w:t xml:space="preserve">and </w:t>
      </w:r>
      <w:r w:rsidR="00E539D7">
        <w:rPr>
          <w:rFonts w:asciiTheme="minorBidi" w:hAnsiTheme="minorBidi" w:cstheme="minorBidi"/>
          <w:szCs w:val="22"/>
          <w:lang w:val="en-GB"/>
        </w:rPr>
        <w:t>eighteen</w:t>
      </w:r>
      <w:r w:rsidR="00E539D7" w:rsidRPr="003C1CCC">
        <w:rPr>
          <w:rFonts w:asciiTheme="minorBidi" w:hAnsiTheme="minorBidi" w:cstheme="minorBidi"/>
          <w:szCs w:val="22"/>
          <w:lang w:val="en-GB"/>
        </w:rPr>
        <w:t xml:space="preserve"> </w:t>
      </w:r>
      <w:r w:rsidR="00EE7DB6" w:rsidRPr="003C1CCC">
        <w:rPr>
          <w:rFonts w:asciiTheme="minorBidi" w:hAnsiTheme="minorBidi" w:cstheme="minorBidi"/>
          <w:szCs w:val="22"/>
          <w:lang w:val="en-GB"/>
        </w:rPr>
        <w:t>at its sixteenth session</w:t>
      </w:r>
      <w:r w:rsidR="00BB5288" w:rsidRPr="003C1CCC">
        <w:rPr>
          <w:rFonts w:asciiTheme="minorBidi" w:hAnsiTheme="minorBidi" w:cstheme="minorBidi"/>
          <w:szCs w:val="22"/>
          <w:lang w:val="en-GB"/>
        </w:rPr>
        <w:t xml:space="preserve"> in 2021</w:t>
      </w:r>
      <w:r w:rsidR="00EE7DB6" w:rsidRPr="003C1CCC">
        <w:rPr>
          <w:rFonts w:asciiTheme="minorBidi" w:hAnsiTheme="minorBidi" w:cstheme="minorBidi"/>
          <w:szCs w:val="22"/>
          <w:lang w:val="en-GB"/>
        </w:rPr>
        <w:t xml:space="preserve">. </w:t>
      </w:r>
      <w:r w:rsidR="00204FE5" w:rsidRPr="003C1CCC">
        <w:rPr>
          <w:rFonts w:asciiTheme="minorBidi" w:hAnsiTheme="minorBidi" w:cstheme="minorBidi"/>
          <w:szCs w:val="22"/>
          <w:lang w:val="en-GB"/>
        </w:rPr>
        <w:t>While examining these reports, the Committee acknowledged the enhanced viability of certain inscribed elements, which have been reported to be no longer in need of urgent safeguarding, and took note of those States</w:t>
      </w:r>
      <w:r w:rsidR="00E539D7">
        <w:rPr>
          <w:rFonts w:asciiTheme="minorBidi" w:hAnsiTheme="minorBidi" w:cstheme="minorBidi"/>
          <w:szCs w:val="22"/>
          <w:lang w:val="en-GB"/>
        </w:rPr>
        <w:t xml:space="preserve"> Parties</w:t>
      </w:r>
      <w:r w:rsidR="00204FE5" w:rsidRPr="003C1CCC">
        <w:rPr>
          <w:rFonts w:asciiTheme="minorBidi" w:hAnsiTheme="minorBidi" w:cstheme="minorBidi"/>
          <w:szCs w:val="22"/>
          <w:lang w:val="en-GB"/>
        </w:rPr>
        <w:t xml:space="preserve"> that expressed their desire to transfer elements from the Urgent Safeguarding List to the Representative List</w:t>
      </w:r>
      <w:r w:rsidR="00330B26" w:rsidRPr="003C1CCC">
        <w:rPr>
          <w:rFonts w:asciiTheme="minorBidi" w:hAnsiTheme="minorBidi" w:cstheme="minorBidi"/>
          <w:szCs w:val="22"/>
          <w:lang w:val="en-GB"/>
        </w:rPr>
        <w:t xml:space="preserve"> (</w:t>
      </w:r>
      <w:r w:rsidR="007B430A" w:rsidRPr="007B430A">
        <w:rPr>
          <w:rFonts w:asciiTheme="minorBidi" w:hAnsiTheme="minorBidi" w:cstheme="minorBidi"/>
          <w:szCs w:val="22"/>
          <w:lang w:val="en-GB"/>
        </w:rPr>
        <w:t xml:space="preserve">Decision </w:t>
      </w:r>
      <w:hyperlink r:id="rId26" w:history="1">
        <w:r w:rsidR="007B430A">
          <w:rPr>
            <w:rStyle w:val="Lienhypertexte"/>
            <w:rFonts w:asciiTheme="minorBidi" w:hAnsiTheme="minorBidi" w:cstheme="minorBidi"/>
            <w:szCs w:val="22"/>
            <w:lang w:val="en-GB"/>
          </w:rPr>
          <w:t>15.COM 7</w:t>
        </w:r>
      </w:hyperlink>
      <w:r w:rsidR="004F0862" w:rsidRPr="003C1CCC">
        <w:rPr>
          <w:rFonts w:asciiTheme="minorBidi" w:hAnsiTheme="minorBidi" w:cstheme="minorBidi"/>
          <w:szCs w:val="22"/>
          <w:lang w:val="en-GB"/>
        </w:rPr>
        <w:t xml:space="preserve"> </w:t>
      </w:r>
      <w:r w:rsidR="004F0862" w:rsidRPr="0059761D">
        <w:rPr>
          <w:rFonts w:asciiTheme="minorBidi" w:hAnsiTheme="minorBidi" w:cstheme="minorBidi"/>
          <w:szCs w:val="22"/>
          <w:lang w:val="en-GB"/>
        </w:rPr>
        <w:t>and</w:t>
      </w:r>
      <w:r w:rsidR="004F0862" w:rsidRPr="003C1CCC">
        <w:rPr>
          <w:rFonts w:asciiTheme="minorBidi" w:hAnsiTheme="minorBidi" w:cstheme="minorBidi"/>
          <w:szCs w:val="22"/>
          <w:lang w:val="en-GB"/>
        </w:rPr>
        <w:t xml:space="preserve"> </w:t>
      </w:r>
      <w:r w:rsidR="004F0862" w:rsidRPr="005F4C17">
        <w:rPr>
          <w:rFonts w:asciiTheme="minorBidi" w:hAnsiTheme="minorBidi" w:cstheme="minorBidi"/>
          <w:szCs w:val="22"/>
          <w:lang w:val="en-GB"/>
        </w:rPr>
        <w:t>Decisio</w:t>
      </w:r>
      <w:r w:rsidR="00DB2927" w:rsidRPr="005F4C17">
        <w:rPr>
          <w:rFonts w:asciiTheme="minorBidi" w:hAnsiTheme="minorBidi" w:cstheme="minorBidi"/>
          <w:szCs w:val="22"/>
          <w:lang w:val="en-GB"/>
        </w:rPr>
        <w:t>n 1</w:t>
      </w:r>
      <w:r w:rsidR="004F0862" w:rsidRPr="005F4C17">
        <w:rPr>
          <w:rFonts w:asciiTheme="minorBidi" w:hAnsiTheme="minorBidi" w:cstheme="minorBidi"/>
          <w:szCs w:val="22"/>
          <w:lang w:val="en-GB"/>
        </w:rPr>
        <w:t xml:space="preserve">6.COM </w:t>
      </w:r>
      <w:r w:rsidR="0089701E" w:rsidRPr="005F4C17">
        <w:rPr>
          <w:rFonts w:asciiTheme="minorBidi" w:hAnsiTheme="minorBidi" w:cstheme="minorBidi"/>
          <w:szCs w:val="22"/>
          <w:lang w:val="en-GB"/>
        </w:rPr>
        <w:t>7.a</w:t>
      </w:r>
      <w:r w:rsidR="00330B26" w:rsidRPr="006629C4">
        <w:rPr>
          <w:rFonts w:asciiTheme="minorBidi" w:hAnsiTheme="minorBidi" w:cstheme="minorBidi"/>
          <w:szCs w:val="22"/>
          <w:lang w:val="en-GB"/>
        </w:rPr>
        <w:t>)</w:t>
      </w:r>
      <w:r w:rsidR="00204FE5" w:rsidRPr="003C1CCC">
        <w:rPr>
          <w:rFonts w:asciiTheme="minorBidi" w:hAnsiTheme="minorBidi" w:cstheme="minorBidi"/>
          <w:szCs w:val="22"/>
          <w:lang w:val="en-GB"/>
        </w:rPr>
        <w:t>.</w:t>
      </w:r>
    </w:p>
    <w:p w14:paraId="4D98CFB2" w14:textId="3C98B00D" w:rsidR="00BB5288" w:rsidRPr="00A47C2B" w:rsidRDefault="00BB5288" w:rsidP="00821A37">
      <w:pPr>
        <w:pStyle w:val="Marge"/>
        <w:numPr>
          <w:ilvl w:val="0"/>
          <w:numId w:val="16"/>
        </w:numPr>
        <w:tabs>
          <w:tab w:val="clear" w:pos="502"/>
          <w:tab w:val="num" w:pos="567"/>
        </w:tabs>
        <w:spacing w:after="120"/>
        <w:ind w:left="567" w:hanging="567"/>
        <w:rPr>
          <w:rFonts w:asciiTheme="minorBidi" w:hAnsiTheme="minorBidi" w:cstheme="minorBidi"/>
          <w:szCs w:val="22"/>
          <w:lang w:val="en-GB"/>
        </w:rPr>
      </w:pPr>
      <w:r w:rsidRPr="00A47C2B">
        <w:rPr>
          <w:rFonts w:asciiTheme="minorBidi" w:hAnsiTheme="minorBidi" w:cstheme="minorBidi"/>
          <w:szCs w:val="22"/>
          <w:lang w:val="en-GB"/>
        </w:rPr>
        <w:t>With the launch in 2020 of the new periodic reporting system on the implementation of the Convention and on elements inscribed on the Representative List</w:t>
      </w:r>
      <w:r w:rsidR="00E539D7" w:rsidRPr="00A47C2B">
        <w:rPr>
          <w:rFonts w:asciiTheme="minorBidi" w:hAnsiTheme="minorBidi" w:cstheme="minorBidi"/>
          <w:szCs w:val="22"/>
          <w:lang w:val="en-GB"/>
        </w:rPr>
        <w:t xml:space="preserve"> of the Intangible Cultural Heritage of Humanity</w:t>
      </w:r>
      <w:r w:rsidRPr="00A47C2B">
        <w:rPr>
          <w:rFonts w:asciiTheme="minorBidi" w:hAnsiTheme="minorBidi" w:cstheme="minorBidi"/>
          <w:szCs w:val="22"/>
          <w:lang w:val="en-GB"/>
        </w:rPr>
        <w:t xml:space="preserve">, which </w:t>
      </w:r>
      <w:r w:rsidR="00A84A87" w:rsidRPr="00A47C2B">
        <w:rPr>
          <w:rFonts w:asciiTheme="minorBidi" w:hAnsiTheme="minorBidi" w:cstheme="minorBidi"/>
          <w:szCs w:val="22"/>
          <w:lang w:val="en-GB"/>
        </w:rPr>
        <w:t xml:space="preserve">has </w:t>
      </w:r>
      <w:r w:rsidR="00D6533E" w:rsidRPr="00A47C2B">
        <w:rPr>
          <w:rFonts w:asciiTheme="minorBidi" w:hAnsiTheme="minorBidi" w:cstheme="minorBidi"/>
          <w:szCs w:val="22"/>
          <w:lang w:val="en-GB"/>
        </w:rPr>
        <w:t>changed</w:t>
      </w:r>
      <w:r w:rsidRPr="00A47C2B">
        <w:rPr>
          <w:rFonts w:asciiTheme="minorBidi" w:hAnsiTheme="minorBidi" w:cstheme="minorBidi"/>
          <w:szCs w:val="22"/>
          <w:lang w:val="en-GB"/>
        </w:rPr>
        <w:t xml:space="preserve"> into </w:t>
      </w:r>
      <w:r w:rsidR="00A84A87" w:rsidRPr="00A47C2B">
        <w:rPr>
          <w:rFonts w:asciiTheme="minorBidi" w:hAnsiTheme="minorBidi" w:cstheme="minorBidi"/>
          <w:szCs w:val="22"/>
          <w:lang w:val="en-GB"/>
        </w:rPr>
        <w:t xml:space="preserve">a </w:t>
      </w:r>
      <w:r w:rsidR="00D6533E" w:rsidRPr="00A47C2B">
        <w:rPr>
          <w:rFonts w:asciiTheme="minorBidi" w:hAnsiTheme="minorBidi" w:cstheme="minorBidi"/>
          <w:szCs w:val="22"/>
          <w:lang w:val="en-GB"/>
        </w:rPr>
        <w:t xml:space="preserve">reporting </w:t>
      </w:r>
      <w:r w:rsidR="00A84A87" w:rsidRPr="00A47C2B">
        <w:rPr>
          <w:rFonts w:asciiTheme="minorBidi" w:hAnsiTheme="minorBidi" w:cstheme="minorBidi"/>
          <w:szCs w:val="22"/>
          <w:lang w:val="en-GB"/>
        </w:rPr>
        <w:t xml:space="preserve">system </w:t>
      </w:r>
      <w:r w:rsidR="00E539D7" w:rsidRPr="00A47C2B">
        <w:rPr>
          <w:rFonts w:asciiTheme="minorBidi" w:hAnsiTheme="minorBidi" w:cstheme="minorBidi"/>
          <w:szCs w:val="22"/>
          <w:lang w:val="en-GB"/>
        </w:rPr>
        <w:t xml:space="preserve">with </w:t>
      </w:r>
      <w:r w:rsidR="00A84A87" w:rsidRPr="00A47C2B">
        <w:rPr>
          <w:rFonts w:asciiTheme="minorBidi" w:hAnsiTheme="minorBidi" w:cstheme="minorBidi"/>
          <w:szCs w:val="22"/>
          <w:lang w:val="en-GB"/>
        </w:rPr>
        <w:t>regional rotation every six years,</w:t>
      </w:r>
      <w:r w:rsidRPr="00A47C2B">
        <w:rPr>
          <w:rFonts w:asciiTheme="minorBidi" w:hAnsiTheme="minorBidi" w:cstheme="minorBidi"/>
          <w:szCs w:val="22"/>
          <w:lang w:val="en-GB"/>
        </w:rPr>
        <w:t xml:space="preserve"> the Committee</w:t>
      </w:r>
      <w:r w:rsidRPr="003C1CCC">
        <w:rPr>
          <w:rFonts w:asciiTheme="minorBidi" w:hAnsiTheme="minorBidi" w:cstheme="minorBidi"/>
          <w:szCs w:val="22"/>
          <w:lang w:val="en-GB"/>
        </w:rPr>
        <w:t xml:space="preserve"> </w:t>
      </w:r>
      <w:r w:rsidR="004D49B9" w:rsidRPr="003C1CCC">
        <w:rPr>
          <w:rFonts w:asciiTheme="minorBidi" w:hAnsiTheme="minorBidi" w:cstheme="minorBidi"/>
          <w:szCs w:val="22"/>
          <w:lang w:val="en-GB"/>
        </w:rPr>
        <w:t xml:space="preserve">examined </w:t>
      </w:r>
      <w:r w:rsidR="00E539D7" w:rsidRPr="00272420">
        <w:rPr>
          <w:rFonts w:asciiTheme="minorBidi" w:hAnsiTheme="minorBidi" w:cstheme="minorBidi"/>
          <w:szCs w:val="22"/>
          <w:lang w:val="en-GB"/>
        </w:rPr>
        <w:t>twenty-</w:t>
      </w:r>
      <w:r w:rsidR="005F05AE" w:rsidRPr="00272420">
        <w:rPr>
          <w:rFonts w:asciiTheme="minorBidi" w:hAnsiTheme="minorBidi" w:cstheme="minorBidi"/>
          <w:szCs w:val="22"/>
          <w:lang w:val="en-GB"/>
        </w:rPr>
        <w:t>eight</w:t>
      </w:r>
      <w:r w:rsidR="00E539D7" w:rsidRPr="003C1CCC">
        <w:rPr>
          <w:rFonts w:asciiTheme="minorBidi" w:hAnsiTheme="minorBidi" w:cstheme="minorBidi"/>
          <w:szCs w:val="22"/>
          <w:lang w:val="en-GB"/>
        </w:rPr>
        <w:t xml:space="preserve"> </w:t>
      </w:r>
      <w:r w:rsidR="00A84A87" w:rsidRPr="003C1CCC">
        <w:rPr>
          <w:rFonts w:asciiTheme="minorBidi" w:hAnsiTheme="minorBidi" w:cstheme="minorBidi"/>
          <w:szCs w:val="22"/>
          <w:lang w:val="en-GB"/>
        </w:rPr>
        <w:t>reports submitted by States Parties in the Latin America and the Caribbean region</w:t>
      </w:r>
      <w:r w:rsidR="004D49B9" w:rsidRPr="003C1CCC">
        <w:rPr>
          <w:rFonts w:asciiTheme="minorBidi" w:hAnsiTheme="minorBidi" w:cstheme="minorBidi"/>
          <w:szCs w:val="22"/>
          <w:lang w:val="en-GB"/>
        </w:rPr>
        <w:t>, as the first regional reporting cycle</w:t>
      </w:r>
      <w:r w:rsidR="002425A3">
        <w:rPr>
          <w:rFonts w:asciiTheme="minorBidi" w:hAnsiTheme="minorBidi" w:cstheme="minorBidi"/>
          <w:szCs w:val="22"/>
          <w:lang w:val="en-GB"/>
        </w:rPr>
        <w:t>,</w:t>
      </w:r>
      <w:r w:rsidR="004D49B9" w:rsidRPr="003C1CCC">
        <w:rPr>
          <w:rFonts w:asciiTheme="minorBidi" w:hAnsiTheme="minorBidi" w:cstheme="minorBidi"/>
          <w:szCs w:val="22"/>
          <w:lang w:val="en-GB"/>
        </w:rPr>
        <w:t xml:space="preserve"> </w:t>
      </w:r>
      <w:r w:rsidR="00425760" w:rsidRPr="003C1CCC">
        <w:rPr>
          <w:rFonts w:asciiTheme="minorBidi" w:hAnsiTheme="minorBidi" w:cstheme="minorBidi"/>
          <w:szCs w:val="22"/>
          <w:lang w:val="en-GB"/>
        </w:rPr>
        <w:t>at its sixteenth session</w:t>
      </w:r>
      <w:r w:rsidR="002425A3">
        <w:rPr>
          <w:rFonts w:asciiTheme="minorBidi" w:hAnsiTheme="minorBidi" w:cstheme="minorBidi"/>
          <w:szCs w:val="22"/>
          <w:lang w:val="en-GB"/>
        </w:rPr>
        <w:t xml:space="preserve"> </w:t>
      </w:r>
      <w:r w:rsidR="002425A3" w:rsidRPr="003C1CCC">
        <w:rPr>
          <w:rFonts w:asciiTheme="minorBidi" w:hAnsiTheme="minorBidi" w:cstheme="minorBidi"/>
          <w:szCs w:val="22"/>
          <w:lang w:val="en-GB"/>
        </w:rPr>
        <w:t>(</w:t>
      </w:r>
      <w:r w:rsidR="002425A3" w:rsidRPr="005F4C17">
        <w:rPr>
          <w:rFonts w:asciiTheme="minorBidi" w:hAnsiTheme="minorBidi" w:cstheme="minorBidi"/>
          <w:szCs w:val="22"/>
          <w:lang w:val="en-GB"/>
        </w:rPr>
        <w:t>Decision 16.COM 7.b</w:t>
      </w:r>
      <w:r w:rsidR="002425A3" w:rsidRPr="003C1CCC">
        <w:rPr>
          <w:rFonts w:asciiTheme="minorBidi" w:hAnsiTheme="minorBidi" w:cstheme="minorBidi"/>
          <w:szCs w:val="22"/>
          <w:lang w:val="en-GB"/>
        </w:rPr>
        <w:t>)</w:t>
      </w:r>
      <w:r w:rsidR="00425760">
        <w:rPr>
          <w:rFonts w:asciiTheme="minorBidi" w:hAnsiTheme="minorBidi" w:cstheme="minorBidi"/>
          <w:szCs w:val="22"/>
          <w:lang w:val="en-GB"/>
        </w:rPr>
        <w:t>.</w:t>
      </w:r>
      <w:r w:rsidR="00425760" w:rsidRPr="003C1CCC">
        <w:rPr>
          <w:rFonts w:asciiTheme="minorBidi" w:hAnsiTheme="minorBidi" w:cstheme="minorBidi"/>
          <w:szCs w:val="22"/>
          <w:lang w:val="en-GB"/>
        </w:rPr>
        <w:t xml:space="preserve"> </w:t>
      </w:r>
      <w:r w:rsidR="003F33F5" w:rsidRPr="003C1CCC">
        <w:rPr>
          <w:rFonts w:asciiTheme="minorBidi" w:hAnsiTheme="minorBidi" w:cstheme="minorBidi"/>
          <w:szCs w:val="22"/>
          <w:lang w:val="en-GB"/>
        </w:rPr>
        <w:t xml:space="preserve">This </w:t>
      </w:r>
      <w:r w:rsidR="0008119B" w:rsidRPr="007B430A">
        <w:rPr>
          <w:rFonts w:asciiTheme="minorBidi" w:hAnsiTheme="minorBidi" w:cstheme="minorBidi"/>
          <w:szCs w:val="22"/>
          <w:lang w:val="en-GB"/>
        </w:rPr>
        <w:t>represents</w:t>
      </w:r>
      <w:r w:rsidR="00FA4CBC" w:rsidRPr="007B430A">
        <w:rPr>
          <w:rFonts w:asciiTheme="minorBidi" w:hAnsiTheme="minorBidi" w:cstheme="minorBidi"/>
          <w:szCs w:val="22"/>
          <w:lang w:val="en-GB"/>
        </w:rPr>
        <w:t xml:space="preserve"> </w:t>
      </w:r>
      <w:r w:rsidR="00A84A87" w:rsidRPr="007B430A">
        <w:rPr>
          <w:rFonts w:asciiTheme="minorBidi" w:hAnsiTheme="minorBidi" w:cstheme="minorBidi"/>
          <w:szCs w:val="22"/>
          <w:lang w:val="en-GB"/>
        </w:rPr>
        <w:t>the high</w:t>
      </w:r>
      <w:r w:rsidR="00425760" w:rsidRPr="007B430A">
        <w:rPr>
          <w:rFonts w:asciiTheme="minorBidi" w:hAnsiTheme="minorBidi" w:cstheme="minorBidi"/>
          <w:szCs w:val="22"/>
          <w:lang w:val="en-GB"/>
        </w:rPr>
        <w:t>es</w:t>
      </w:r>
      <w:r w:rsidR="00131F1C" w:rsidRPr="007B430A">
        <w:rPr>
          <w:rFonts w:asciiTheme="minorBidi" w:hAnsiTheme="minorBidi" w:cstheme="minorBidi"/>
          <w:szCs w:val="22"/>
          <w:lang w:val="en-GB"/>
        </w:rPr>
        <w:t>t</w:t>
      </w:r>
      <w:r w:rsidR="00A84A87" w:rsidRPr="007B430A">
        <w:rPr>
          <w:rFonts w:asciiTheme="minorBidi" w:hAnsiTheme="minorBidi" w:cstheme="minorBidi"/>
          <w:szCs w:val="22"/>
          <w:lang w:val="en-GB"/>
        </w:rPr>
        <w:t xml:space="preserve"> submission rate </w:t>
      </w:r>
      <w:r w:rsidR="00425760" w:rsidRPr="007B430A">
        <w:rPr>
          <w:rFonts w:asciiTheme="minorBidi" w:hAnsiTheme="minorBidi" w:cstheme="minorBidi"/>
          <w:szCs w:val="22"/>
          <w:lang w:val="en-GB"/>
        </w:rPr>
        <w:t>ever, at</w:t>
      </w:r>
      <w:r w:rsidR="00055FE1" w:rsidRPr="007B430A">
        <w:rPr>
          <w:rFonts w:asciiTheme="minorBidi" w:hAnsiTheme="minorBidi" w:cstheme="minorBidi"/>
          <w:szCs w:val="22"/>
          <w:lang w:val="en-GB"/>
        </w:rPr>
        <w:t xml:space="preserve"> 8</w:t>
      </w:r>
      <w:r w:rsidR="004F52F1" w:rsidRPr="007B430A">
        <w:rPr>
          <w:rFonts w:asciiTheme="minorBidi" w:hAnsiTheme="minorBidi" w:cstheme="minorBidi"/>
          <w:szCs w:val="22"/>
          <w:lang w:val="en-GB"/>
        </w:rPr>
        <w:t>8</w:t>
      </w:r>
      <w:r w:rsidR="00055FE1" w:rsidRPr="007B430A">
        <w:rPr>
          <w:rFonts w:asciiTheme="minorBidi" w:hAnsiTheme="minorBidi" w:cstheme="minorBidi"/>
          <w:szCs w:val="22"/>
          <w:lang w:val="en-GB"/>
        </w:rPr>
        <w:t xml:space="preserve"> per cent </w:t>
      </w:r>
      <w:r w:rsidR="00425760" w:rsidRPr="007B430A">
        <w:rPr>
          <w:rFonts w:asciiTheme="minorBidi" w:hAnsiTheme="minorBidi" w:cstheme="minorBidi"/>
          <w:szCs w:val="22"/>
          <w:lang w:val="en-GB"/>
        </w:rPr>
        <w:t xml:space="preserve">of reports due </w:t>
      </w:r>
      <w:r w:rsidR="00055FE1" w:rsidRPr="007B430A">
        <w:rPr>
          <w:rFonts w:asciiTheme="minorBidi" w:hAnsiTheme="minorBidi" w:cstheme="minorBidi"/>
          <w:szCs w:val="22"/>
          <w:lang w:val="en-GB"/>
        </w:rPr>
        <w:t>(</w:t>
      </w:r>
      <w:r w:rsidR="00E539D7" w:rsidRPr="007B430A">
        <w:rPr>
          <w:rFonts w:asciiTheme="minorBidi" w:hAnsiTheme="minorBidi" w:cstheme="minorBidi"/>
          <w:szCs w:val="22"/>
          <w:lang w:val="en-GB"/>
        </w:rPr>
        <w:t>twenty-</w:t>
      </w:r>
      <w:r w:rsidR="005F05AE" w:rsidRPr="007B430A">
        <w:rPr>
          <w:rFonts w:asciiTheme="minorBidi" w:hAnsiTheme="minorBidi" w:cstheme="minorBidi"/>
          <w:szCs w:val="22"/>
          <w:lang w:val="en-GB"/>
        </w:rPr>
        <w:t>eight</w:t>
      </w:r>
      <w:r w:rsidR="00E539D7" w:rsidRPr="007B430A">
        <w:rPr>
          <w:rFonts w:asciiTheme="minorBidi" w:hAnsiTheme="minorBidi" w:cstheme="minorBidi"/>
          <w:szCs w:val="22"/>
          <w:lang w:val="en-GB"/>
        </w:rPr>
        <w:t xml:space="preserve"> </w:t>
      </w:r>
      <w:r w:rsidR="00055FE1" w:rsidRPr="007B430A">
        <w:rPr>
          <w:rFonts w:asciiTheme="minorBidi" w:hAnsiTheme="minorBidi" w:cstheme="minorBidi"/>
          <w:szCs w:val="22"/>
          <w:lang w:val="en-GB"/>
        </w:rPr>
        <w:t>reports submitted</w:t>
      </w:r>
      <w:r w:rsidR="00055FE1" w:rsidRPr="003C1CCC">
        <w:rPr>
          <w:rFonts w:asciiTheme="minorBidi" w:hAnsiTheme="minorBidi" w:cstheme="minorBidi"/>
          <w:szCs w:val="22"/>
          <w:lang w:val="en-GB"/>
        </w:rPr>
        <w:t xml:space="preserve"> out of a total of </w:t>
      </w:r>
      <w:r w:rsidR="00E539D7">
        <w:rPr>
          <w:rFonts w:asciiTheme="minorBidi" w:hAnsiTheme="minorBidi" w:cstheme="minorBidi"/>
          <w:szCs w:val="22"/>
          <w:lang w:val="en-GB"/>
        </w:rPr>
        <w:t>thirty-two</w:t>
      </w:r>
      <w:r w:rsidR="00E539D7" w:rsidRPr="003C1CCC">
        <w:rPr>
          <w:rFonts w:asciiTheme="minorBidi" w:hAnsiTheme="minorBidi" w:cstheme="minorBidi"/>
          <w:szCs w:val="22"/>
          <w:lang w:val="en-GB"/>
        </w:rPr>
        <w:t xml:space="preserve"> </w:t>
      </w:r>
      <w:r w:rsidR="00055FE1" w:rsidRPr="003C1CCC">
        <w:rPr>
          <w:rFonts w:asciiTheme="minorBidi" w:hAnsiTheme="minorBidi" w:cstheme="minorBidi"/>
          <w:szCs w:val="22"/>
          <w:lang w:val="en-GB"/>
        </w:rPr>
        <w:t>expected)</w:t>
      </w:r>
      <w:r w:rsidR="00460BF7" w:rsidRPr="003C1CCC">
        <w:rPr>
          <w:rFonts w:asciiTheme="minorBidi" w:hAnsiTheme="minorBidi" w:cstheme="minorBidi"/>
          <w:szCs w:val="22"/>
          <w:lang w:val="en-GB"/>
        </w:rPr>
        <w:t>, for which the Committee acknowledged remarkable progress</w:t>
      </w:r>
      <w:r w:rsidR="002925AE" w:rsidRPr="003C1CCC">
        <w:rPr>
          <w:rFonts w:asciiTheme="minorBidi" w:hAnsiTheme="minorBidi" w:cstheme="minorBidi"/>
          <w:szCs w:val="22"/>
          <w:lang w:val="en-GB"/>
        </w:rPr>
        <w:t xml:space="preserve"> </w:t>
      </w:r>
      <w:r w:rsidR="00055FE1" w:rsidRPr="003C1CCC">
        <w:rPr>
          <w:rFonts w:asciiTheme="minorBidi" w:hAnsiTheme="minorBidi" w:cstheme="minorBidi"/>
          <w:szCs w:val="22"/>
          <w:lang w:val="en-GB"/>
        </w:rPr>
        <w:t>in comparison to the past reporting cycles</w:t>
      </w:r>
      <w:r w:rsidR="00E539D7">
        <w:rPr>
          <w:rFonts w:asciiTheme="minorBidi" w:hAnsiTheme="minorBidi" w:cstheme="minorBidi"/>
          <w:szCs w:val="22"/>
          <w:lang w:val="en-GB"/>
        </w:rPr>
        <w:t xml:space="preserve"> </w:t>
      </w:r>
      <w:r w:rsidR="00E539D7" w:rsidRPr="005D7200">
        <w:rPr>
          <w:rFonts w:asciiTheme="minorBidi" w:hAnsiTheme="minorBidi" w:cstheme="minorBidi"/>
          <w:szCs w:val="22"/>
          <w:lang w:val="en-GB"/>
        </w:rPr>
        <w:t>(</w:t>
      </w:r>
      <w:r w:rsidR="00173E3F" w:rsidRPr="005D7200">
        <w:rPr>
          <w:rFonts w:asciiTheme="minorBidi" w:hAnsiTheme="minorBidi" w:cstheme="minorBidi"/>
          <w:szCs w:val="22"/>
          <w:lang w:val="en-GB"/>
        </w:rPr>
        <w:t>the</w:t>
      </w:r>
      <w:r w:rsidR="006761D1" w:rsidRPr="005D7200">
        <w:rPr>
          <w:rFonts w:asciiTheme="minorBidi" w:hAnsiTheme="minorBidi" w:cstheme="minorBidi"/>
          <w:szCs w:val="22"/>
          <w:lang w:val="en-GB"/>
        </w:rPr>
        <w:t xml:space="preserve"> lowest submission rate </w:t>
      </w:r>
      <w:r w:rsidR="00173E3F" w:rsidRPr="005D7200">
        <w:rPr>
          <w:rFonts w:asciiTheme="minorBidi" w:hAnsiTheme="minorBidi" w:cstheme="minorBidi"/>
          <w:szCs w:val="22"/>
          <w:lang w:val="en-GB"/>
        </w:rPr>
        <w:t xml:space="preserve">of reports </w:t>
      </w:r>
      <w:r w:rsidR="00E539D7" w:rsidRPr="005D7200">
        <w:rPr>
          <w:rFonts w:asciiTheme="minorBidi" w:hAnsiTheme="minorBidi" w:cstheme="minorBidi"/>
          <w:szCs w:val="22"/>
          <w:lang w:val="en-GB"/>
        </w:rPr>
        <w:t>was</w:t>
      </w:r>
      <w:r w:rsidR="006761D1" w:rsidRPr="005D7200">
        <w:rPr>
          <w:rFonts w:asciiTheme="minorBidi" w:hAnsiTheme="minorBidi" w:cstheme="minorBidi"/>
          <w:szCs w:val="22"/>
          <w:lang w:val="en-GB"/>
        </w:rPr>
        <w:t xml:space="preserve"> </w:t>
      </w:r>
      <w:r w:rsidR="00055FE1" w:rsidRPr="005D7200">
        <w:rPr>
          <w:rFonts w:asciiTheme="minorBidi" w:hAnsiTheme="minorBidi" w:cstheme="minorBidi"/>
          <w:szCs w:val="22"/>
          <w:lang w:val="en-GB"/>
        </w:rPr>
        <w:t>16 per cent</w:t>
      </w:r>
      <w:r w:rsidR="006761D1" w:rsidRPr="00595310">
        <w:rPr>
          <w:rFonts w:asciiTheme="minorBidi" w:hAnsiTheme="minorBidi" w:cstheme="minorBidi"/>
          <w:szCs w:val="22"/>
          <w:lang w:val="en-GB"/>
        </w:rPr>
        <w:t xml:space="preserve"> in the 2016 cycle</w:t>
      </w:r>
      <w:r w:rsidR="00E539D7" w:rsidRPr="00A47C2B">
        <w:rPr>
          <w:rFonts w:asciiTheme="minorBidi" w:hAnsiTheme="minorBidi" w:cstheme="minorBidi"/>
          <w:szCs w:val="22"/>
          <w:lang w:val="en-GB"/>
        </w:rPr>
        <w:t>)</w:t>
      </w:r>
      <w:r w:rsidR="005B06D8" w:rsidRPr="00A47C2B">
        <w:rPr>
          <w:rFonts w:asciiTheme="minorBidi" w:hAnsiTheme="minorBidi" w:cstheme="minorBidi"/>
          <w:szCs w:val="22"/>
          <w:lang w:val="en-GB"/>
        </w:rPr>
        <w:t xml:space="preserve">. </w:t>
      </w:r>
      <w:r w:rsidR="00A14781" w:rsidRPr="00A47C2B">
        <w:rPr>
          <w:rFonts w:asciiTheme="minorBidi" w:hAnsiTheme="minorBidi" w:cstheme="minorBidi"/>
          <w:szCs w:val="22"/>
          <w:lang w:val="en-GB"/>
        </w:rPr>
        <w:t>Th</w:t>
      </w:r>
      <w:r w:rsidR="00425760" w:rsidRPr="00A47C2B">
        <w:rPr>
          <w:rFonts w:asciiTheme="minorBidi" w:hAnsiTheme="minorBidi" w:cstheme="minorBidi"/>
          <w:szCs w:val="22"/>
          <w:lang w:val="en-GB"/>
        </w:rPr>
        <w:t xml:space="preserve">is </w:t>
      </w:r>
      <w:r w:rsidR="00A14781" w:rsidRPr="00A47C2B">
        <w:rPr>
          <w:rFonts w:asciiTheme="minorBidi" w:hAnsiTheme="minorBidi" w:cstheme="minorBidi"/>
          <w:szCs w:val="22"/>
          <w:lang w:val="en-GB"/>
        </w:rPr>
        <w:t>s</w:t>
      </w:r>
      <w:r w:rsidR="005B06D8" w:rsidRPr="00A47C2B">
        <w:rPr>
          <w:rFonts w:asciiTheme="minorBidi" w:hAnsiTheme="minorBidi" w:cstheme="minorBidi"/>
          <w:szCs w:val="22"/>
          <w:lang w:val="en-GB"/>
        </w:rPr>
        <w:t xml:space="preserve">ignificant progress </w:t>
      </w:r>
      <w:r w:rsidR="00425760" w:rsidRPr="00A47C2B">
        <w:rPr>
          <w:rFonts w:asciiTheme="minorBidi" w:hAnsiTheme="minorBidi" w:cstheme="minorBidi"/>
          <w:szCs w:val="22"/>
          <w:lang w:val="en-GB"/>
        </w:rPr>
        <w:t>in the first cycle of the regional system of reporting testifies to the success of</w:t>
      </w:r>
      <w:r w:rsidR="00441559" w:rsidRPr="00A47C2B">
        <w:rPr>
          <w:rFonts w:asciiTheme="minorBidi" w:hAnsiTheme="minorBidi" w:cstheme="minorBidi"/>
          <w:szCs w:val="22"/>
          <w:lang w:val="en-GB"/>
        </w:rPr>
        <w:t xml:space="preserve"> </w:t>
      </w:r>
      <w:r w:rsidR="00353046" w:rsidRPr="00A47C2B">
        <w:rPr>
          <w:rFonts w:asciiTheme="minorBidi" w:hAnsiTheme="minorBidi" w:cstheme="minorBidi"/>
          <w:szCs w:val="22"/>
          <w:lang w:val="en-GB"/>
        </w:rPr>
        <w:t>the</w:t>
      </w:r>
      <w:r w:rsidR="004467B1" w:rsidRPr="00A47C2B">
        <w:rPr>
          <w:rFonts w:asciiTheme="minorBidi" w:hAnsiTheme="minorBidi" w:cstheme="minorBidi"/>
          <w:szCs w:val="22"/>
          <w:lang w:val="en-GB"/>
        </w:rPr>
        <w:t xml:space="preserve"> </w:t>
      </w:r>
      <w:r w:rsidR="00441559" w:rsidRPr="00A47C2B">
        <w:rPr>
          <w:rFonts w:asciiTheme="minorBidi" w:hAnsiTheme="minorBidi" w:cstheme="minorBidi"/>
          <w:szCs w:val="22"/>
          <w:lang w:val="en-GB"/>
        </w:rPr>
        <w:t>reform</w:t>
      </w:r>
      <w:r w:rsidR="004467B1" w:rsidRPr="00A47C2B">
        <w:rPr>
          <w:rFonts w:asciiTheme="minorBidi" w:hAnsiTheme="minorBidi" w:cstheme="minorBidi"/>
          <w:szCs w:val="22"/>
          <w:lang w:val="en-GB"/>
        </w:rPr>
        <w:t>, which</w:t>
      </w:r>
      <w:r w:rsidR="00425760" w:rsidRPr="00A47C2B">
        <w:rPr>
          <w:rFonts w:asciiTheme="minorBidi" w:hAnsiTheme="minorBidi" w:cstheme="minorBidi"/>
          <w:szCs w:val="22"/>
          <w:lang w:val="en-GB"/>
        </w:rPr>
        <w:t xml:space="preserve"> also</w:t>
      </w:r>
      <w:r w:rsidR="004467B1" w:rsidRPr="00A47C2B">
        <w:rPr>
          <w:rFonts w:asciiTheme="minorBidi" w:hAnsiTheme="minorBidi" w:cstheme="minorBidi"/>
          <w:szCs w:val="22"/>
          <w:lang w:val="en-GB"/>
        </w:rPr>
        <w:t xml:space="preserve"> </w:t>
      </w:r>
      <w:r w:rsidR="00D43118" w:rsidRPr="00A47C2B">
        <w:rPr>
          <w:rFonts w:asciiTheme="minorBidi" w:hAnsiTheme="minorBidi" w:cstheme="minorBidi"/>
          <w:szCs w:val="22"/>
          <w:lang w:val="en-GB"/>
        </w:rPr>
        <w:t>align</w:t>
      </w:r>
      <w:r w:rsidR="00425760" w:rsidRPr="00A47C2B">
        <w:rPr>
          <w:rFonts w:asciiTheme="minorBidi" w:hAnsiTheme="minorBidi" w:cstheme="minorBidi"/>
          <w:szCs w:val="22"/>
          <w:lang w:val="en-GB"/>
        </w:rPr>
        <w:t>ed</w:t>
      </w:r>
      <w:r w:rsidR="00D43118" w:rsidRPr="00A47C2B">
        <w:rPr>
          <w:rFonts w:asciiTheme="minorBidi" w:hAnsiTheme="minorBidi" w:cstheme="minorBidi"/>
          <w:szCs w:val="22"/>
          <w:lang w:val="en-GB"/>
        </w:rPr>
        <w:t xml:space="preserve"> the repo</w:t>
      </w:r>
      <w:r w:rsidR="004467B1" w:rsidRPr="00A47C2B">
        <w:rPr>
          <w:rFonts w:asciiTheme="minorBidi" w:hAnsiTheme="minorBidi" w:cstheme="minorBidi"/>
          <w:szCs w:val="22"/>
          <w:lang w:val="en-GB"/>
        </w:rPr>
        <w:t>r</w:t>
      </w:r>
      <w:r w:rsidR="00D43118" w:rsidRPr="00A47C2B">
        <w:rPr>
          <w:rFonts w:asciiTheme="minorBidi" w:hAnsiTheme="minorBidi" w:cstheme="minorBidi"/>
          <w:szCs w:val="22"/>
          <w:lang w:val="en-GB"/>
        </w:rPr>
        <w:t xml:space="preserve">ting </w:t>
      </w:r>
      <w:r w:rsidR="004467B1" w:rsidRPr="00A47C2B">
        <w:rPr>
          <w:rFonts w:asciiTheme="minorBidi" w:hAnsiTheme="minorBidi" w:cstheme="minorBidi"/>
          <w:szCs w:val="22"/>
          <w:lang w:val="en-GB"/>
        </w:rPr>
        <w:t xml:space="preserve">with </w:t>
      </w:r>
      <w:r w:rsidR="00353046" w:rsidRPr="00A47C2B">
        <w:rPr>
          <w:rFonts w:asciiTheme="minorBidi" w:hAnsiTheme="minorBidi" w:cstheme="minorBidi"/>
          <w:szCs w:val="22"/>
          <w:lang w:val="en-GB"/>
        </w:rPr>
        <w:t>t</w:t>
      </w:r>
      <w:r w:rsidR="004467B1" w:rsidRPr="00A47C2B">
        <w:rPr>
          <w:rFonts w:asciiTheme="minorBidi" w:hAnsiTheme="minorBidi" w:cstheme="minorBidi"/>
          <w:szCs w:val="22"/>
          <w:lang w:val="en-GB"/>
        </w:rPr>
        <w:t>h</w:t>
      </w:r>
      <w:r w:rsidR="00353046" w:rsidRPr="00A47C2B">
        <w:rPr>
          <w:rFonts w:asciiTheme="minorBidi" w:hAnsiTheme="minorBidi" w:cstheme="minorBidi"/>
          <w:szCs w:val="22"/>
          <w:lang w:val="en-GB"/>
        </w:rPr>
        <w:t>e</w:t>
      </w:r>
      <w:r w:rsidR="004467B1" w:rsidRPr="00A47C2B">
        <w:rPr>
          <w:rFonts w:asciiTheme="minorBidi" w:hAnsiTheme="minorBidi" w:cstheme="minorBidi"/>
          <w:szCs w:val="22"/>
          <w:lang w:val="en-GB"/>
        </w:rPr>
        <w:t xml:space="preserve"> Overall </w:t>
      </w:r>
      <w:r w:rsidR="00425760" w:rsidRPr="00A47C2B">
        <w:rPr>
          <w:rFonts w:asciiTheme="minorBidi" w:hAnsiTheme="minorBidi" w:cstheme="minorBidi"/>
          <w:szCs w:val="22"/>
          <w:lang w:val="en-GB"/>
        </w:rPr>
        <w:t>R</w:t>
      </w:r>
      <w:r w:rsidR="004467B1" w:rsidRPr="00A47C2B">
        <w:rPr>
          <w:rFonts w:asciiTheme="minorBidi" w:hAnsiTheme="minorBidi" w:cstheme="minorBidi"/>
          <w:szCs w:val="22"/>
          <w:lang w:val="en-GB"/>
        </w:rPr>
        <w:t xml:space="preserve">esults </w:t>
      </w:r>
      <w:r w:rsidR="00425760" w:rsidRPr="00A47C2B">
        <w:rPr>
          <w:rFonts w:asciiTheme="minorBidi" w:hAnsiTheme="minorBidi" w:cstheme="minorBidi"/>
          <w:szCs w:val="22"/>
          <w:lang w:val="en-GB"/>
        </w:rPr>
        <w:t>F</w:t>
      </w:r>
      <w:r w:rsidR="004467B1" w:rsidRPr="00A47C2B">
        <w:rPr>
          <w:rFonts w:asciiTheme="minorBidi" w:hAnsiTheme="minorBidi" w:cstheme="minorBidi"/>
          <w:szCs w:val="22"/>
          <w:lang w:val="en-GB"/>
        </w:rPr>
        <w:t xml:space="preserve">ramework </w:t>
      </w:r>
      <w:r w:rsidR="00425760" w:rsidRPr="00A47C2B">
        <w:rPr>
          <w:rFonts w:asciiTheme="minorBidi" w:hAnsiTheme="minorBidi" w:cstheme="minorBidi"/>
          <w:szCs w:val="22"/>
          <w:lang w:val="en-GB"/>
        </w:rPr>
        <w:t>so as to encourage</w:t>
      </w:r>
      <w:r w:rsidR="00D43118" w:rsidRPr="00A47C2B">
        <w:rPr>
          <w:rFonts w:asciiTheme="minorBidi" w:hAnsiTheme="minorBidi" w:cstheme="minorBidi"/>
          <w:szCs w:val="22"/>
          <w:lang w:val="en-GB"/>
        </w:rPr>
        <w:t xml:space="preserve"> </w:t>
      </w:r>
      <w:r w:rsidR="00D43118" w:rsidRPr="00A47C2B">
        <w:rPr>
          <w:lang w:val="en-US"/>
        </w:rPr>
        <w:t>results-based reporting</w:t>
      </w:r>
      <w:r w:rsidR="00511053" w:rsidRPr="00A47C2B">
        <w:rPr>
          <w:lang w:val="en-US"/>
        </w:rPr>
        <w:t>,</w:t>
      </w:r>
      <w:r w:rsidR="004467B1" w:rsidRPr="00A47C2B">
        <w:rPr>
          <w:lang w:val="en-US"/>
        </w:rPr>
        <w:t xml:space="preserve"> a</w:t>
      </w:r>
      <w:r w:rsidR="006D3C92" w:rsidRPr="00A47C2B">
        <w:rPr>
          <w:lang w:val="en-US"/>
        </w:rPr>
        <w:t>s well as</w:t>
      </w:r>
      <w:r w:rsidR="004467B1" w:rsidRPr="00A47C2B">
        <w:rPr>
          <w:lang w:val="en-US"/>
        </w:rPr>
        <w:t xml:space="preserve"> the </w:t>
      </w:r>
      <w:r w:rsidR="00511053" w:rsidRPr="00A47C2B">
        <w:rPr>
          <w:lang w:val="en-US"/>
        </w:rPr>
        <w:t xml:space="preserve">development </w:t>
      </w:r>
      <w:r w:rsidR="00A14781" w:rsidRPr="00A47C2B">
        <w:rPr>
          <w:lang w:val="en-US"/>
        </w:rPr>
        <w:t xml:space="preserve">and implementation </w:t>
      </w:r>
      <w:r w:rsidR="00511053" w:rsidRPr="00A47C2B">
        <w:rPr>
          <w:lang w:val="en-US"/>
        </w:rPr>
        <w:t xml:space="preserve">of </w:t>
      </w:r>
      <w:r w:rsidR="00425760" w:rsidRPr="00A47C2B">
        <w:rPr>
          <w:lang w:val="en-US"/>
        </w:rPr>
        <w:t xml:space="preserve">a </w:t>
      </w:r>
      <w:r w:rsidR="004467B1" w:rsidRPr="00A47C2B">
        <w:rPr>
          <w:lang w:val="en-US"/>
        </w:rPr>
        <w:t xml:space="preserve">capacity-building </w:t>
      </w:r>
      <w:r w:rsidR="00425760" w:rsidRPr="00A47C2B">
        <w:rPr>
          <w:lang w:val="en-US"/>
        </w:rPr>
        <w:t>approach to accompany states in their reporting</w:t>
      </w:r>
      <w:r w:rsidR="00055FE1" w:rsidRPr="00A47C2B">
        <w:rPr>
          <w:rFonts w:asciiTheme="minorBidi" w:hAnsiTheme="minorBidi" w:cstheme="minorBidi"/>
          <w:szCs w:val="22"/>
          <w:lang w:val="en-GB"/>
        </w:rPr>
        <w:t>.</w:t>
      </w:r>
    </w:p>
    <w:p w14:paraId="42584ED9" w14:textId="77777777" w:rsidR="00CA3AC4" w:rsidRPr="003C1CCC" w:rsidRDefault="00CA3AC4" w:rsidP="00A47C2B">
      <w:pPr>
        <w:keepNext/>
        <w:numPr>
          <w:ilvl w:val="0"/>
          <w:numId w:val="17"/>
        </w:numPr>
        <w:tabs>
          <w:tab w:val="clear" w:pos="720"/>
        </w:tabs>
        <w:spacing w:before="240" w:after="120"/>
        <w:ind w:left="567" w:hanging="567"/>
        <w:jc w:val="both"/>
        <w:rPr>
          <w:rFonts w:ascii="Arial" w:hAnsi="Arial" w:cs="Arial"/>
          <w:b/>
          <w:sz w:val="22"/>
          <w:szCs w:val="22"/>
          <w:lang w:val="en-GB"/>
        </w:rPr>
      </w:pPr>
      <w:r w:rsidRPr="003C1CCC">
        <w:rPr>
          <w:rFonts w:ascii="Arial" w:hAnsi="Arial" w:cs="Arial"/>
          <w:b/>
          <w:sz w:val="22"/>
          <w:szCs w:val="22"/>
          <w:lang w:val="en-GB"/>
        </w:rPr>
        <w:t>Inscriptions on the Lists of the Convention, selection of good safeguarding practices and granting of International Assistance</w:t>
      </w:r>
      <w:r w:rsidRPr="003C1CCC">
        <w:rPr>
          <w:rFonts w:ascii="Arial" w:hAnsi="Arial" w:cs="Arial"/>
          <w:sz w:val="22"/>
          <w:szCs w:val="22"/>
          <w:lang w:val="en-GB"/>
        </w:rPr>
        <w:t xml:space="preserve"> (Article 7[g])</w:t>
      </w:r>
    </w:p>
    <w:p w14:paraId="5CF4EDF1" w14:textId="55CFFC47" w:rsidR="0059761D" w:rsidRPr="00401F6B" w:rsidRDefault="001D7317" w:rsidP="00401F6B">
      <w:pPr>
        <w:pStyle w:val="Marge"/>
        <w:numPr>
          <w:ilvl w:val="0"/>
          <w:numId w:val="16"/>
        </w:numPr>
        <w:tabs>
          <w:tab w:val="clear" w:pos="502"/>
          <w:tab w:val="num" w:pos="567"/>
        </w:tabs>
        <w:spacing w:after="120"/>
        <w:ind w:left="567" w:hanging="567"/>
        <w:rPr>
          <w:rFonts w:asciiTheme="minorBidi" w:hAnsiTheme="minorBidi"/>
          <w:szCs w:val="22"/>
          <w:lang w:val="en-GB"/>
        </w:rPr>
      </w:pPr>
      <w:r w:rsidRPr="003C1CCC">
        <w:rPr>
          <w:rFonts w:asciiTheme="minorBidi" w:hAnsiTheme="minorBidi" w:cstheme="minorBidi"/>
          <w:szCs w:val="22"/>
          <w:lang w:val="en-GB"/>
        </w:rPr>
        <w:t>T</w:t>
      </w:r>
      <w:r w:rsidR="00CA3AC4" w:rsidRPr="003C1CCC">
        <w:rPr>
          <w:rFonts w:asciiTheme="minorBidi" w:hAnsiTheme="minorBidi" w:cstheme="minorBidi"/>
          <w:szCs w:val="22"/>
          <w:lang w:val="en-GB"/>
        </w:rPr>
        <w:t xml:space="preserve">he </w:t>
      </w:r>
      <w:r w:rsidR="00CA3AC4" w:rsidRPr="007B430A">
        <w:rPr>
          <w:rFonts w:asciiTheme="minorBidi" w:hAnsiTheme="minorBidi" w:cstheme="minorBidi"/>
          <w:szCs w:val="22"/>
          <w:lang w:val="en-GB"/>
        </w:rPr>
        <w:t xml:space="preserve">Committee </w:t>
      </w:r>
      <w:r w:rsidR="00CA3AC4" w:rsidRPr="005F4C17">
        <w:rPr>
          <w:rFonts w:asciiTheme="minorBidi" w:hAnsiTheme="minorBidi" w:cstheme="minorBidi"/>
          <w:szCs w:val="22"/>
          <w:lang w:val="en-GB"/>
        </w:rPr>
        <w:t xml:space="preserve">examined </w:t>
      </w:r>
      <w:r w:rsidR="001A3CD2" w:rsidRPr="005F4C17">
        <w:rPr>
          <w:rFonts w:asciiTheme="minorBidi" w:hAnsiTheme="minorBidi" w:cstheme="minorBidi"/>
          <w:szCs w:val="22"/>
          <w:lang w:val="en-GB"/>
        </w:rPr>
        <w:t>93</w:t>
      </w:r>
      <w:r w:rsidR="00CA3AC4" w:rsidRPr="005F4C17">
        <w:rPr>
          <w:rFonts w:asciiTheme="minorBidi" w:hAnsiTheme="minorBidi" w:cstheme="minorBidi"/>
          <w:szCs w:val="22"/>
          <w:lang w:val="en-GB"/>
        </w:rPr>
        <w:t xml:space="preserve"> files</w:t>
      </w:r>
      <w:r w:rsidR="00CA3AC4" w:rsidRPr="004B5120">
        <w:rPr>
          <w:rFonts w:asciiTheme="minorBidi" w:hAnsiTheme="minorBidi" w:cstheme="minorBidi"/>
          <w:szCs w:val="22"/>
          <w:lang w:val="en-GB"/>
        </w:rPr>
        <w:t xml:space="preserve"> </w:t>
      </w:r>
      <w:r w:rsidR="00CA3AC4" w:rsidRPr="007B430A">
        <w:rPr>
          <w:rFonts w:asciiTheme="minorBidi" w:hAnsiTheme="minorBidi" w:cstheme="minorBidi"/>
          <w:szCs w:val="22"/>
          <w:lang w:val="en-GB"/>
        </w:rPr>
        <w:t xml:space="preserve">and inscribed </w:t>
      </w:r>
      <w:r w:rsidR="00CA3AC4" w:rsidRPr="005F4C17">
        <w:rPr>
          <w:rFonts w:asciiTheme="minorBidi" w:hAnsiTheme="minorBidi" w:cstheme="minorBidi"/>
          <w:szCs w:val="22"/>
          <w:lang w:val="en-GB"/>
        </w:rPr>
        <w:t xml:space="preserve">a total of </w:t>
      </w:r>
      <w:r w:rsidR="00403A79" w:rsidRPr="005F4C17">
        <w:rPr>
          <w:rFonts w:asciiTheme="minorBidi" w:hAnsiTheme="minorBidi" w:cstheme="minorBidi"/>
          <w:szCs w:val="22"/>
          <w:lang w:val="en-GB"/>
        </w:rPr>
        <w:t>seventy-four</w:t>
      </w:r>
      <w:r w:rsidR="00E539D7" w:rsidRPr="005F4C17">
        <w:rPr>
          <w:rFonts w:asciiTheme="minorBidi" w:hAnsiTheme="minorBidi" w:cstheme="minorBidi"/>
          <w:szCs w:val="22"/>
          <w:lang w:val="en-GB"/>
        </w:rPr>
        <w:t xml:space="preserve"> </w:t>
      </w:r>
      <w:r w:rsidR="00CA3AC4" w:rsidRPr="005F4C17">
        <w:rPr>
          <w:rFonts w:asciiTheme="minorBidi" w:hAnsiTheme="minorBidi" w:cstheme="minorBidi"/>
          <w:szCs w:val="22"/>
          <w:lang w:val="en-GB"/>
        </w:rPr>
        <w:t>elements</w:t>
      </w:r>
      <w:r w:rsidR="00CA3AC4" w:rsidRPr="007B430A">
        <w:rPr>
          <w:rFonts w:asciiTheme="minorBidi" w:hAnsiTheme="minorBidi" w:cstheme="minorBidi"/>
          <w:szCs w:val="22"/>
          <w:lang w:val="en-GB"/>
        </w:rPr>
        <w:t xml:space="preserve"> on the Lists of the Convention: </w:t>
      </w:r>
      <w:r w:rsidR="00403A79" w:rsidRPr="00964312">
        <w:rPr>
          <w:rFonts w:asciiTheme="minorBidi" w:hAnsiTheme="minorBidi" w:cstheme="minorBidi"/>
          <w:szCs w:val="22"/>
          <w:lang w:val="en-GB"/>
        </w:rPr>
        <w:t xml:space="preserve">seven </w:t>
      </w:r>
      <w:r w:rsidR="00CA3AC4" w:rsidRPr="00964312">
        <w:rPr>
          <w:rFonts w:asciiTheme="minorBidi" w:hAnsiTheme="minorBidi" w:cstheme="minorBidi"/>
          <w:szCs w:val="22"/>
          <w:lang w:val="en-GB"/>
        </w:rPr>
        <w:t xml:space="preserve">on the Urgent Safeguarding List and </w:t>
      </w:r>
      <w:r w:rsidR="00403A79" w:rsidRPr="00964312">
        <w:rPr>
          <w:rFonts w:asciiTheme="minorBidi" w:hAnsiTheme="minorBidi" w:cstheme="minorBidi"/>
          <w:szCs w:val="22"/>
          <w:lang w:val="en-GB"/>
        </w:rPr>
        <w:t>sixty-seven</w:t>
      </w:r>
      <w:r w:rsidR="00E539D7" w:rsidRPr="00964312">
        <w:rPr>
          <w:rFonts w:asciiTheme="minorBidi" w:hAnsiTheme="minorBidi" w:cstheme="minorBidi"/>
          <w:szCs w:val="22"/>
          <w:lang w:val="en-GB"/>
        </w:rPr>
        <w:t xml:space="preserve"> </w:t>
      </w:r>
      <w:r w:rsidR="00CA3AC4" w:rsidRPr="00D2474B">
        <w:rPr>
          <w:rFonts w:asciiTheme="minorBidi" w:hAnsiTheme="minorBidi" w:cstheme="minorBidi"/>
          <w:szCs w:val="22"/>
          <w:lang w:val="en-GB"/>
        </w:rPr>
        <w:t xml:space="preserve">on the Representative List. </w:t>
      </w:r>
      <w:r w:rsidR="005E311C" w:rsidRPr="00964312">
        <w:rPr>
          <w:rFonts w:asciiTheme="minorBidi" w:hAnsiTheme="minorBidi" w:cstheme="minorBidi"/>
          <w:szCs w:val="22"/>
          <w:lang w:val="en-GB"/>
        </w:rPr>
        <w:t>I</w:t>
      </w:r>
      <w:r w:rsidR="00216AC6" w:rsidRPr="00964312">
        <w:rPr>
          <w:rFonts w:asciiTheme="minorBidi" w:hAnsiTheme="minorBidi" w:cstheme="minorBidi"/>
          <w:szCs w:val="22"/>
          <w:lang w:val="en-GB"/>
        </w:rPr>
        <w:t>n addition,</w:t>
      </w:r>
      <w:r w:rsidR="00CA3AC4" w:rsidRPr="00964312">
        <w:rPr>
          <w:rFonts w:asciiTheme="minorBidi" w:hAnsiTheme="minorBidi" w:cstheme="minorBidi"/>
          <w:szCs w:val="22"/>
          <w:lang w:val="en-GB"/>
        </w:rPr>
        <w:t xml:space="preserve"> </w:t>
      </w:r>
      <w:r w:rsidR="00216AC6" w:rsidRPr="00964312">
        <w:rPr>
          <w:rFonts w:asciiTheme="minorBidi" w:hAnsiTheme="minorBidi" w:cstheme="minorBidi"/>
          <w:szCs w:val="22"/>
          <w:lang w:val="en-GB"/>
        </w:rPr>
        <w:t xml:space="preserve">it </w:t>
      </w:r>
      <w:r w:rsidR="00CA3AC4" w:rsidRPr="00964312">
        <w:rPr>
          <w:rFonts w:asciiTheme="minorBidi" w:hAnsiTheme="minorBidi" w:cstheme="minorBidi"/>
          <w:szCs w:val="22"/>
          <w:lang w:val="en-GB"/>
        </w:rPr>
        <w:t xml:space="preserve">selected </w:t>
      </w:r>
      <w:r w:rsidR="00403A79" w:rsidRPr="00964312">
        <w:rPr>
          <w:rFonts w:asciiTheme="minorBidi" w:hAnsiTheme="minorBidi" w:cstheme="minorBidi"/>
          <w:szCs w:val="22"/>
          <w:lang w:val="en-GB"/>
        </w:rPr>
        <w:t>seven</w:t>
      </w:r>
      <w:r w:rsidR="00E539D7" w:rsidRPr="00964312">
        <w:rPr>
          <w:rFonts w:asciiTheme="minorBidi" w:hAnsiTheme="minorBidi" w:cstheme="minorBidi"/>
          <w:szCs w:val="22"/>
          <w:lang w:val="en-GB"/>
        </w:rPr>
        <w:t xml:space="preserve"> </w:t>
      </w:r>
      <w:r w:rsidR="00CA3AC4" w:rsidRPr="00D2474B">
        <w:rPr>
          <w:rFonts w:asciiTheme="minorBidi" w:hAnsiTheme="minorBidi" w:cstheme="minorBidi"/>
          <w:szCs w:val="22"/>
          <w:lang w:val="en-GB"/>
        </w:rPr>
        <w:t>good safeguarding p</w:t>
      </w:r>
      <w:r w:rsidR="00CA3AC4" w:rsidRPr="007B430A">
        <w:rPr>
          <w:rFonts w:asciiTheme="minorBidi" w:hAnsiTheme="minorBidi" w:cstheme="minorBidi"/>
          <w:szCs w:val="22"/>
          <w:lang w:val="en-GB"/>
        </w:rPr>
        <w:t xml:space="preserve">ractices. </w:t>
      </w:r>
      <w:r w:rsidR="005E311C" w:rsidRPr="005F4C17">
        <w:rPr>
          <w:rFonts w:asciiTheme="minorBidi" w:hAnsiTheme="minorBidi" w:cstheme="minorBidi"/>
          <w:szCs w:val="22"/>
          <w:lang w:val="en-GB"/>
        </w:rPr>
        <w:t>The </w:t>
      </w:r>
      <w:hyperlink r:id="rId27" w:history="1">
        <w:r w:rsidR="005E311C" w:rsidRPr="005F4C17">
          <w:rPr>
            <w:rFonts w:asciiTheme="minorBidi" w:hAnsiTheme="minorBidi" w:cstheme="minorBidi"/>
            <w:szCs w:val="22"/>
            <w:lang w:val="en-GB"/>
          </w:rPr>
          <w:t>Committee</w:t>
        </w:r>
      </w:hyperlink>
      <w:r w:rsidR="005E311C" w:rsidRPr="005F4C17">
        <w:rPr>
          <w:rFonts w:asciiTheme="minorBidi" w:hAnsiTheme="minorBidi" w:cstheme="minorBidi"/>
          <w:szCs w:val="22"/>
          <w:lang w:val="en-GB"/>
        </w:rPr>
        <w:t> </w:t>
      </w:r>
      <w:r w:rsidR="005E311C">
        <w:rPr>
          <w:rFonts w:asciiTheme="minorBidi" w:hAnsiTheme="minorBidi" w:cstheme="minorBidi"/>
          <w:szCs w:val="22"/>
          <w:lang w:val="en-GB"/>
        </w:rPr>
        <w:t>at its sixteenth session</w:t>
      </w:r>
      <w:r w:rsidR="005E311C" w:rsidRPr="005F4C17">
        <w:rPr>
          <w:rFonts w:asciiTheme="minorBidi" w:hAnsiTheme="minorBidi" w:cstheme="minorBidi"/>
          <w:szCs w:val="22"/>
          <w:lang w:val="en-GB"/>
        </w:rPr>
        <w:t xml:space="preserve"> </w:t>
      </w:r>
      <w:r w:rsidR="005E311C">
        <w:rPr>
          <w:rFonts w:asciiTheme="minorBidi" w:hAnsiTheme="minorBidi" w:cstheme="minorBidi"/>
          <w:szCs w:val="22"/>
          <w:lang w:val="en-GB"/>
        </w:rPr>
        <w:t xml:space="preserve">also </w:t>
      </w:r>
      <w:r w:rsidR="005E311C" w:rsidRPr="005F4C17">
        <w:rPr>
          <w:rFonts w:asciiTheme="minorBidi" w:hAnsiTheme="minorBidi" w:cstheme="minorBidi"/>
          <w:szCs w:val="22"/>
          <w:lang w:val="en-GB"/>
        </w:rPr>
        <w:t xml:space="preserve">decided to inscribe ‘Joumou soup’, nominated by Haiti, on the Representative List. </w:t>
      </w:r>
      <w:r w:rsidR="00CC5F50" w:rsidRPr="007B430A">
        <w:rPr>
          <w:rFonts w:asciiTheme="minorBidi" w:hAnsiTheme="minorBidi" w:cstheme="minorBidi"/>
          <w:szCs w:val="22"/>
          <w:lang w:val="en-GB"/>
        </w:rPr>
        <w:t xml:space="preserve">Further to the </w:t>
      </w:r>
      <w:r w:rsidR="00814BE5" w:rsidRPr="007B430A">
        <w:rPr>
          <w:rFonts w:asciiTheme="minorBidi" w:hAnsiTheme="minorBidi" w:cstheme="minorBidi"/>
          <w:szCs w:val="22"/>
          <w:lang w:val="en-GB"/>
        </w:rPr>
        <w:t>amendment</w:t>
      </w:r>
      <w:r w:rsidR="00CC5F50" w:rsidRPr="007B430A">
        <w:rPr>
          <w:rFonts w:asciiTheme="minorBidi" w:hAnsiTheme="minorBidi" w:cstheme="minorBidi"/>
          <w:szCs w:val="22"/>
          <w:lang w:val="en-GB"/>
        </w:rPr>
        <w:t xml:space="preserve"> </w:t>
      </w:r>
      <w:r w:rsidR="00814BE5" w:rsidRPr="007B430A">
        <w:rPr>
          <w:rFonts w:asciiTheme="minorBidi" w:hAnsiTheme="minorBidi" w:cstheme="minorBidi"/>
          <w:szCs w:val="22"/>
          <w:lang w:val="en-GB"/>
        </w:rPr>
        <w:t>to</w:t>
      </w:r>
      <w:r w:rsidR="00CC5F50" w:rsidRPr="007B430A">
        <w:rPr>
          <w:rFonts w:asciiTheme="minorBidi" w:hAnsiTheme="minorBidi" w:cstheme="minorBidi"/>
          <w:szCs w:val="22"/>
          <w:lang w:val="en-GB"/>
        </w:rPr>
        <w:t xml:space="preserve"> the Operational Directives </w:t>
      </w:r>
      <w:r w:rsidR="00814BE5" w:rsidRPr="007B430A">
        <w:rPr>
          <w:rFonts w:asciiTheme="minorBidi" w:hAnsiTheme="minorBidi" w:cstheme="minorBidi"/>
          <w:szCs w:val="22"/>
          <w:lang w:val="en-GB"/>
        </w:rPr>
        <w:t>approved</w:t>
      </w:r>
      <w:r w:rsidR="00814BE5" w:rsidRPr="003C1CCC">
        <w:rPr>
          <w:rFonts w:asciiTheme="minorBidi" w:hAnsiTheme="minorBidi" w:cstheme="minorBidi"/>
          <w:szCs w:val="22"/>
          <w:lang w:val="en-GB"/>
        </w:rPr>
        <w:t xml:space="preserve"> by</w:t>
      </w:r>
      <w:r w:rsidR="00CC5F50" w:rsidRPr="003C1CCC">
        <w:rPr>
          <w:rFonts w:asciiTheme="minorBidi" w:hAnsiTheme="minorBidi" w:cstheme="minorBidi"/>
          <w:szCs w:val="22"/>
          <w:lang w:val="en-GB"/>
        </w:rPr>
        <w:t xml:space="preserve"> the </w:t>
      </w:r>
      <w:r w:rsidR="00814BE5" w:rsidRPr="003C1CCC">
        <w:rPr>
          <w:rFonts w:asciiTheme="minorBidi" w:hAnsiTheme="minorBidi" w:cstheme="minorBidi"/>
          <w:szCs w:val="22"/>
          <w:lang w:val="en-GB"/>
        </w:rPr>
        <w:t>8.GA</w:t>
      </w:r>
      <w:r w:rsidR="00CC5F50" w:rsidRPr="003C1CCC">
        <w:rPr>
          <w:rFonts w:asciiTheme="minorBidi" w:hAnsiTheme="minorBidi" w:cstheme="minorBidi"/>
          <w:szCs w:val="22"/>
          <w:lang w:val="en-GB"/>
        </w:rPr>
        <w:t xml:space="preserve"> </w:t>
      </w:r>
      <w:r w:rsidR="00814BE5" w:rsidRPr="003C1CCC">
        <w:rPr>
          <w:rFonts w:asciiTheme="minorBidi" w:hAnsiTheme="minorBidi" w:cstheme="minorBidi"/>
          <w:szCs w:val="22"/>
          <w:lang w:val="en-GB"/>
        </w:rPr>
        <w:t>to include</w:t>
      </w:r>
      <w:r w:rsidR="00CC5F50" w:rsidRPr="003C1CCC">
        <w:rPr>
          <w:rFonts w:asciiTheme="minorBidi" w:hAnsiTheme="minorBidi" w:cstheme="minorBidi"/>
          <w:szCs w:val="22"/>
          <w:lang w:val="en-GB"/>
        </w:rPr>
        <w:t xml:space="preserve"> </w:t>
      </w:r>
      <w:r w:rsidR="00CC5F50" w:rsidRPr="003C1CCC">
        <w:rPr>
          <w:rFonts w:asciiTheme="minorBidi" w:hAnsiTheme="minorBidi" w:cstheme="minorBidi"/>
          <w:szCs w:val="22"/>
          <w:shd w:val="clear" w:color="auto" w:fill="FFFFFF"/>
          <w:lang w:val="en-GB"/>
        </w:rPr>
        <w:t xml:space="preserve">an intermediary dialogue process in the nomination cycle, the Committee </w:t>
      </w:r>
      <w:r w:rsidR="00814BE5" w:rsidRPr="003C1CCC">
        <w:rPr>
          <w:rFonts w:asciiTheme="minorBidi" w:hAnsiTheme="minorBidi" w:cstheme="minorBidi"/>
          <w:szCs w:val="22"/>
          <w:shd w:val="clear" w:color="auto" w:fill="FFFFFF"/>
          <w:lang w:val="en-GB"/>
        </w:rPr>
        <w:t>examined eleven files (2020 cycle) and fifteen files (2021 cycle), for which the dialogue process was initiated.</w:t>
      </w:r>
    </w:p>
    <w:p w14:paraId="047EEA8F" w14:textId="614CC039" w:rsidR="00DD585A" w:rsidRPr="003C1CCC" w:rsidRDefault="00023EC2" w:rsidP="00492C37">
      <w:pPr>
        <w:pStyle w:val="Marge"/>
        <w:numPr>
          <w:ilvl w:val="0"/>
          <w:numId w:val="16"/>
        </w:numPr>
        <w:tabs>
          <w:tab w:val="clear" w:pos="502"/>
          <w:tab w:val="num" w:pos="567"/>
        </w:tabs>
        <w:spacing w:after="120"/>
        <w:ind w:left="567" w:hanging="567"/>
        <w:rPr>
          <w:rFonts w:cs="Arial"/>
          <w:szCs w:val="22"/>
          <w:lang w:val="en-GB"/>
        </w:rPr>
      </w:pPr>
      <w:r w:rsidRPr="003C1CCC">
        <w:rPr>
          <w:rFonts w:cs="Arial"/>
          <w:szCs w:val="22"/>
          <w:lang w:val="en-GB"/>
        </w:rPr>
        <w:t xml:space="preserve">The Committee (for requests greater than US$100,000) at its </w:t>
      </w:r>
      <w:r w:rsidRPr="003C1CCC">
        <w:rPr>
          <w:rFonts w:asciiTheme="minorBidi" w:hAnsiTheme="minorBidi" w:cstheme="minorBidi"/>
          <w:szCs w:val="22"/>
          <w:lang w:val="en-GB"/>
        </w:rPr>
        <w:t>fifteenth and sixteenth sessions</w:t>
      </w:r>
      <w:r w:rsidRPr="003C1CCC">
        <w:rPr>
          <w:rFonts w:cs="Arial"/>
          <w:szCs w:val="22"/>
          <w:lang w:val="en-GB"/>
        </w:rPr>
        <w:t xml:space="preserve"> </w:t>
      </w:r>
      <w:r w:rsidR="00510D2D" w:rsidRPr="007B430A">
        <w:rPr>
          <w:rFonts w:cs="Arial"/>
          <w:szCs w:val="22"/>
          <w:lang w:val="en-GB"/>
        </w:rPr>
        <w:t>and</w:t>
      </w:r>
      <w:r w:rsidRPr="007B430A">
        <w:rPr>
          <w:rFonts w:cs="Arial"/>
          <w:szCs w:val="22"/>
          <w:lang w:val="en-GB"/>
        </w:rPr>
        <w:t xml:space="preserve"> the Bureau (for requests up to US$100,000 and emergency requests) approved a total of </w:t>
      </w:r>
      <w:r w:rsidR="00A36EB0" w:rsidRPr="005F4C17">
        <w:rPr>
          <w:rFonts w:cs="Arial"/>
          <w:szCs w:val="22"/>
          <w:lang w:val="en-GB"/>
        </w:rPr>
        <w:t>fifteen</w:t>
      </w:r>
      <w:r w:rsidR="00E539D7" w:rsidRPr="007B430A">
        <w:rPr>
          <w:rFonts w:cs="Arial"/>
          <w:szCs w:val="22"/>
          <w:lang w:val="en-GB"/>
        </w:rPr>
        <w:t xml:space="preserve"> </w:t>
      </w:r>
      <w:r w:rsidRPr="007B430A">
        <w:rPr>
          <w:rFonts w:cs="Arial"/>
          <w:szCs w:val="22"/>
          <w:lang w:val="en-GB"/>
        </w:rPr>
        <w:t xml:space="preserve">of </w:t>
      </w:r>
      <w:r w:rsidR="00E539D7" w:rsidRPr="007B430A">
        <w:rPr>
          <w:rFonts w:cs="Arial"/>
          <w:szCs w:val="22"/>
          <w:lang w:val="en-GB"/>
        </w:rPr>
        <w:t>twenty-two</w:t>
      </w:r>
      <w:r w:rsidRPr="007B430A">
        <w:rPr>
          <w:rFonts w:cs="Arial"/>
          <w:szCs w:val="22"/>
          <w:lang w:val="en-GB"/>
        </w:rPr>
        <w:t xml:space="preserve"> </w:t>
      </w:r>
      <w:r w:rsidRPr="007B430A">
        <w:rPr>
          <w:rFonts w:asciiTheme="minorBidi" w:hAnsiTheme="minorBidi" w:cstheme="minorBidi"/>
          <w:szCs w:val="22"/>
          <w:lang w:val="en-GB"/>
        </w:rPr>
        <w:t>requests</w:t>
      </w:r>
      <w:r w:rsidRPr="007B430A">
        <w:rPr>
          <w:rFonts w:cs="Arial"/>
          <w:szCs w:val="22"/>
          <w:lang w:val="en-GB"/>
        </w:rPr>
        <w:t xml:space="preserve"> for International Assistance, for a total amount </w:t>
      </w:r>
      <w:r w:rsidRPr="00CF318C">
        <w:rPr>
          <w:rFonts w:cs="Arial"/>
          <w:szCs w:val="22"/>
          <w:lang w:val="en-GB"/>
        </w:rPr>
        <w:t xml:space="preserve">of </w:t>
      </w:r>
      <w:r w:rsidRPr="005F4C17">
        <w:rPr>
          <w:rFonts w:cs="Arial"/>
          <w:szCs w:val="22"/>
          <w:lang w:val="en-GB"/>
        </w:rPr>
        <w:t>US$</w:t>
      </w:r>
      <w:r w:rsidR="0005178B" w:rsidRPr="005F4C17">
        <w:rPr>
          <w:rFonts w:cs="Arial"/>
          <w:szCs w:val="22"/>
          <w:lang w:val="en-GB"/>
        </w:rPr>
        <w:t>1</w:t>
      </w:r>
      <w:r w:rsidR="007D2815" w:rsidRPr="005F4C17">
        <w:rPr>
          <w:rFonts w:cs="Arial"/>
          <w:szCs w:val="22"/>
          <w:lang w:val="en-GB"/>
        </w:rPr>
        <w:t>,</w:t>
      </w:r>
      <w:r w:rsidR="00923094" w:rsidRPr="005F4C17">
        <w:rPr>
          <w:rFonts w:cs="Arial"/>
          <w:szCs w:val="22"/>
          <w:lang w:val="en-GB"/>
        </w:rPr>
        <w:t>659</w:t>
      </w:r>
      <w:r w:rsidR="0005178B" w:rsidRPr="005F4C17">
        <w:rPr>
          <w:rFonts w:cs="Arial"/>
          <w:szCs w:val="22"/>
          <w:lang w:val="en-GB"/>
        </w:rPr>
        <w:t>,</w:t>
      </w:r>
      <w:r w:rsidR="00923094" w:rsidRPr="005F4C17">
        <w:rPr>
          <w:rFonts w:cs="Arial"/>
          <w:szCs w:val="22"/>
          <w:lang w:val="en-GB"/>
        </w:rPr>
        <w:t>443</w:t>
      </w:r>
      <w:r w:rsidRPr="007B430A">
        <w:rPr>
          <w:rFonts w:cs="Arial"/>
          <w:szCs w:val="22"/>
          <w:lang w:val="en-GB"/>
        </w:rPr>
        <w:t xml:space="preserve"> during</w:t>
      </w:r>
      <w:r w:rsidRPr="003C1CCC">
        <w:rPr>
          <w:rFonts w:cs="Arial"/>
          <w:szCs w:val="22"/>
          <w:lang w:val="en-GB"/>
        </w:rPr>
        <w:t xml:space="preserve"> the reporting period (see also </w:t>
      </w:r>
      <w:r w:rsidRPr="00272420">
        <w:rPr>
          <w:rFonts w:cs="Arial"/>
          <w:szCs w:val="22"/>
          <w:lang w:val="en-GB"/>
        </w:rPr>
        <w:t xml:space="preserve">document </w:t>
      </w:r>
      <w:hyperlink r:id="rId28" w:history="1">
        <w:r w:rsidRPr="0059761D">
          <w:rPr>
            <w:rStyle w:val="Lienhypertexte"/>
            <w:lang w:val="en-GB"/>
          </w:rPr>
          <w:t>LHE/21/16.COM/</w:t>
        </w:r>
        <w:r w:rsidR="001000E5" w:rsidRPr="0059761D">
          <w:rPr>
            <w:rStyle w:val="Lienhypertexte"/>
            <w:lang w:val="en-GB"/>
          </w:rPr>
          <w:t>7</w:t>
        </w:r>
        <w:r w:rsidRPr="0059761D">
          <w:rPr>
            <w:rStyle w:val="Lienhypertexte"/>
            <w:lang w:val="en-GB"/>
          </w:rPr>
          <w:t>.</w:t>
        </w:r>
        <w:r w:rsidRPr="0059761D">
          <w:rPr>
            <w:rStyle w:val="Lienhypertexte"/>
            <w:rFonts w:cs="Arial"/>
            <w:szCs w:val="22"/>
            <w:lang w:val="en-GB"/>
          </w:rPr>
          <w:t>d</w:t>
        </w:r>
      </w:hyperlink>
      <w:r w:rsidRPr="00272420">
        <w:rPr>
          <w:rFonts w:cs="Arial"/>
          <w:szCs w:val="22"/>
          <w:lang w:val="en-GB"/>
        </w:rPr>
        <w:t xml:space="preserve"> for</w:t>
      </w:r>
      <w:r w:rsidRPr="003C1CCC">
        <w:rPr>
          <w:rFonts w:cs="Arial"/>
          <w:szCs w:val="22"/>
          <w:lang w:val="en-GB"/>
        </w:rPr>
        <w:t xml:space="preserve"> the report on the use of International Assistance by States Parties). A total of </w:t>
      </w:r>
      <w:r w:rsidR="00E539D7" w:rsidRPr="007B430A">
        <w:rPr>
          <w:rFonts w:cs="Arial"/>
          <w:szCs w:val="22"/>
          <w:lang w:val="en-GB"/>
        </w:rPr>
        <w:t>thirt</w:t>
      </w:r>
      <w:r w:rsidR="00FB6A1A">
        <w:rPr>
          <w:rFonts w:cs="Arial"/>
          <w:szCs w:val="22"/>
          <w:lang w:val="en-GB"/>
        </w:rPr>
        <w:t>y-one</w:t>
      </w:r>
      <w:r w:rsidR="00E539D7" w:rsidRPr="007B430A">
        <w:rPr>
          <w:rFonts w:cs="Arial"/>
          <w:szCs w:val="22"/>
          <w:lang w:val="en-GB"/>
        </w:rPr>
        <w:t xml:space="preserve"> </w:t>
      </w:r>
      <w:r w:rsidRPr="007B430A">
        <w:rPr>
          <w:rFonts w:cs="Arial"/>
          <w:szCs w:val="22"/>
          <w:lang w:val="en-GB"/>
        </w:rPr>
        <w:t>countries</w:t>
      </w:r>
      <w:r w:rsidRPr="003C1CCC">
        <w:rPr>
          <w:rFonts w:cs="Arial"/>
          <w:szCs w:val="22"/>
          <w:lang w:val="en-GB"/>
        </w:rPr>
        <w:t xml:space="preserve"> received financial assistance from the Fund during the reporting period.</w:t>
      </w:r>
    </w:p>
    <w:sectPr w:rsidR="00DD585A" w:rsidRPr="003C1CCC" w:rsidSect="00655736">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67FFA" w14:textId="77777777" w:rsidR="00EA1C18" w:rsidRDefault="00EA1C18" w:rsidP="00655736">
      <w:r>
        <w:separator/>
      </w:r>
    </w:p>
  </w:endnote>
  <w:endnote w:type="continuationSeparator" w:id="0">
    <w:p w14:paraId="66F0C5AC" w14:textId="77777777" w:rsidR="00EA1C18" w:rsidRDefault="00EA1C1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B6667" w14:textId="77777777" w:rsidR="008A1C60" w:rsidRDefault="008A1C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E7DF" w14:textId="77777777" w:rsidR="008A1C60" w:rsidRDefault="008A1C6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B94F" w14:textId="77777777" w:rsidR="008A1C60" w:rsidRDefault="008A1C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0CE5E" w14:textId="77777777" w:rsidR="00EA1C18" w:rsidRDefault="00EA1C18" w:rsidP="00655736">
      <w:r>
        <w:separator/>
      </w:r>
    </w:p>
  </w:footnote>
  <w:footnote w:type="continuationSeparator" w:id="0">
    <w:p w14:paraId="263F8EF8" w14:textId="77777777" w:rsidR="00EA1C18" w:rsidRDefault="00EA1C18"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A055" w14:textId="4E4CC30F" w:rsidR="00510D2D" w:rsidRPr="00C23A97" w:rsidRDefault="00510D2D" w:rsidP="00C5776D">
    <w:pPr>
      <w:pStyle w:val="En-tte"/>
      <w:rPr>
        <w:rFonts w:ascii="Arial" w:hAnsi="Arial" w:cs="Arial"/>
        <w:lang w:val="en-GB"/>
      </w:rPr>
    </w:pPr>
    <w:r>
      <w:rPr>
        <w:rFonts w:ascii="Arial" w:hAnsi="Arial" w:cs="Arial"/>
        <w:sz w:val="20"/>
        <w:szCs w:val="20"/>
        <w:lang w:val="en-GB"/>
      </w:rPr>
      <w:t>LHE/21/16.COM</w:t>
    </w:r>
    <w:r w:rsidRPr="00C23A97">
      <w:rPr>
        <w:rFonts w:ascii="Arial" w:hAnsi="Arial" w:cs="Arial"/>
        <w:sz w:val="20"/>
        <w:szCs w:val="20"/>
        <w:lang w:val="en-GB"/>
      </w:rPr>
      <w:t>/</w:t>
    </w:r>
    <w:r w:rsidRPr="00A47C2B">
      <w:rPr>
        <w:rFonts w:ascii="Arial" w:hAnsi="Arial" w:cs="Arial"/>
        <w:sz w:val="20"/>
        <w:szCs w:val="20"/>
        <w:lang w:val="en-GB"/>
      </w:rPr>
      <w:t>5.a</w:t>
    </w:r>
    <w:r w:rsidR="00400FB6">
      <w:rPr>
        <w:rFonts w:ascii="Arial" w:hAnsi="Arial" w:cs="Arial"/>
        <w:sz w:val="20"/>
        <w:szCs w:val="20"/>
        <w:lang w:val="en-GB"/>
      </w:rPr>
      <w:t xml:space="preserve"> Rev.</w:t>
    </w:r>
    <w:r w:rsidRPr="00C23A97">
      <w:rPr>
        <w:rFonts w:ascii="Arial" w:hAnsi="Arial" w:cs="Arial"/>
        <w:sz w:val="20"/>
        <w:szCs w:val="20"/>
        <w:lang w:val="en-GB"/>
      </w:rPr>
      <w:t xml:space="preserve"> – page </w:t>
    </w:r>
    <w:r w:rsidRPr="00C23A97">
      <w:rPr>
        <w:rStyle w:val="Numrodepage"/>
        <w:rFonts w:ascii="Arial" w:hAnsi="Arial" w:cs="Arial"/>
        <w:sz w:val="20"/>
        <w:szCs w:val="20"/>
        <w:lang w:val="en-GB"/>
      </w:rPr>
      <w:fldChar w:fldCharType="begin"/>
    </w:r>
    <w:r w:rsidRPr="00C23A97">
      <w:rPr>
        <w:rStyle w:val="Numrodepage"/>
        <w:rFonts w:ascii="Arial" w:hAnsi="Arial" w:cs="Arial"/>
        <w:sz w:val="20"/>
        <w:szCs w:val="20"/>
        <w:lang w:val="en-GB"/>
      </w:rPr>
      <w:instrText xml:space="preserve"> PAGE </w:instrText>
    </w:r>
    <w:r w:rsidRPr="00C23A97">
      <w:rPr>
        <w:rStyle w:val="Numrodepage"/>
        <w:rFonts w:ascii="Arial" w:hAnsi="Arial" w:cs="Arial"/>
        <w:sz w:val="20"/>
        <w:szCs w:val="20"/>
        <w:lang w:val="en-GB"/>
      </w:rPr>
      <w:fldChar w:fldCharType="separate"/>
    </w:r>
    <w:r>
      <w:rPr>
        <w:rStyle w:val="Numrodepage"/>
        <w:rFonts w:ascii="Arial" w:hAnsi="Arial" w:cs="Arial"/>
        <w:noProof/>
        <w:sz w:val="20"/>
        <w:szCs w:val="20"/>
        <w:lang w:val="en-GB"/>
      </w:rPr>
      <w:t>2</w:t>
    </w:r>
    <w:r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231B" w14:textId="0509AA0C" w:rsidR="00510D2D" w:rsidRPr="0063300C" w:rsidRDefault="00510D2D" w:rsidP="00C5776D">
    <w:pPr>
      <w:pStyle w:val="En-tte"/>
      <w:jc w:val="right"/>
      <w:rPr>
        <w:rFonts w:ascii="Arial" w:hAnsi="Arial" w:cs="Arial"/>
        <w:lang w:val="en-GB"/>
      </w:rPr>
    </w:pPr>
    <w:r>
      <w:rPr>
        <w:rFonts w:ascii="Arial" w:hAnsi="Arial" w:cs="Arial"/>
        <w:sz w:val="20"/>
        <w:szCs w:val="20"/>
        <w:lang w:val="en-GB"/>
      </w:rPr>
      <w:t>LHE/21/16.COM</w:t>
    </w:r>
    <w:r w:rsidRPr="0063300C">
      <w:rPr>
        <w:rFonts w:ascii="Arial" w:hAnsi="Arial" w:cs="Arial"/>
        <w:sz w:val="20"/>
        <w:szCs w:val="20"/>
        <w:lang w:val="en-GB"/>
      </w:rPr>
      <w:t>/</w:t>
    </w:r>
    <w:r w:rsidRPr="00A47C2B">
      <w:rPr>
        <w:rFonts w:ascii="Arial" w:hAnsi="Arial" w:cs="Arial"/>
        <w:sz w:val="20"/>
        <w:szCs w:val="20"/>
        <w:lang w:val="en-GB"/>
      </w:rPr>
      <w:t>5.a</w:t>
    </w:r>
    <w:r w:rsidR="00864635">
      <w:rPr>
        <w:rFonts w:ascii="Arial" w:hAnsi="Arial" w:cs="Arial"/>
        <w:sz w:val="20"/>
        <w:szCs w:val="20"/>
        <w:lang w:val="en-GB"/>
      </w:rPr>
      <w:t xml:space="preserve"> Rev.</w:t>
    </w:r>
    <w:r w:rsidRPr="00E2125F">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Numrodepage"/>
        <w:rFonts w:ascii="Arial" w:hAnsi="Arial" w:cs="Arial"/>
        <w:sz w:val="20"/>
        <w:szCs w:val="20"/>
        <w:lang w:val="en-GB"/>
      </w:rPr>
      <w:fldChar w:fldCharType="begin"/>
    </w:r>
    <w:r w:rsidRPr="0063300C">
      <w:rPr>
        <w:rStyle w:val="Numrodepage"/>
        <w:rFonts w:ascii="Arial" w:hAnsi="Arial" w:cs="Arial"/>
        <w:sz w:val="20"/>
        <w:szCs w:val="20"/>
        <w:lang w:val="en-GB"/>
      </w:rPr>
      <w:instrText xml:space="preserve"> PAGE </w:instrText>
    </w:r>
    <w:r w:rsidRPr="0063300C">
      <w:rPr>
        <w:rStyle w:val="Numrodepage"/>
        <w:rFonts w:ascii="Arial" w:hAnsi="Arial" w:cs="Arial"/>
        <w:sz w:val="20"/>
        <w:szCs w:val="20"/>
        <w:lang w:val="en-GB"/>
      </w:rPr>
      <w:fldChar w:fldCharType="separate"/>
    </w:r>
    <w:r>
      <w:rPr>
        <w:rStyle w:val="Numrodepage"/>
        <w:rFonts w:ascii="Arial" w:hAnsi="Arial" w:cs="Arial"/>
        <w:noProof/>
        <w:sz w:val="20"/>
        <w:szCs w:val="20"/>
        <w:lang w:val="en-GB"/>
      </w:rPr>
      <w:t>3</w:t>
    </w:r>
    <w:r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B9E0" w14:textId="6EFEA957" w:rsidR="00510D2D" w:rsidRPr="00AF21C3" w:rsidRDefault="00602194">
    <w:pPr>
      <w:pStyle w:val="En-tte"/>
      <w:rPr>
        <w:sz w:val="22"/>
        <w:szCs w:val="22"/>
        <w:lang w:val="pt-PT"/>
      </w:rPr>
    </w:pPr>
    <w:r>
      <w:rPr>
        <w:noProof/>
        <w:lang w:val="en-US" w:eastAsia="en-US"/>
      </w:rPr>
      <w:drawing>
        <wp:anchor distT="0" distB="0" distL="114300" distR="114300" simplePos="0" relativeHeight="251659264" behindDoc="0" locked="0" layoutInCell="1" allowOverlap="1" wp14:anchorId="3AB35F73" wp14:editId="41FA5EDF">
          <wp:simplePos x="0" y="0"/>
          <wp:positionH relativeFrom="column">
            <wp:posOffset>39370</wp:posOffset>
          </wp:positionH>
          <wp:positionV relativeFrom="paragraph">
            <wp:posOffset>41910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1BA222D0" w:rsidR="00510D2D" w:rsidRPr="00D7105A" w:rsidRDefault="00510D2D" w:rsidP="00C5776D">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6</w:t>
    </w:r>
    <w:r w:rsidRPr="00D7105A">
      <w:rPr>
        <w:rFonts w:ascii="Arial" w:hAnsi="Arial" w:cs="Arial"/>
        <w:b/>
        <w:sz w:val="44"/>
        <w:szCs w:val="44"/>
        <w:lang w:val="pt-PT"/>
      </w:rPr>
      <w:t xml:space="preserve"> COM</w:t>
    </w:r>
  </w:p>
  <w:p w14:paraId="306484B8" w14:textId="3FDF5195" w:rsidR="00510D2D" w:rsidRPr="000F583D" w:rsidRDefault="00510D2D" w:rsidP="00C5776D">
    <w:pPr>
      <w:jc w:val="right"/>
      <w:rPr>
        <w:rFonts w:ascii="Arial" w:hAnsi="Arial" w:cs="Arial"/>
        <w:b/>
        <w:sz w:val="22"/>
        <w:szCs w:val="22"/>
        <w:lang w:val="pt-PT"/>
      </w:rPr>
    </w:pPr>
    <w:bookmarkStart w:id="1" w:name="_Hlk90675712"/>
    <w:r w:rsidRPr="000F583D">
      <w:rPr>
        <w:rFonts w:ascii="Arial" w:hAnsi="Arial" w:cs="Arial"/>
        <w:b/>
        <w:sz w:val="22"/>
        <w:szCs w:val="22"/>
        <w:lang w:val="pt-PT"/>
      </w:rPr>
      <w:t>LHE/21/16.COM/</w:t>
    </w:r>
    <w:r w:rsidRPr="00602194">
      <w:rPr>
        <w:rFonts w:ascii="Arial" w:hAnsi="Arial" w:cs="Arial"/>
        <w:b/>
        <w:sz w:val="22"/>
        <w:szCs w:val="22"/>
        <w:lang w:val="pt-PT"/>
      </w:rPr>
      <w:t>5.a</w:t>
    </w:r>
    <w:r w:rsidR="00D91431">
      <w:rPr>
        <w:rFonts w:ascii="Arial" w:hAnsi="Arial" w:cs="Arial"/>
        <w:b/>
        <w:sz w:val="22"/>
        <w:szCs w:val="22"/>
        <w:lang w:val="pt-PT"/>
      </w:rPr>
      <w:t xml:space="preserve"> Rev.</w:t>
    </w:r>
  </w:p>
  <w:bookmarkEnd w:id="1"/>
  <w:p w14:paraId="1B4446C3" w14:textId="363F9C0F" w:rsidR="00510D2D" w:rsidRPr="000F583D" w:rsidRDefault="00510D2D" w:rsidP="00655736">
    <w:pPr>
      <w:jc w:val="right"/>
      <w:rPr>
        <w:rFonts w:ascii="Arial" w:eastAsiaTheme="minorEastAsia" w:hAnsi="Arial" w:cs="Arial"/>
        <w:b/>
        <w:sz w:val="22"/>
        <w:szCs w:val="22"/>
        <w:lang w:val="pt-PT" w:eastAsia="ko-KR"/>
      </w:rPr>
    </w:pPr>
    <w:r w:rsidRPr="000F583D">
      <w:rPr>
        <w:rFonts w:ascii="Arial" w:hAnsi="Arial" w:cs="Arial"/>
        <w:b/>
        <w:sz w:val="22"/>
        <w:szCs w:val="22"/>
        <w:lang w:val="pt-PT"/>
      </w:rPr>
      <w:t xml:space="preserve">Paris, </w:t>
    </w:r>
    <w:r w:rsidR="009163C4" w:rsidRPr="00602194">
      <w:rPr>
        <w:rFonts w:ascii="Arial" w:hAnsi="Arial" w:cs="Arial"/>
        <w:b/>
        <w:sz w:val="22"/>
        <w:szCs w:val="22"/>
        <w:lang w:val="pt-PT"/>
      </w:rPr>
      <w:t>1</w:t>
    </w:r>
    <w:r w:rsidR="008A1C60">
      <w:rPr>
        <w:rFonts w:ascii="Arial" w:hAnsi="Arial" w:cs="Arial"/>
        <w:b/>
        <w:sz w:val="22"/>
        <w:szCs w:val="22"/>
        <w:lang w:val="pt-PT"/>
      </w:rPr>
      <w:t>7</w:t>
    </w:r>
    <w:r w:rsidR="009163C4" w:rsidRPr="00602194">
      <w:rPr>
        <w:rFonts w:ascii="Arial" w:hAnsi="Arial" w:cs="Arial"/>
        <w:b/>
        <w:sz w:val="22"/>
        <w:szCs w:val="22"/>
        <w:lang w:val="pt-PT"/>
      </w:rPr>
      <w:t xml:space="preserve"> </w:t>
    </w:r>
    <w:r w:rsidR="001D44A5">
      <w:rPr>
        <w:rFonts w:ascii="Arial" w:hAnsi="Arial" w:cs="Arial"/>
        <w:b/>
        <w:sz w:val="22"/>
        <w:szCs w:val="22"/>
        <w:lang w:val="pt-PT"/>
      </w:rPr>
      <w:t>Dece</w:t>
    </w:r>
    <w:r w:rsidR="009163C4" w:rsidRPr="00602194">
      <w:rPr>
        <w:rFonts w:ascii="Arial" w:hAnsi="Arial" w:cs="Arial"/>
        <w:b/>
        <w:sz w:val="22"/>
        <w:szCs w:val="22"/>
        <w:lang w:val="pt-PT"/>
      </w:rPr>
      <w:t>mber</w:t>
    </w:r>
    <w:r w:rsidRPr="000F583D">
      <w:rPr>
        <w:rFonts w:ascii="Arial" w:hAnsi="Arial" w:cs="Arial"/>
        <w:b/>
        <w:sz w:val="22"/>
        <w:szCs w:val="22"/>
        <w:lang w:val="pt-PT"/>
      </w:rPr>
      <w:t xml:space="preserve"> 2021</w:t>
    </w:r>
  </w:p>
  <w:p w14:paraId="255B57FF" w14:textId="140FDE59" w:rsidR="00510D2D" w:rsidRPr="00F32C23" w:rsidRDefault="00510D2D" w:rsidP="000048ED">
    <w:pPr>
      <w:jc w:val="right"/>
      <w:rPr>
        <w:rFonts w:ascii="Arial" w:hAnsi="Arial" w:cs="Arial"/>
        <w:b/>
        <w:sz w:val="22"/>
        <w:szCs w:val="22"/>
        <w:lang w:val="en-GB"/>
      </w:rPr>
    </w:pPr>
    <w:r w:rsidRPr="000F583D">
      <w:rPr>
        <w:rFonts w:ascii="Arial" w:hAnsi="Arial" w:cs="Arial"/>
        <w:b/>
        <w:sz w:val="22"/>
        <w:szCs w:val="22"/>
        <w:lang w:val="en-GB"/>
      </w:rPr>
      <w:t xml:space="preserve">Original: </w:t>
    </w:r>
    <w:r w:rsidRPr="00602194">
      <w:rPr>
        <w:rFonts w:ascii="Arial" w:hAnsi="Arial" w:cs="Arial"/>
        <w:b/>
        <w:sz w:val="22"/>
        <w:szCs w:val="22"/>
        <w:lang w:val="en-GB"/>
      </w:rPr>
      <w:t>English</w:t>
    </w:r>
  </w:p>
  <w:p w14:paraId="3C4B8B1B" w14:textId="77777777" w:rsidR="00510D2D" w:rsidRPr="00E95AE2" w:rsidRDefault="00510D2D">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3621"/>
        </w:tabs>
        <w:ind w:left="3621" w:hanging="360"/>
      </w:pPr>
      <w:rPr>
        <w:rFonts w:ascii="Arial" w:eastAsia="Arial" w:hAnsi="Arial" w:cs="Arial"/>
        <w:sz w:val="22"/>
        <w:szCs w:val="22"/>
      </w:rPr>
    </w:lvl>
    <w:lvl w:ilvl="1">
      <w:start w:val="1"/>
      <w:numFmt w:val="lowerLetter"/>
      <w:lvlText w:val="%2."/>
      <w:lvlJc w:val="left"/>
      <w:pPr>
        <w:tabs>
          <w:tab w:val="num" w:pos="4341"/>
        </w:tabs>
        <w:ind w:left="4341" w:hanging="360"/>
      </w:pPr>
    </w:lvl>
    <w:lvl w:ilvl="2">
      <w:start w:val="1"/>
      <w:numFmt w:val="lowerRoman"/>
      <w:lvlText w:val="%3."/>
      <w:lvlJc w:val="right"/>
      <w:pPr>
        <w:tabs>
          <w:tab w:val="num" w:pos="5061"/>
        </w:tabs>
        <w:ind w:left="5061" w:hanging="180"/>
      </w:pPr>
    </w:lvl>
    <w:lvl w:ilvl="3">
      <w:start w:val="1"/>
      <w:numFmt w:val="decimal"/>
      <w:lvlText w:val="%4."/>
      <w:lvlJc w:val="left"/>
      <w:pPr>
        <w:tabs>
          <w:tab w:val="num" w:pos="5781"/>
        </w:tabs>
        <w:ind w:left="5781" w:hanging="360"/>
      </w:pPr>
    </w:lvl>
    <w:lvl w:ilvl="4">
      <w:start w:val="1"/>
      <w:numFmt w:val="lowerLetter"/>
      <w:lvlText w:val="%5."/>
      <w:lvlJc w:val="left"/>
      <w:pPr>
        <w:tabs>
          <w:tab w:val="num" w:pos="6501"/>
        </w:tabs>
        <w:ind w:left="6501" w:hanging="360"/>
      </w:pPr>
    </w:lvl>
    <w:lvl w:ilvl="5">
      <w:start w:val="1"/>
      <w:numFmt w:val="lowerRoman"/>
      <w:lvlText w:val="%6."/>
      <w:lvlJc w:val="right"/>
      <w:pPr>
        <w:tabs>
          <w:tab w:val="num" w:pos="7221"/>
        </w:tabs>
        <w:ind w:left="7221" w:hanging="180"/>
      </w:pPr>
    </w:lvl>
    <w:lvl w:ilvl="6">
      <w:start w:val="1"/>
      <w:numFmt w:val="decimal"/>
      <w:lvlText w:val="%7."/>
      <w:lvlJc w:val="left"/>
      <w:pPr>
        <w:tabs>
          <w:tab w:val="num" w:pos="7941"/>
        </w:tabs>
        <w:ind w:left="7941" w:hanging="360"/>
      </w:pPr>
    </w:lvl>
    <w:lvl w:ilvl="7">
      <w:start w:val="1"/>
      <w:numFmt w:val="lowerLetter"/>
      <w:lvlText w:val="%8."/>
      <w:lvlJc w:val="left"/>
      <w:pPr>
        <w:tabs>
          <w:tab w:val="num" w:pos="8661"/>
        </w:tabs>
        <w:ind w:left="8661" w:hanging="360"/>
      </w:pPr>
    </w:lvl>
    <w:lvl w:ilvl="8">
      <w:start w:val="1"/>
      <w:numFmt w:val="lowerRoman"/>
      <w:lvlText w:val="%9."/>
      <w:lvlJc w:val="right"/>
      <w:pPr>
        <w:tabs>
          <w:tab w:val="num" w:pos="9381"/>
        </w:tabs>
        <w:ind w:left="9381" w:hanging="180"/>
      </w:pPr>
    </w:lvl>
  </w:abstractNum>
  <w:abstractNum w:abstractNumId="1" w15:restartNumberingAfterBreak="0">
    <w:nsid w:val="0000000B"/>
    <w:multiLevelType w:val="multilevel"/>
    <w:tmpl w:val="52DE94AE"/>
    <w:lvl w:ilvl="0">
      <w:start w:val="1"/>
      <w:numFmt w:val="upperRoman"/>
      <w:lvlText w:val="%1."/>
      <w:lvlJc w:val="left"/>
      <w:pPr>
        <w:tabs>
          <w:tab w:val="num" w:pos="720"/>
        </w:tabs>
        <w:ind w:left="720" w:hanging="360"/>
      </w:pPr>
      <w:rPr>
        <w:rFonts w:ascii="Arial" w:eastAsia="Arial" w:hAnsi="Arial" w:cs="Arial" w:hint="default"/>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EA30D1"/>
    <w:multiLevelType w:val="multilevel"/>
    <w:tmpl w:val="F4A297D4"/>
    <w:lvl w:ilvl="0">
      <w:start w:val="1"/>
      <w:numFmt w:val="decimal"/>
      <w:lvlText w:val="%1."/>
      <w:lvlJc w:val="left"/>
      <w:pPr>
        <w:tabs>
          <w:tab w:val="num" w:pos="502"/>
        </w:tabs>
        <w:ind w:left="502" w:hanging="360"/>
      </w:pPr>
      <w:rPr>
        <w:rFonts w:ascii="Arial" w:eastAsia="Arial" w:hAnsi="Arial" w:cs="Arial"/>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0144B6"/>
    <w:multiLevelType w:val="hybridMultilevel"/>
    <w:tmpl w:val="DB165A9E"/>
    <w:lvl w:ilvl="0" w:tplc="B776D3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411C8"/>
    <w:multiLevelType w:val="hybridMultilevel"/>
    <w:tmpl w:val="AFC481B0"/>
    <w:lvl w:ilvl="0" w:tplc="CF1ACF60">
      <w:start w:val="1"/>
      <w:numFmt w:val="lowerLetter"/>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125944"/>
    <w:multiLevelType w:val="hybridMultilevel"/>
    <w:tmpl w:val="8BA26BC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7B6D05"/>
    <w:multiLevelType w:val="hybridMultilevel"/>
    <w:tmpl w:val="4C4EE242"/>
    <w:lvl w:ilvl="0" w:tplc="42E600F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3441036"/>
    <w:multiLevelType w:val="hybridMultilevel"/>
    <w:tmpl w:val="8CB6C26E"/>
    <w:lvl w:ilvl="0" w:tplc="87DEB68C">
      <w:start w:val="1"/>
      <w:numFmt w:val="decimal"/>
      <w:lvlText w:val="%1."/>
      <w:lvlJc w:val="left"/>
      <w:pPr>
        <w:ind w:left="845" w:hanging="420"/>
      </w:pPr>
      <w:rPr>
        <w:rFonts w:asciiTheme="minorBidi" w:hAnsiTheme="minorBidi" w:cstheme="minorBidi" w:hint="default"/>
        <w:i w:val="0"/>
        <w:iCs w:val="0"/>
      </w:rPr>
    </w:lvl>
    <w:lvl w:ilvl="1" w:tplc="D0E46A0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5577AC"/>
    <w:multiLevelType w:val="hybridMultilevel"/>
    <w:tmpl w:val="2A30D5C0"/>
    <w:lvl w:ilvl="0" w:tplc="259C3E8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12006"/>
    <w:multiLevelType w:val="hybridMultilevel"/>
    <w:tmpl w:val="63FC1A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1654D3"/>
    <w:multiLevelType w:val="multilevel"/>
    <w:tmpl w:val="D974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B35019"/>
    <w:multiLevelType w:val="multilevel"/>
    <w:tmpl w:val="BBCAB5AA"/>
    <w:lvl w:ilvl="0">
      <w:start w:val="1"/>
      <w:numFmt w:val="decimal"/>
      <w:lvlText w:val="%1."/>
      <w:lvlJc w:val="left"/>
      <w:pPr>
        <w:tabs>
          <w:tab w:val="num" w:pos="502"/>
        </w:tabs>
        <w:ind w:left="502" w:hanging="360"/>
      </w:pPr>
      <w:rPr>
        <w:rFonts w:ascii="Arial" w:eastAsia="Arial" w:hAnsi="Arial" w:cs="Arial"/>
        <w:i w:val="0"/>
        <w:sz w:val="22"/>
        <w:szCs w:val="22"/>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3A35369C"/>
    <w:multiLevelType w:val="hybridMultilevel"/>
    <w:tmpl w:val="77B4D4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81F08E8"/>
    <w:multiLevelType w:val="multilevel"/>
    <w:tmpl w:val="BBCAB5AA"/>
    <w:lvl w:ilvl="0">
      <w:start w:val="1"/>
      <w:numFmt w:val="decimal"/>
      <w:lvlText w:val="%1."/>
      <w:lvlJc w:val="left"/>
      <w:pPr>
        <w:tabs>
          <w:tab w:val="num" w:pos="502"/>
        </w:tabs>
        <w:ind w:left="502" w:hanging="360"/>
      </w:pPr>
      <w:rPr>
        <w:rFonts w:ascii="Arial" w:eastAsia="Arial" w:hAnsi="Arial" w:cs="Arial"/>
        <w:i w:val="0"/>
        <w:sz w:val="22"/>
        <w:szCs w:val="22"/>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3D4C79"/>
    <w:multiLevelType w:val="multilevel"/>
    <w:tmpl w:val="E0D8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34C95"/>
    <w:multiLevelType w:val="hybridMultilevel"/>
    <w:tmpl w:val="568CC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16959"/>
    <w:multiLevelType w:val="hybridMultilevel"/>
    <w:tmpl w:val="9D4AC826"/>
    <w:lvl w:ilvl="0" w:tplc="DAF2F54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AD1280"/>
    <w:multiLevelType w:val="hybridMultilevel"/>
    <w:tmpl w:val="4A3080B8"/>
    <w:lvl w:ilvl="0" w:tplc="82E866FC">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9" w15:restartNumberingAfterBreak="0">
    <w:nsid w:val="625C2F4A"/>
    <w:multiLevelType w:val="hybridMultilevel"/>
    <w:tmpl w:val="CB46F90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635B52"/>
    <w:multiLevelType w:val="hybridMultilevel"/>
    <w:tmpl w:val="34982FDA"/>
    <w:lvl w:ilvl="0" w:tplc="040C0019">
      <w:start w:val="1"/>
      <w:numFmt w:val="lowerLetter"/>
      <w:lvlText w:val="%1."/>
      <w:lvlJc w:val="left"/>
      <w:pPr>
        <w:ind w:left="1429" w:hanging="360"/>
      </w:p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2" w15:restartNumberingAfterBreak="0">
    <w:nsid w:val="71605062"/>
    <w:multiLevelType w:val="multilevel"/>
    <w:tmpl w:val="30BE5B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B1615D"/>
    <w:multiLevelType w:val="multilevel"/>
    <w:tmpl w:val="D8C4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6" w15:restartNumberingAfterBreak="0">
    <w:nsid w:val="7E7E7D26"/>
    <w:multiLevelType w:val="hybridMultilevel"/>
    <w:tmpl w:val="83549F48"/>
    <w:lvl w:ilvl="0" w:tplc="8BD622B0">
      <w:start w:val="1"/>
      <w:numFmt w:val="decimal"/>
      <w:lvlText w:val="%1."/>
      <w:lvlJc w:val="left"/>
      <w:pPr>
        <w:ind w:left="5889" w:hanging="360"/>
      </w:pPr>
      <w:rPr>
        <w:rFonts w:hint="default"/>
      </w:rPr>
    </w:lvl>
    <w:lvl w:ilvl="1" w:tplc="040C0019">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28"/>
  </w:num>
  <w:num w:numId="2">
    <w:abstractNumId w:val="16"/>
  </w:num>
  <w:num w:numId="3">
    <w:abstractNumId w:val="7"/>
  </w:num>
  <w:num w:numId="4">
    <w:abstractNumId w:val="34"/>
  </w:num>
  <w:num w:numId="5">
    <w:abstractNumId w:val="30"/>
  </w:num>
  <w:num w:numId="6">
    <w:abstractNumId w:val="6"/>
  </w:num>
  <w:num w:numId="7">
    <w:abstractNumId w:val="8"/>
  </w:num>
  <w:num w:numId="8">
    <w:abstractNumId w:val="21"/>
  </w:num>
  <w:num w:numId="9">
    <w:abstractNumId w:val="15"/>
  </w:num>
  <w:num w:numId="10">
    <w:abstractNumId w:val="17"/>
  </w:num>
  <w:num w:numId="11">
    <w:abstractNumId w:val="20"/>
  </w:num>
  <w:num w:numId="12">
    <w:abstractNumId w:val="19"/>
  </w:num>
  <w:num w:numId="13">
    <w:abstractNumId w:val="35"/>
  </w:num>
  <w:num w:numId="14">
    <w:abstractNumId w:val="0"/>
  </w:num>
  <w:num w:numId="15">
    <w:abstractNumId w:val="5"/>
  </w:num>
  <w:num w:numId="16">
    <w:abstractNumId w:val="14"/>
  </w:num>
  <w:num w:numId="17">
    <w:abstractNumId w:val="1"/>
  </w:num>
  <w:num w:numId="18">
    <w:abstractNumId w:val="4"/>
  </w:num>
  <w:num w:numId="19">
    <w:abstractNumId w:val="9"/>
  </w:num>
  <w:num w:numId="20">
    <w:abstractNumId w:val="32"/>
    <w:lvlOverride w:ilvl="0">
      <w:lvl w:ilvl="0">
        <w:numFmt w:val="decimal"/>
        <w:lvlText w:val="%1."/>
        <w:lvlJc w:val="left"/>
      </w:lvl>
    </w:lvlOverride>
  </w:num>
  <w:num w:numId="21">
    <w:abstractNumId w:val="32"/>
    <w:lvlOverride w:ilvl="0">
      <w:lvl w:ilvl="0">
        <w:numFmt w:val="decimal"/>
        <w:lvlText w:val="%1."/>
        <w:lvlJc w:val="left"/>
      </w:lvl>
    </w:lvlOverride>
  </w:num>
  <w:num w:numId="22">
    <w:abstractNumId w:val="13"/>
  </w:num>
  <w:num w:numId="23">
    <w:abstractNumId w:val="36"/>
  </w:num>
  <w:num w:numId="24">
    <w:abstractNumId w:val="17"/>
    <w:lvlOverride w:ilvl="0">
      <w:startOverride w:val="1"/>
    </w:lvlOverride>
  </w:num>
  <w:num w:numId="25">
    <w:abstractNumId w:val="31"/>
  </w:num>
  <w:num w:numId="26">
    <w:abstractNumId w:val="23"/>
  </w:num>
  <w:num w:numId="27">
    <w:abstractNumId w:val="33"/>
  </w:num>
  <w:num w:numId="28">
    <w:abstractNumId w:val="12"/>
  </w:num>
  <w:num w:numId="29">
    <w:abstractNumId w:val="2"/>
  </w:num>
  <w:num w:numId="30">
    <w:abstractNumId w:val="3"/>
  </w:num>
  <w:num w:numId="31">
    <w:abstractNumId w:val="25"/>
  </w:num>
  <w:num w:numId="32">
    <w:abstractNumId w:val="29"/>
  </w:num>
  <w:num w:numId="33">
    <w:abstractNumId w:val="18"/>
  </w:num>
  <w:num w:numId="34">
    <w:abstractNumId w:val="27"/>
  </w:num>
  <w:num w:numId="35">
    <w:abstractNumId w:val="11"/>
  </w:num>
  <w:num w:numId="36">
    <w:abstractNumId w:val="15"/>
  </w:num>
  <w:num w:numId="37">
    <w:abstractNumId w:val="10"/>
  </w:num>
  <w:num w:numId="38">
    <w:abstractNumId w:val="22"/>
  </w:num>
  <w:num w:numId="39">
    <w:abstractNumId w:val="2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B4A"/>
    <w:rsid w:val="00001D3E"/>
    <w:rsid w:val="000046AA"/>
    <w:rsid w:val="000048ED"/>
    <w:rsid w:val="00011DFC"/>
    <w:rsid w:val="000145DE"/>
    <w:rsid w:val="0001488D"/>
    <w:rsid w:val="00015284"/>
    <w:rsid w:val="00023CE4"/>
    <w:rsid w:val="00023EC2"/>
    <w:rsid w:val="0002402A"/>
    <w:rsid w:val="000251CE"/>
    <w:rsid w:val="00027059"/>
    <w:rsid w:val="000277D2"/>
    <w:rsid w:val="0003170A"/>
    <w:rsid w:val="000343FC"/>
    <w:rsid w:val="00035FAA"/>
    <w:rsid w:val="0003611E"/>
    <w:rsid w:val="0003618F"/>
    <w:rsid w:val="00037873"/>
    <w:rsid w:val="00041A66"/>
    <w:rsid w:val="00041E2A"/>
    <w:rsid w:val="00042D88"/>
    <w:rsid w:val="00047C65"/>
    <w:rsid w:val="00047E70"/>
    <w:rsid w:val="00050B3D"/>
    <w:rsid w:val="0005176E"/>
    <w:rsid w:val="0005178B"/>
    <w:rsid w:val="000526FF"/>
    <w:rsid w:val="0005428A"/>
    <w:rsid w:val="000555EA"/>
    <w:rsid w:val="00055FE1"/>
    <w:rsid w:val="00056A04"/>
    <w:rsid w:val="0005744A"/>
    <w:rsid w:val="00064468"/>
    <w:rsid w:val="00064D07"/>
    <w:rsid w:val="0006558D"/>
    <w:rsid w:val="0006768D"/>
    <w:rsid w:val="00067DDA"/>
    <w:rsid w:val="00070782"/>
    <w:rsid w:val="0007107E"/>
    <w:rsid w:val="00072442"/>
    <w:rsid w:val="00073066"/>
    <w:rsid w:val="0007476E"/>
    <w:rsid w:val="000765F7"/>
    <w:rsid w:val="00077AB7"/>
    <w:rsid w:val="0008119B"/>
    <w:rsid w:val="00081CD8"/>
    <w:rsid w:val="00085452"/>
    <w:rsid w:val="00085A95"/>
    <w:rsid w:val="00085E3C"/>
    <w:rsid w:val="000903EF"/>
    <w:rsid w:val="000911E0"/>
    <w:rsid w:val="000929FC"/>
    <w:rsid w:val="0009320D"/>
    <w:rsid w:val="00095309"/>
    <w:rsid w:val="000A17E8"/>
    <w:rsid w:val="000A3C10"/>
    <w:rsid w:val="000A567E"/>
    <w:rsid w:val="000A5FFE"/>
    <w:rsid w:val="000A7CC9"/>
    <w:rsid w:val="000A7F0E"/>
    <w:rsid w:val="000B0000"/>
    <w:rsid w:val="000B1C8F"/>
    <w:rsid w:val="000B2A2C"/>
    <w:rsid w:val="000B4456"/>
    <w:rsid w:val="000B4474"/>
    <w:rsid w:val="000C0D61"/>
    <w:rsid w:val="000C28F1"/>
    <w:rsid w:val="000C3849"/>
    <w:rsid w:val="000D1161"/>
    <w:rsid w:val="000D1232"/>
    <w:rsid w:val="000D649F"/>
    <w:rsid w:val="000D737F"/>
    <w:rsid w:val="000D7AC8"/>
    <w:rsid w:val="000E35C5"/>
    <w:rsid w:val="000E43EA"/>
    <w:rsid w:val="000E5861"/>
    <w:rsid w:val="000E7B9A"/>
    <w:rsid w:val="000F00D2"/>
    <w:rsid w:val="000F0D68"/>
    <w:rsid w:val="000F2CFA"/>
    <w:rsid w:val="000F3A3F"/>
    <w:rsid w:val="000F461E"/>
    <w:rsid w:val="000F4F96"/>
    <w:rsid w:val="000F574F"/>
    <w:rsid w:val="000F583D"/>
    <w:rsid w:val="000F5953"/>
    <w:rsid w:val="000F672A"/>
    <w:rsid w:val="000F6DA7"/>
    <w:rsid w:val="001000E5"/>
    <w:rsid w:val="0010026F"/>
    <w:rsid w:val="00100A0A"/>
    <w:rsid w:val="00101160"/>
    <w:rsid w:val="00102557"/>
    <w:rsid w:val="00102D26"/>
    <w:rsid w:val="00103CFC"/>
    <w:rsid w:val="00104775"/>
    <w:rsid w:val="00107101"/>
    <w:rsid w:val="00107AF1"/>
    <w:rsid w:val="00107BD6"/>
    <w:rsid w:val="001132A5"/>
    <w:rsid w:val="00115610"/>
    <w:rsid w:val="0012198C"/>
    <w:rsid w:val="0012399B"/>
    <w:rsid w:val="0012685D"/>
    <w:rsid w:val="00126CA9"/>
    <w:rsid w:val="00131894"/>
    <w:rsid w:val="00131F1C"/>
    <w:rsid w:val="001342FF"/>
    <w:rsid w:val="00136EA9"/>
    <w:rsid w:val="00137421"/>
    <w:rsid w:val="001378A5"/>
    <w:rsid w:val="00140DEA"/>
    <w:rsid w:val="00141B27"/>
    <w:rsid w:val="001436C1"/>
    <w:rsid w:val="00147B04"/>
    <w:rsid w:val="00147BED"/>
    <w:rsid w:val="001517FB"/>
    <w:rsid w:val="00152AAE"/>
    <w:rsid w:val="00153ACC"/>
    <w:rsid w:val="00154EB1"/>
    <w:rsid w:val="00154F91"/>
    <w:rsid w:val="00155D7B"/>
    <w:rsid w:val="001601CC"/>
    <w:rsid w:val="00162D4A"/>
    <w:rsid w:val="00163048"/>
    <w:rsid w:val="0016366E"/>
    <w:rsid w:val="001648C9"/>
    <w:rsid w:val="00164D56"/>
    <w:rsid w:val="00167B10"/>
    <w:rsid w:val="001721BA"/>
    <w:rsid w:val="00173E3F"/>
    <w:rsid w:val="0017402F"/>
    <w:rsid w:val="00174DB7"/>
    <w:rsid w:val="00180F60"/>
    <w:rsid w:val="0018111F"/>
    <w:rsid w:val="00184120"/>
    <w:rsid w:val="0018792F"/>
    <w:rsid w:val="00190205"/>
    <w:rsid w:val="0019235F"/>
    <w:rsid w:val="00194215"/>
    <w:rsid w:val="00194B03"/>
    <w:rsid w:val="00196C1B"/>
    <w:rsid w:val="00197999"/>
    <w:rsid w:val="001A020B"/>
    <w:rsid w:val="001A0288"/>
    <w:rsid w:val="001A3CD2"/>
    <w:rsid w:val="001A5DB6"/>
    <w:rsid w:val="001A725D"/>
    <w:rsid w:val="001A7A98"/>
    <w:rsid w:val="001B0F73"/>
    <w:rsid w:val="001B1558"/>
    <w:rsid w:val="001B54B2"/>
    <w:rsid w:val="001B677C"/>
    <w:rsid w:val="001C1C53"/>
    <w:rsid w:val="001C2B70"/>
    <w:rsid w:val="001C2DB7"/>
    <w:rsid w:val="001C67C8"/>
    <w:rsid w:val="001C6A87"/>
    <w:rsid w:val="001C7ACA"/>
    <w:rsid w:val="001D14FE"/>
    <w:rsid w:val="001D44A5"/>
    <w:rsid w:val="001D464E"/>
    <w:rsid w:val="001D591B"/>
    <w:rsid w:val="001D5C04"/>
    <w:rsid w:val="001D7317"/>
    <w:rsid w:val="001D7C18"/>
    <w:rsid w:val="001E08A3"/>
    <w:rsid w:val="001E129F"/>
    <w:rsid w:val="001E1ED8"/>
    <w:rsid w:val="001E332C"/>
    <w:rsid w:val="001E4581"/>
    <w:rsid w:val="001E7BE0"/>
    <w:rsid w:val="001F1217"/>
    <w:rsid w:val="001F26CF"/>
    <w:rsid w:val="002015FB"/>
    <w:rsid w:val="00202A31"/>
    <w:rsid w:val="00203118"/>
    <w:rsid w:val="00204FE5"/>
    <w:rsid w:val="0020578C"/>
    <w:rsid w:val="00207581"/>
    <w:rsid w:val="002104F4"/>
    <w:rsid w:val="002108D8"/>
    <w:rsid w:val="00210B18"/>
    <w:rsid w:val="00211CF7"/>
    <w:rsid w:val="00216AC6"/>
    <w:rsid w:val="00221396"/>
    <w:rsid w:val="002228ED"/>
    <w:rsid w:val="00222A2D"/>
    <w:rsid w:val="00223029"/>
    <w:rsid w:val="002245CB"/>
    <w:rsid w:val="00224BA8"/>
    <w:rsid w:val="0022771F"/>
    <w:rsid w:val="0023149A"/>
    <w:rsid w:val="00231B4C"/>
    <w:rsid w:val="00234745"/>
    <w:rsid w:val="002351A6"/>
    <w:rsid w:val="002407AF"/>
    <w:rsid w:val="0024085D"/>
    <w:rsid w:val="0024196A"/>
    <w:rsid w:val="002425A3"/>
    <w:rsid w:val="00243CC0"/>
    <w:rsid w:val="00247262"/>
    <w:rsid w:val="0025179F"/>
    <w:rsid w:val="002523A8"/>
    <w:rsid w:val="00253077"/>
    <w:rsid w:val="00254EBC"/>
    <w:rsid w:val="00256C18"/>
    <w:rsid w:val="0026073E"/>
    <w:rsid w:val="002625EF"/>
    <w:rsid w:val="00265627"/>
    <w:rsid w:val="0027020B"/>
    <w:rsid w:val="00272420"/>
    <w:rsid w:val="002732F4"/>
    <w:rsid w:val="0027466B"/>
    <w:rsid w:val="00275DCB"/>
    <w:rsid w:val="00276E88"/>
    <w:rsid w:val="00280601"/>
    <w:rsid w:val="002838A5"/>
    <w:rsid w:val="00285BB4"/>
    <w:rsid w:val="002925AE"/>
    <w:rsid w:val="00294BA1"/>
    <w:rsid w:val="00294FE6"/>
    <w:rsid w:val="00296951"/>
    <w:rsid w:val="00297537"/>
    <w:rsid w:val="002A643A"/>
    <w:rsid w:val="002B01EF"/>
    <w:rsid w:val="002B03D1"/>
    <w:rsid w:val="002B6C5D"/>
    <w:rsid w:val="002B70EA"/>
    <w:rsid w:val="002B76D2"/>
    <w:rsid w:val="002C09E3"/>
    <w:rsid w:val="002C2890"/>
    <w:rsid w:val="002C29CF"/>
    <w:rsid w:val="002C42BC"/>
    <w:rsid w:val="002C6266"/>
    <w:rsid w:val="002C763C"/>
    <w:rsid w:val="002C76DA"/>
    <w:rsid w:val="002D1244"/>
    <w:rsid w:val="002D19A5"/>
    <w:rsid w:val="002D245C"/>
    <w:rsid w:val="002D2498"/>
    <w:rsid w:val="002D6470"/>
    <w:rsid w:val="002D79A2"/>
    <w:rsid w:val="002E0D75"/>
    <w:rsid w:val="002E223C"/>
    <w:rsid w:val="002E39DC"/>
    <w:rsid w:val="002E6061"/>
    <w:rsid w:val="002F0225"/>
    <w:rsid w:val="002F28C1"/>
    <w:rsid w:val="002F5199"/>
    <w:rsid w:val="003013DF"/>
    <w:rsid w:val="00301869"/>
    <w:rsid w:val="00303AFF"/>
    <w:rsid w:val="00304B61"/>
    <w:rsid w:val="003063A5"/>
    <w:rsid w:val="00313122"/>
    <w:rsid w:val="00316AC3"/>
    <w:rsid w:val="00317697"/>
    <w:rsid w:val="00320782"/>
    <w:rsid w:val="0032181A"/>
    <w:rsid w:val="00325771"/>
    <w:rsid w:val="00327198"/>
    <w:rsid w:val="00327C13"/>
    <w:rsid w:val="00330563"/>
    <w:rsid w:val="00330B26"/>
    <w:rsid w:val="00330B74"/>
    <w:rsid w:val="0033479F"/>
    <w:rsid w:val="00334CDC"/>
    <w:rsid w:val="00335C96"/>
    <w:rsid w:val="00337CEB"/>
    <w:rsid w:val="00343C25"/>
    <w:rsid w:val="00344B58"/>
    <w:rsid w:val="0034539A"/>
    <w:rsid w:val="00345CB4"/>
    <w:rsid w:val="003505BE"/>
    <w:rsid w:val="00351A31"/>
    <w:rsid w:val="00353046"/>
    <w:rsid w:val="00353B03"/>
    <w:rsid w:val="00353CC7"/>
    <w:rsid w:val="00357612"/>
    <w:rsid w:val="003600B8"/>
    <w:rsid w:val="003615DD"/>
    <w:rsid w:val="00363498"/>
    <w:rsid w:val="003662F5"/>
    <w:rsid w:val="00366321"/>
    <w:rsid w:val="00367B53"/>
    <w:rsid w:val="0037476F"/>
    <w:rsid w:val="003751E0"/>
    <w:rsid w:val="00375BD7"/>
    <w:rsid w:val="00375D42"/>
    <w:rsid w:val="00384C3F"/>
    <w:rsid w:val="00385A89"/>
    <w:rsid w:val="00386BE4"/>
    <w:rsid w:val="00391D52"/>
    <w:rsid w:val="0039206C"/>
    <w:rsid w:val="00393F94"/>
    <w:rsid w:val="003A2D80"/>
    <w:rsid w:val="003A716C"/>
    <w:rsid w:val="003A7904"/>
    <w:rsid w:val="003B0AC2"/>
    <w:rsid w:val="003B19F2"/>
    <w:rsid w:val="003B1E1E"/>
    <w:rsid w:val="003B4130"/>
    <w:rsid w:val="003B4435"/>
    <w:rsid w:val="003C1CCC"/>
    <w:rsid w:val="003C2911"/>
    <w:rsid w:val="003C3AC4"/>
    <w:rsid w:val="003C6572"/>
    <w:rsid w:val="003D069C"/>
    <w:rsid w:val="003D4B10"/>
    <w:rsid w:val="003D5357"/>
    <w:rsid w:val="003D7369"/>
    <w:rsid w:val="003D7646"/>
    <w:rsid w:val="003E4E90"/>
    <w:rsid w:val="003E4FDD"/>
    <w:rsid w:val="003E6238"/>
    <w:rsid w:val="003F0DDE"/>
    <w:rsid w:val="003F113A"/>
    <w:rsid w:val="003F1D76"/>
    <w:rsid w:val="003F275A"/>
    <w:rsid w:val="003F33F5"/>
    <w:rsid w:val="003F348E"/>
    <w:rsid w:val="003F3E63"/>
    <w:rsid w:val="003F48A5"/>
    <w:rsid w:val="003F6165"/>
    <w:rsid w:val="003F7D7C"/>
    <w:rsid w:val="00400CA4"/>
    <w:rsid w:val="00400FB6"/>
    <w:rsid w:val="00401F6B"/>
    <w:rsid w:val="00402EEE"/>
    <w:rsid w:val="00403A79"/>
    <w:rsid w:val="00406070"/>
    <w:rsid w:val="00406A38"/>
    <w:rsid w:val="00406EA8"/>
    <w:rsid w:val="00407480"/>
    <w:rsid w:val="00410B13"/>
    <w:rsid w:val="0041186A"/>
    <w:rsid w:val="00411BCF"/>
    <w:rsid w:val="004141B0"/>
    <w:rsid w:val="00414643"/>
    <w:rsid w:val="00414E59"/>
    <w:rsid w:val="00414E96"/>
    <w:rsid w:val="00415529"/>
    <w:rsid w:val="00416E19"/>
    <w:rsid w:val="0041704D"/>
    <w:rsid w:val="00417C33"/>
    <w:rsid w:val="00422769"/>
    <w:rsid w:val="00422BA5"/>
    <w:rsid w:val="004249F4"/>
    <w:rsid w:val="00425760"/>
    <w:rsid w:val="004316EA"/>
    <w:rsid w:val="00437E1D"/>
    <w:rsid w:val="00441559"/>
    <w:rsid w:val="004421E5"/>
    <w:rsid w:val="004460D0"/>
    <w:rsid w:val="004467B1"/>
    <w:rsid w:val="00447344"/>
    <w:rsid w:val="00447958"/>
    <w:rsid w:val="0045068C"/>
    <w:rsid w:val="004509F9"/>
    <w:rsid w:val="00450D21"/>
    <w:rsid w:val="00452284"/>
    <w:rsid w:val="00453675"/>
    <w:rsid w:val="00456B54"/>
    <w:rsid w:val="00457B38"/>
    <w:rsid w:val="00457C8E"/>
    <w:rsid w:val="00460BF7"/>
    <w:rsid w:val="00461675"/>
    <w:rsid w:val="00464BFA"/>
    <w:rsid w:val="00465E2F"/>
    <w:rsid w:val="00466059"/>
    <w:rsid w:val="00467290"/>
    <w:rsid w:val="00467C99"/>
    <w:rsid w:val="00474829"/>
    <w:rsid w:val="00475922"/>
    <w:rsid w:val="00480263"/>
    <w:rsid w:val="004824D9"/>
    <w:rsid w:val="0048392E"/>
    <w:rsid w:val="0048513E"/>
    <w:rsid w:val="004856CA"/>
    <w:rsid w:val="00486682"/>
    <w:rsid w:val="00487E67"/>
    <w:rsid w:val="004927FE"/>
    <w:rsid w:val="00492C37"/>
    <w:rsid w:val="00494082"/>
    <w:rsid w:val="00495A90"/>
    <w:rsid w:val="0049705E"/>
    <w:rsid w:val="004A159E"/>
    <w:rsid w:val="004A1C17"/>
    <w:rsid w:val="004A2875"/>
    <w:rsid w:val="004A34A0"/>
    <w:rsid w:val="004A4AA4"/>
    <w:rsid w:val="004A7E2E"/>
    <w:rsid w:val="004B2648"/>
    <w:rsid w:val="004B41E5"/>
    <w:rsid w:val="004B5120"/>
    <w:rsid w:val="004C0FC8"/>
    <w:rsid w:val="004C2361"/>
    <w:rsid w:val="004C3C93"/>
    <w:rsid w:val="004C72F7"/>
    <w:rsid w:val="004C7C82"/>
    <w:rsid w:val="004D2D78"/>
    <w:rsid w:val="004D49B9"/>
    <w:rsid w:val="004D5187"/>
    <w:rsid w:val="004D559B"/>
    <w:rsid w:val="004D7601"/>
    <w:rsid w:val="004E351D"/>
    <w:rsid w:val="004E7535"/>
    <w:rsid w:val="004E7DF7"/>
    <w:rsid w:val="004F0773"/>
    <w:rsid w:val="004F0862"/>
    <w:rsid w:val="004F52F1"/>
    <w:rsid w:val="005008A8"/>
    <w:rsid w:val="00505651"/>
    <w:rsid w:val="0050570F"/>
    <w:rsid w:val="00505953"/>
    <w:rsid w:val="00505EAC"/>
    <w:rsid w:val="005068C7"/>
    <w:rsid w:val="005069C6"/>
    <w:rsid w:val="005076F3"/>
    <w:rsid w:val="00507910"/>
    <w:rsid w:val="00507FCA"/>
    <w:rsid w:val="00510894"/>
    <w:rsid w:val="00510D2D"/>
    <w:rsid w:val="00511053"/>
    <w:rsid w:val="005151C6"/>
    <w:rsid w:val="00517454"/>
    <w:rsid w:val="00517FD8"/>
    <w:rsid w:val="005241D2"/>
    <w:rsid w:val="0052517D"/>
    <w:rsid w:val="00526B7B"/>
    <w:rsid w:val="005308CE"/>
    <w:rsid w:val="005311EB"/>
    <w:rsid w:val="0053318C"/>
    <w:rsid w:val="00534419"/>
    <w:rsid w:val="00534954"/>
    <w:rsid w:val="0054455B"/>
    <w:rsid w:val="00546647"/>
    <w:rsid w:val="00547EEB"/>
    <w:rsid w:val="0055368D"/>
    <w:rsid w:val="00554143"/>
    <w:rsid w:val="00554B0C"/>
    <w:rsid w:val="0056300F"/>
    <w:rsid w:val="00571D01"/>
    <w:rsid w:val="00573BB2"/>
    <w:rsid w:val="0057439C"/>
    <w:rsid w:val="005743A8"/>
    <w:rsid w:val="00574C5E"/>
    <w:rsid w:val="00575499"/>
    <w:rsid w:val="00577E25"/>
    <w:rsid w:val="0058059A"/>
    <w:rsid w:val="00580A31"/>
    <w:rsid w:val="00582A2D"/>
    <w:rsid w:val="00582C17"/>
    <w:rsid w:val="00582D09"/>
    <w:rsid w:val="00582FA0"/>
    <w:rsid w:val="005840B3"/>
    <w:rsid w:val="005879D1"/>
    <w:rsid w:val="00591C29"/>
    <w:rsid w:val="005937FF"/>
    <w:rsid w:val="00595310"/>
    <w:rsid w:val="0059761D"/>
    <w:rsid w:val="005976ED"/>
    <w:rsid w:val="005A02B0"/>
    <w:rsid w:val="005A3C6D"/>
    <w:rsid w:val="005A41FD"/>
    <w:rsid w:val="005A42AC"/>
    <w:rsid w:val="005A75C7"/>
    <w:rsid w:val="005B0127"/>
    <w:rsid w:val="005B06D8"/>
    <w:rsid w:val="005B0EA8"/>
    <w:rsid w:val="005B7A35"/>
    <w:rsid w:val="005C2CA7"/>
    <w:rsid w:val="005C4B73"/>
    <w:rsid w:val="005C55D8"/>
    <w:rsid w:val="005C5BDB"/>
    <w:rsid w:val="005C60D5"/>
    <w:rsid w:val="005D3F9D"/>
    <w:rsid w:val="005D7200"/>
    <w:rsid w:val="005E081F"/>
    <w:rsid w:val="005E0A3F"/>
    <w:rsid w:val="005E1D2B"/>
    <w:rsid w:val="005E311C"/>
    <w:rsid w:val="005E364B"/>
    <w:rsid w:val="005E4D1A"/>
    <w:rsid w:val="005E5493"/>
    <w:rsid w:val="005E58AF"/>
    <w:rsid w:val="005E687F"/>
    <w:rsid w:val="005E7074"/>
    <w:rsid w:val="005F05AE"/>
    <w:rsid w:val="005F222E"/>
    <w:rsid w:val="005F2BAF"/>
    <w:rsid w:val="005F373E"/>
    <w:rsid w:val="005F4C17"/>
    <w:rsid w:val="005F6391"/>
    <w:rsid w:val="005F7E04"/>
    <w:rsid w:val="00600CE1"/>
    <w:rsid w:val="00600D93"/>
    <w:rsid w:val="00601EDC"/>
    <w:rsid w:val="00602194"/>
    <w:rsid w:val="00604464"/>
    <w:rsid w:val="00604C6A"/>
    <w:rsid w:val="00604F55"/>
    <w:rsid w:val="006067DF"/>
    <w:rsid w:val="006102FF"/>
    <w:rsid w:val="006104D1"/>
    <w:rsid w:val="00610764"/>
    <w:rsid w:val="00610E16"/>
    <w:rsid w:val="006131BE"/>
    <w:rsid w:val="00613526"/>
    <w:rsid w:val="00613622"/>
    <w:rsid w:val="00617576"/>
    <w:rsid w:val="006205DA"/>
    <w:rsid w:val="006222A0"/>
    <w:rsid w:val="00626BEA"/>
    <w:rsid w:val="0063300C"/>
    <w:rsid w:val="00635BA0"/>
    <w:rsid w:val="006367FD"/>
    <w:rsid w:val="006377DD"/>
    <w:rsid w:val="0064045D"/>
    <w:rsid w:val="00641E19"/>
    <w:rsid w:val="0064246A"/>
    <w:rsid w:val="00644D1A"/>
    <w:rsid w:val="00644FE8"/>
    <w:rsid w:val="006453AF"/>
    <w:rsid w:val="00647B6E"/>
    <w:rsid w:val="0065025A"/>
    <w:rsid w:val="00650FAB"/>
    <w:rsid w:val="00651A5B"/>
    <w:rsid w:val="00655736"/>
    <w:rsid w:val="006560B9"/>
    <w:rsid w:val="00657275"/>
    <w:rsid w:val="00660CD8"/>
    <w:rsid w:val="00662509"/>
    <w:rsid w:val="006629C4"/>
    <w:rsid w:val="00662B04"/>
    <w:rsid w:val="00663B8D"/>
    <w:rsid w:val="006706B4"/>
    <w:rsid w:val="00674531"/>
    <w:rsid w:val="006747E9"/>
    <w:rsid w:val="006761D1"/>
    <w:rsid w:val="00676A0F"/>
    <w:rsid w:val="00677359"/>
    <w:rsid w:val="00677650"/>
    <w:rsid w:val="00677E88"/>
    <w:rsid w:val="006800C7"/>
    <w:rsid w:val="00683E66"/>
    <w:rsid w:val="00686E9E"/>
    <w:rsid w:val="00693445"/>
    <w:rsid w:val="00693C7F"/>
    <w:rsid w:val="006955CC"/>
    <w:rsid w:val="00696C8D"/>
    <w:rsid w:val="0069737B"/>
    <w:rsid w:val="006A1ED6"/>
    <w:rsid w:val="006A2485"/>
    <w:rsid w:val="006A268F"/>
    <w:rsid w:val="006A2752"/>
    <w:rsid w:val="006A2AC2"/>
    <w:rsid w:val="006A33E6"/>
    <w:rsid w:val="006A3617"/>
    <w:rsid w:val="006A41DB"/>
    <w:rsid w:val="006A63B1"/>
    <w:rsid w:val="006B0946"/>
    <w:rsid w:val="006B0D26"/>
    <w:rsid w:val="006B20E3"/>
    <w:rsid w:val="006B4452"/>
    <w:rsid w:val="006B7D69"/>
    <w:rsid w:val="006C19F8"/>
    <w:rsid w:val="006C5F0C"/>
    <w:rsid w:val="006D3C92"/>
    <w:rsid w:val="006D5ED3"/>
    <w:rsid w:val="006D7050"/>
    <w:rsid w:val="006D7A62"/>
    <w:rsid w:val="006E46E4"/>
    <w:rsid w:val="006E5D40"/>
    <w:rsid w:val="006E6933"/>
    <w:rsid w:val="006E75EB"/>
    <w:rsid w:val="006F23B4"/>
    <w:rsid w:val="006F2D9B"/>
    <w:rsid w:val="006F3035"/>
    <w:rsid w:val="006F3707"/>
    <w:rsid w:val="00701715"/>
    <w:rsid w:val="00701CEC"/>
    <w:rsid w:val="00702DC2"/>
    <w:rsid w:val="007111B1"/>
    <w:rsid w:val="00711435"/>
    <w:rsid w:val="007136B5"/>
    <w:rsid w:val="00717705"/>
    <w:rsid w:val="00717DA5"/>
    <w:rsid w:val="0072358E"/>
    <w:rsid w:val="00725036"/>
    <w:rsid w:val="007318A9"/>
    <w:rsid w:val="00732187"/>
    <w:rsid w:val="00733E93"/>
    <w:rsid w:val="007363CC"/>
    <w:rsid w:val="00737F5A"/>
    <w:rsid w:val="00741174"/>
    <w:rsid w:val="007430E1"/>
    <w:rsid w:val="00744484"/>
    <w:rsid w:val="007445EB"/>
    <w:rsid w:val="00746FF4"/>
    <w:rsid w:val="00747566"/>
    <w:rsid w:val="00747C53"/>
    <w:rsid w:val="00751504"/>
    <w:rsid w:val="00753013"/>
    <w:rsid w:val="007540FA"/>
    <w:rsid w:val="00755FC9"/>
    <w:rsid w:val="007560C1"/>
    <w:rsid w:val="00756DFA"/>
    <w:rsid w:val="007575C8"/>
    <w:rsid w:val="0076162D"/>
    <w:rsid w:val="00761BF4"/>
    <w:rsid w:val="0076261F"/>
    <w:rsid w:val="00762AB5"/>
    <w:rsid w:val="007658EB"/>
    <w:rsid w:val="0076636C"/>
    <w:rsid w:val="00772167"/>
    <w:rsid w:val="00773188"/>
    <w:rsid w:val="00776081"/>
    <w:rsid w:val="0077698E"/>
    <w:rsid w:val="007817D0"/>
    <w:rsid w:val="00782475"/>
    <w:rsid w:val="00783782"/>
    <w:rsid w:val="00783922"/>
    <w:rsid w:val="007844C6"/>
    <w:rsid w:val="00784B8C"/>
    <w:rsid w:val="0078630D"/>
    <w:rsid w:val="007879E1"/>
    <w:rsid w:val="007923E6"/>
    <w:rsid w:val="00792BCE"/>
    <w:rsid w:val="00793AEB"/>
    <w:rsid w:val="00794DD6"/>
    <w:rsid w:val="007A10ED"/>
    <w:rsid w:val="007A2A07"/>
    <w:rsid w:val="007A71BF"/>
    <w:rsid w:val="007B430A"/>
    <w:rsid w:val="007B609F"/>
    <w:rsid w:val="007B6BA5"/>
    <w:rsid w:val="007B7B9A"/>
    <w:rsid w:val="007B7DB4"/>
    <w:rsid w:val="007C1FE5"/>
    <w:rsid w:val="007C3555"/>
    <w:rsid w:val="007C4165"/>
    <w:rsid w:val="007D08A9"/>
    <w:rsid w:val="007D0ABC"/>
    <w:rsid w:val="007D1263"/>
    <w:rsid w:val="007D2815"/>
    <w:rsid w:val="007D5661"/>
    <w:rsid w:val="007D6DB5"/>
    <w:rsid w:val="007E16C9"/>
    <w:rsid w:val="007E55CC"/>
    <w:rsid w:val="007E5A1C"/>
    <w:rsid w:val="007E65B6"/>
    <w:rsid w:val="007F1321"/>
    <w:rsid w:val="007F51F4"/>
    <w:rsid w:val="007F5615"/>
    <w:rsid w:val="007F5BF6"/>
    <w:rsid w:val="007F6E41"/>
    <w:rsid w:val="00800704"/>
    <w:rsid w:val="00801540"/>
    <w:rsid w:val="00802826"/>
    <w:rsid w:val="00804734"/>
    <w:rsid w:val="00806226"/>
    <w:rsid w:val="00811B69"/>
    <w:rsid w:val="00811BAE"/>
    <w:rsid w:val="00814BE5"/>
    <w:rsid w:val="00816052"/>
    <w:rsid w:val="00817C1E"/>
    <w:rsid w:val="00820CBB"/>
    <w:rsid w:val="00821A37"/>
    <w:rsid w:val="00823A11"/>
    <w:rsid w:val="00823F51"/>
    <w:rsid w:val="00824514"/>
    <w:rsid w:val="00827C8B"/>
    <w:rsid w:val="00830570"/>
    <w:rsid w:val="008317FB"/>
    <w:rsid w:val="008400CB"/>
    <w:rsid w:val="00845A5E"/>
    <w:rsid w:val="008465C6"/>
    <w:rsid w:val="008476B2"/>
    <w:rsid w:val="00853E54"/>
    <w:rsid w:val="0085405E"/>
    <w:rsid w:val="0085414A"/>
    <w:rsid w:val="00854AB8"/>
    <w:rsid w:val="00856E81"/>
    <w:rsid w:val="008576CF"/>
    <w:rsid w:val="00857A7F"/>
    <w:rsid w:val="00857EB9"/>
    <w:rsid w:val="0086009D"/>
    <w:rsid w:val="00860989"/>
    <w:rsid w:val="0086269D"/>
    <w:rsid w:val="00864635"/>
    <w:rsid w:val="0086543A"/>
    <w:rsid w:val="008702E2"/>
    <w:rsid w:val="008724E5"/>
    <w:rsid w:val="0087572C"/>
    <w:rsid w:val="00876A75"/>
    <w:rsid w:val="00877FF6"/>
    <w:rsid w:val="008804F8"/>
    <w:rsid w:val="00880B04"/>
    <w:rsid w:val="0088197E"/>
    <w:rsid w:val="00882B4A"/>
    <w:rsid w:val="00884A9D"/>
    <w:rsid w:val="0088512B"/>
    <w:rsid w:val="00887065"/>
    <w:rsid w:val="008930DB"/>
    <w:rsid w:val="008940C5"/>
    <w:rsid w:val="00896C3D"/>
    <w:rsid w:val="0089701E"/>
    <w:rsid w:val="0089714F"/>
    <w:rsid w:val="00897C8D"/>
    <w:rsid w:val="008A04FB"/>
    <w:rsid w:val="008A1BAF"/>
    <w:rsid w:val="008A1C60"/>
    <w:rsid w:val="008A2B2D"/>
    <w:rsid w:val="008A3AD3"/>
    <w:rsid w:val="008A4439"/>
    <w:rsid w:val="008A4E1E"/>
    <w:rsid w:val="008A63CF"/>
    <w:rsid w:val="008B0E49"/>
    <w:rsid w:val="008B18C7"/>
    <w:rsid w:val="008B1DAD"/>
    <w:rsid w:val="008B24E4"/>
    <w:rsid w:val="008B2761"/>
    <w:rsid w:val="008C0A8D"/>
    <w:rsid w:val="008C1466"/>
    <w:rsid w:val="008C25D9"/>
    <w:rsid w:val="008C296C"/>
    <w:rsid w:val="008C4F21"/>
    <w:rsid w:val="008C7C4A"/>
    <w:rsid w:val="008D4305"/>
    <w:rsid w:val="008D49C9"/>
    <w:rsid w:val="008D539B"/>
    <w:rsid w:val="008D5BF5"/>
    <w:rsid w:val="008E1A85"/>
    <w:rsid w:val="008E25F8"/>
    <w:rsid w:val="008E332A"/>
    <w:rsid w:val="008E7C8F"/>
    <w:rsid w:val="008F01A3"/>
    <w:rsid w:val="008F0C7D"/>
    <w:rsid w:val="008F114E"/>
    <w:rsid w:val="008F6472"/>
    <w:rsid w:val="008F6FAE"/>
    <w:rsid w:val="008F7C5D"/>
    <w:rsid w:val="0090490B"/>
    <w:rsid w:val="00913E5D"/>
    <w:rsid w:val="009142D1"/>
    <w:rsid w:val="00914C5B"/>
    <w:rsid w:val="009163A7"/>
    <w:rsid w:val="009163C4"/>
    <w:rsid w:val="0092091A"/>
    <w:rsid w:val="00923094"/>
    <w:rsid w:val="009329CC"/>
    <w:rsid w:val="00933ED6"/>
    <w:rsid w:val="009360B0"/>
    <w:rsid w:val="00940560"/>
    <w:rsid w:val="00942C6B"/>
    <w:rsid w:val="00946D0B"/>
    <w:rsid w:val="009479DB"/>
    <w:rsid w:val="00951E23"/>
    <w:rsid w:val="00955877"/>
    <w:rsid w:val="00963455"/>
    <w:rsid w:val="00964312"/>
    <w:rsid w:val="00965115"/>
    <w:rsid w:val="00971763"/>
    <w:rsid w:val="00975523"/>
    <w:rsid w:val="00975E98"/>
    <w:rsid w:val="00976270"/>
    <w:rsid w:val="009770F7"/>
    <w:rsid w:val="00977C61"/>
    <w:rsid w:val="009800DF"/>
    <w:rsid w:val="0098061D"/>
    <w:rsid w:val="009825E7"/>
    <w:rsid w:val="00982656"/>
    <w:rsid w:val="00985DC8"/>
    <w:rsid w:val="0098637B"/>
    <w:rsid w:val="0098688B"/>
    <w:rsid w:val="00987747"/>
    <w:rsid w:val="00987830"/>
    <w:rsid w:val="00991A17"/>
    <w:rsid w:val="00991F1B"/>
    <w:rsid w:val="00991FD3"/>
    <w:rsid w:val="00994DDF"/>
    <w:rsid w:val="00997096"/>
    <w:rsid w:val="009A0D3C"/>
    <w:rsid w:val="009A15BA"/>
    <w:rsid w:val="009A18CD"/>
    <w:rsid w:val="009A379F"/>
    <w:rsid w:val="009A7D35"/>
    <w:rsid w:val="009B0B55"/>
    <w:rsid w:val="009B2B78"/>
    <w:rsid w:val="009B3997"/>
    <w:rsid w:val="009B503C"/>
    <w:rsid w:val="009B64AD"/>
    <w:rsid w:val="009B6EA6"/>
    <w:rsid w:val="009C1744"/>
    <w:rsid w:val="009C1978"/>
    <w:rsid w:val="009C79E6"/>
    <w:rsid w:val="009D0B88"/>
    <w:rsid w:val="009D5204"/>
    <w:rsid w:val="009D5428"/>
    <w:rsid w:val="009D6EFD"/>
    <w:rsid w:val="009D7720"/>
    <w:rsid w:val="009E28AD"/>
    <w:rsid w:val="009E3206"/>
    <w:rsid w:val="009E488E"/>
    <w:rsid w:val="009E4B4C"/>
    <w:rsid w:val="009E4BD7"/>
    <w:rsid w:val="009E6A94"/>
    <w:rsid w:val="009F025B"/>
    <w:rsid w:val="009F03FD"/>
    <w:rsid w:val="009F407C"/>
    <w:rsid w:val="009F5CE8"/>
    <w:rsid w:val="00A039C0"/>
    <w:rsid w:val="00A06A51"/>
    <w:rsid w:val="00A104EA"/>
    <w:rsid w:val="00A11BA0"/>
    <w:rsid w:val="00A12558"/>
    <w:rsid w:val="00A12FE2"/>
    <w:rsid w:val="00A13903"/>
    <w:rsid w:val="00A146AB"/>
    <w:rsid w:val="00A14781"/>
    <w:rsid w:val="00A1572F"/>
    <w:rsid w:val="00A157CA"/>
    <w:rsid w:val="00A17A98"/>
    <w:rsid w:val="00A2178C"/>
    <w:rsid w:val="00A226ED"/>
    <w:rsid w:val="00A22FCF"/>
    <w:rsid w:val="00A23005"/>
    <w:rsid w:val="00A250DC"/>
    <w:rsid w:val="00A25CFF"/>
    <w:rsid w:val="00A269DE"/>
    <w:rsid w:val="00A2747C"/>
    <w:rsid w:val="00A315FA"/>
    <w:rsid w:val="00A34ED5"/>
    <w:rsid w:val="00A35078"/>
    <w:rsid w:val="00A36EB0"/>
    <w:rsid w:val="00A3765B"/>
    <w:rsid w:val="00A4417A"/>
    <w:rsid w:val="00A45DBF"/>
    <w:rsid w:val="00A4628C"/>
    <w:rsid w:val="00A47C2B"/>
    <w:rsid w:val="00A50AE4"/>
    <w:rsid w:val="00A57E5F"/>
    <w:rsid w:val="00A610FB"/>
    <w:rsid w:val="00A61E01"/>
    <w:rsid w:val="00A651BB"/>
    <w:rsid w:val="00A66075"/>
    <w:rsid w:val="00A66863"/>
    <w:rsid w:val="00A6752B"/>
    <w:rsid w:val="00A70464"/>
    <w:rsid w:val="00A725CF"/>
    <w:rsid w:val="00A755A2"/>
    <w:rsid w:val="00A761FF"/>
    <w:rsid w:val="00A81991"/>
    <w:rsid w:val="00A838AE"/>
    <w:rsid w:val="00A844B0"/>
    <w:rsid w:val="00A84A87"/>
    <w:rsid w:val="00A84AC7"/>
    <w:rsid w:val="00A858AA"/>
    <w:rsid w:val="00A86938"/>
    <w:rsid w:val="00A86E4F"/>
    <w:rsid w:val="00A87D3A"/>
    <w:rsid w:val="00A92DEB"/>
    <w:rsid w:val="00AA4C21"/>
    <w:rsid w:val="00AA4EC7"/>
    <w:rsid w:val="00AA6660"/>
    <w:rsid w:val="00AA7D83"/>
    <w:rsid w:val="00AB0191"/>
    <w:rsid w:val="00AB06B7"/>
    <w:rsid w:val="00AB0AEE"/>
    <w:rsid w:val="00AB2C36"/>
    <w:rsid w:val="00AB4E8A"/>
    <w:rsid w:val="00AB66AF"/>
    <w:rsid w:val="00AB679A"/>
    <w:rsid w:val="00AB6DDE"/>
    <w:rsid w:val="00AB70B6"/>
    <w:rsid w:val="00AC0E42"/>
    <w:rsid w:val="00AC0F0E"/>
    <w:rsid w:val="00AC1098"/>
    <w:rsid w:val="00AC2EEE"/>
    <w:rsid w:val="00AC4687"/>
    <w:rsid w:val="00AD1A86"/>
    <w:rsid w:val="00AD217A"/>
    <w:rsid w:val="00AD3281"/>
    <w:rsid w:val="00AE103E"/>
    <w:rsid w:val="00AE3D34"/>
    <w:rsid w:val="00AE5963"/>
    <w:rsid w:val="00AF0878"/>
    <w:rsid w:val="00AF0A07"/>
    <w:rsid w:val="00AF197D"/>
    <w:rsid w:val="00AF21C3"/>
    <w:rsid w:val="00AF3CCE"/>
    <w:rsid w:val="00AF4AEC"/>
    <w:rsid w:val="00AF5788"/>
    <w:rsid w:val="00AF625E"/>
    <w:rsid w:val="00AF7632"/>
    <w:rsid w:val="00B03D5A"/>
    <w:rsid w:val="00B04B3E"/>
    <w:rsid w:val="00B064DA"/>
    <w:rsid w:val="00B117D5"/>
    <w:rsid w:val="00B12D78"/>
    <w:rsid w:val="00B139BE"/>
    <w:rsid w:val="00B14EED"/>
    <w:rsid w:val="00B2172B"/>
    <w:rsid w:val="00B26F5E"/>
    <w:rsid w:val="00B353CF"/>
    <w:rsid w:val="00B360E9"/>
    <w:rsid w:val="00B37652"/>
    <w:rsid w:val="00B419FB"/>
    <w:rsid w:val="00B445F5"/>
    <w:rsid w:val="00B44D8A"/>
    <w:rsid w:val="00B45112"/>
    <w:rsid w:val="00B47ACC"/>
    <w:rsid w:val="00B53635"/>
    <w:rsid w:val="00B60AF0"/>
    <w:rsid w:val="00B64851"/>
    <w:rsid w:val="00B658F8"/>
    <w:rsid w:val="00B66212"/>
    <w:rsid w:val="00B72A33"/>
    <w:rsid w:val="00B73194"/>
    <w:rsid w:val="00B7329C"/>
    <w:rsid w:val="00B75628"/>
    <w:rsid w:val="00B75BA3"/>
    <w:rsid w:val="00B7604B"/>
    <w:rsid w:val="00B763AD"/>
    <w:rsid w:val="00B84084"/>
    <w:rsid w:val="00B84662"/>
    <w:rsid w:val="00B84DD7"/>
    <w:rsid w:val="00B90511"/>
    <w:rsid w:val="00B94BAD"/>
    <w:rsid w:val="00B95A7D"/>
    <w:rsid w:val="00B95BF2"/>
    <w:rsid w:val="00B96A8E"/>
    <w:rsid w:val="00BA1309"/>
    <w:rsid w:val="00BA241A"/>
    <w:rsid w:val="00BA2EAA"/>
    <w:rsid w:val="00BA2F9B"/>
    <w:rsid w:val="00BA4743"/>
    <w:rsid w:val="00BB04AF"/>
    <w:rsid w:val="00BB4685"/>
    <w:rsid w:val="00BB4782"/>
    <w:rsid w:val="00BB5110"/>
    <w:rsid w:val="00BB5288"/>
    <w:rsid w:val="00BB562D"/>
    <w:rsid w:val="00BB56DE"/>
    <w:rsid w:val="00BB5991"/>
    <w:rsid w:val="00BC209A"/>
    <w:rsid w:val="00BC2EF2"/>
    <w:rsid w:val="00BC3923"/>
    <w:rsid w:val="00BC415B"/>
    <w:rsid w:val="00BC4167"/>
    <w:rsid w:val="00BC4BDC"/>
    <w:rsid w:val="00BC585F"/>
    <w:rsid w:val="00BC799C"/>
    <w:rsid w:val="00BD0800"/>
    <w:rsid w:val="00BD0C1E"/>
    <w:rsid w:val="00BD23D6"/>
    <w:rsid w:val="00BD2774"/>
    <w:rsid w:val="00BD289E"/>
    <w:rsid w:val="00BD42CE"/>
    <w:rsid w:val="00BD52C9"/>
    <w:rsid w:val="00BD790D"/>
    <w:rsid w:val="00BD7D44"/>
    <w:rsid w:val="00BD7D94"/>
    <w:rsid w:val="00BE46BC"/>
    <w:rsid w:val="00BE5489"/>
    <w:rsid w:val="00BE6354"/>
    <w:rsid w:val="00BF285D"/>
    <w:rsid w:val="00BF63E0"/>
    <w:rsid w:val="00BF7EEB"/>
    <w:rsid w:val="00BF7F7E"/>
    <w:rsid w:val="00C002BB"/>
    <w:rsid w:val="00C0033C"/>
    <w:rsid w:val="00C053E0"/>
    <w:rsid w:val="00C138D1"/>
    <w:rsid w:val="00C15916"/>
    <w:rsid w:val="00C15B54"/>
    <w:rsid w:val="00C161B7"/>
    <w:rsid w:val="00C20169"/>
    <w:rsid w:val="00C22501"/>
    <w:rsid w:val="00C228D6"/>
    <w:rsid w:val="00C23740"/>
    <w:rsid w:val="00C237A4"/>
    <w:rsid w:val="00C23A97"/>
    <w:rsid w:val="00C25988"/>
    <w:rsid w:val="00C27655"/>
    <w:rsid w:val="00C27DEF"/>
    <w:rsid w:val="00C316B4"/>
    <w:rsid w:val="00C33F9B"/>
    <w:rsid w:val="00C371B2"/>
    <w:rsid w:val="00C37FA3"/>
    <w:rsid w:val="00C4071B"/>
    <w:rsid w:val="00C410B1"/>
    <w:rsid w:val="00C41637"/>
    <w:rsid w:val="00C44D94"/>
    <w:rsid w:val="00C4513E"/>
    <w:rsid w:val="00C51DCC"/>
    <w:rsid w:val="00C51DED"/>
    <w:rsid w:val="00C52E49"/>
    <w:rsid w:val="00C52EBE"/>
    <w:rsid w:val="00C5776D"/>
    <w:rsid w:val="00C578FF"/>
    <w:rsid w:val="00C61D1A"/>
    <w:rsid w:val="00C61F3E"/>
    <w:rsid w:val="00C64855"/>
    <w:rsid w:val="00C6558B"/>
    <w:rsid w:val="00C65B93"/>
    <w:rsid w:val="00C6643D"/>
    <w:rsid w:val="00C70B4B"/>
    <w:rsid w:val="00C70EA7"/>
    <w:rsid w:val="00C7433F"/>
    <w:rsid w:val="00C7516E"/>
    <w:rsid w:val="00C756BA"/>
    <w:rsid w:val="00C75770"/>
    <w:rsid w:val="00C76C60"/>
    <w:rsid w:val="00C8028E"/>
    <w:rsid w:val="00C83594"/>
    <w:rsid w:val="00C8447B"/>
    <w:rsid w:val="00C86A2B"/>
    <w:rsid w:val="00C93B4E"/>
    <w:rsid w:val="00C956AF"/>
    <w:rsid w:val="00C97DA7"/>
    <w:rsid w:val="00CA00F0"/>
    <w:rsid w:val="00CA3AC4"/>
    <w:rsid w:val="00CA4E41"/>
    <w:rsid w:val="00CA56BB"/>
    <w:rsid w:val="00CA651B"/>
    <w:rsid w:val="00CB0542"/>
    <w:rsid w:val="00CB0D06"/>
    <w:rsid w:val="00CB31EE"/>
    <w:rsid w:val="00CB5546"/>
    <w:rsid w:val="00CB7E22"/>
    <w:rsid w:val="00CC2399"/>
    <w:rsid w:val="00CC3497"/>
    <w:rsid w:val="00CC51B7"/>
    <w:rsid w:val="00CC5F50"/>
    <w:rsid w:val="00CC60A0"/>
    <w:rsid w:val="00CD2407"/>
    <w:rsid w:val="00CD2F8C"/>
    <w:rsid w:val="00CD59FE"/>
    <w:rsid w:val="00CD7BCA"/>
    <w:rsid w:val="00CE1B97"/>
    <w:rsid w:val="00CE7C34"/>
    <w:rsid w:val="00CF1B55"/>
    <w:rsid w:val="00CF2C70"/>
    <w:rsid w:val="00CF318C"/>
    <w:rsid w:val="00CF419A"/>
    <w:rsid w:val="00CF5A15"/>
    <w:rsid w:val="00D00B2B"/>
    <w:rsid w:val="00D037B4"/>
    <w:rsid w:val="00D03EEA"/>
    <w:rsid w:val="00D10AF6"/>
    <w:rsid w:val="00D1137A"/>
    <w:rsid w:val="00D13D46"/>
    <w:rsid w:val="00D153FB"/>
    <w:rsid w:val="00D15C91"/>
    <w:rsid w:val="00D1749B"/>
    <w:rsid w:val="00D214F3"/>
    <w:rsid w:val="00D21C82"/>
    <w:rsid w:val="00D2474B"/>
    <w:rsid w:val="00D24877"/>
    <w:rsid w:val="00D2684E"/>
    <w:rsid w:val="00D30955"/>
    <w:rsid w:val="00D360DF"/>
    <w:rsid w:val="00D417BD"/>
    <w:rsid w:val="00D43118"/>
    <w:rsid w:val="00D43A2C"/>
    <w:rsid w:val="00D471D3"/>
    <w:rsid w:val="00D52022"/>
    <w:rsid w:val="00D53D10"/>
    <w:rsid w:val="00D57C7F"/>
    <w:rsid w:val="00D6051C"/>
    <w:rsid w:val="00D60BEC"/>
    <w:rsid w:val="00D61CA8"/>
    <w:rsid w:val="00D62CBC"/>
    <w:rsid w:val="00D64E01"/>
    <w:rsid w:val="00D6533E"/>
    <w:rsid w:val="00D659E7"/>
    <w:rsid w:val="00D67DC3"/>
    <w:rsid w:val="00D7105A"/>
    <w:rsid w:val="00D73723"/>
    <w:rsid w:val="00D73D64"/>
    <w:rsid w:val="00D7556C"/>
    <w:rsid w:val="00D7561C"/>
    <w:rsid w:val="00D77BC3"/>
    <w:rsid w:val="00D81B30"/>
    <w:rsid w:val="00D8250F"/>
    <w:rsid w:val="00D83874"/>
    <w:rsid w:val="00D877B1"/>
    <w:rsid w:val="00D91431"/>
    <w:rsid w:val="00D93586"/>
    <w:rsid w:val="00D95C4C"/>
    <w:rsid w:val="00D96682"/>
    <w:rsid w:val="00DA36ED"/>
    <w:rsid w:val="00DA41F7"/>
    <w:rsid w:val="00DA720B"/>
    <w:rsid w:val="00DA7423"/>
    <w:rsid w:val="00DB2308"/>
    <w:rsid w:val="00DB25D1"/>
    <w:rsid w:val="00DB2665"/>
    <w:rsid w:val="00DB2927"/>
    <w:rsid w:val="00DB4259"/>
    <w:rsid w:val="00DB4A41"/>
    <w:rsid w:val="00DB51EB"/>
    <w:rsid w:val="00DB6C8A"/>
    <w:rsid w:val="00DC14F3"/>
    <w:rsid w:val="00DC26BF"/>
    <w:rsid w:val="00DC2A12"/>
    <w:rsid w:val="00DC380F"/>
    <w:rsid w:val="00DC5E6E"/>
    <w:rsid w:val="00DD3A0F"/>
    <w:rsid w:val="00DD585A"/>
    <w:rsid w:val="00DD67DF"/>
    <w:rsid w:val="00DE34F1"/>
    <w:rsid w:val="00DE4BA7"/>
    <w:rsid w:val="00DE6160"/>
    <w:rsid w:val="00DF1221"/>
    <w:rsid w:val="00DF27E4"/>
    <w:rsid w:val="00DF2C23"/>
    <w:rsid w:val="00DF302C"/>
    <w:rsid w:val="00DF313A"/>
    <w:rsid w:val="00DF4942"/>
    <w:rsid w:val="00DF6B02"/>
    <w:rsid w:val="00E00257"/>
    <w:rsid w:val="00E00BA4"/>
    <w:rsid w:val="00E0251A"/>
    <w:rsid w:val="00E07CB0"/>
    <w:rsid w:val="00E10342"/>
    <w:rsid w:val="00E103BD"/>
    <w:rsid w:val="00E11EC8"/>
    <w:rsid w:val="00E13780"/>
    <w:rsid w:val="00E1470C"/>
    <w:rsid w:val="00E17C28"/>
    <w:rsid w:val="00E2125F"/>
    <w:rsid w:val="00E21E1E"/>
    <w:rsid w:val="00E23659"/>
    <w:rsid w:val="00E23F6D"/>
    <w:rsid w:val="00E244E1"/>
    <w:rsid w:val="00E25976"/>
    <w:rsid w:val="00E2692E"/>
    <w:rsid w:val="00E32B4B"/>
    <w:rsid w:val="00E32CE8"/>
    <w:rsid w:val="00E4150C"/>
    <w:rsid w:val="00E4184C"/>
    <w:rsid w:val="00E4251C"/>
    <w:rsid w:val="00E43201"/>
    <w:rsid w:val="00E432AC"/>
    <w:rsid w:val="00E47351"/>
    <w:rsid w:val="00E50063"/>
    <w:rsid w:val="00E539D7"/>
    <w:rsid w:val="00E56182"/>
    <w:rsid w:val="00E5699B"/>
    <w:rsid w:val="00E623EF"/>
    <w:rsid w:val="00E627B1"/>
    <w:rsid w:val="00E63618"/>
    <w:rsid w:val="00E65868"/>
    <w:rsid w:val="00E666FE"/>
    <w:rsid w:val="00E70169"/>
    <w:rsid w:val="00E71124"/>
    <w:rsid w:val="00E721BB"/>
    <w:rsid w:val="00E735E6"/>
    <w:rsid w:val="00E769DC"/>
    <w:rsid w:val="00E77845"/>
    <w:rsid w:val="00E82B23"/>
    <w:rsid w:val="00E84717"/>
    <w:rsid w:val="00E92525"/>
    <w:rsid w:val="00E9376C"/>
    <w:rsid w:val="00E9410D"/>
    <w:rsid w:val="00E952F0"/>
    <w:rsid w:val="00E95AE2"/>
    <w:rsid w:val="00EA1C18"/>
    <w:rsid w:val="00EA25B1"/>
    <w:rsid w:val="00EA335E"/>
    <w:rsid w:val="00EA3438"/>
    <w:rsid w:val="00EA3787"/>
    <w:rsid w:val="00EA528C"/>
    <w:rsid w:val="00EA580C"/>
    <w:rsid w:val="00EA61F6"/>
    <w:rsid w:val="00EA6260"/>
    <w:rsid w:val="00EA7D6C"/>
    <w:rsid w:val="00EB04B2"/>
    <w:rsid w:val="00EC1A3F"/>
    <w:rsid w:val="00EC34CF"/>
    <w:rsid w:val="00EC38C9"/>
    <w:rsid w:val="00EC3CF6"/>
    <w:rsid w:val="00EC3DBE"/>
    <w:rsid w:val="00EC4B43"/>
    <w:rsid w:val="00EC67F3"/>
    <w:rsid w:val="00EC6F8D"/>
    <w:rsid w:val="00ED39B2"/>
    <w:rsid w:val="00ED3FF2"/>
    <w:rsid w:val="00ED5A0F"/>
    <w:rsid w:val="00EE0103"/>
    <w:rsid w:val="00EE1F34"/>
    <w:rsid w:val="00EE49F4"/>
    <w:rsid w:val="00EE7C20"/>
    <w:rsid w:val="00EE7DB6"/>
    <w:rsid w:val="00EF3112"/>
    <w:rsid w:val="00EF34E2"/>
    <w:rsid w:val="00EF39C2"/>
    <w:rsid w:val="00EF70DB"/>
    <w:rsid w:val="00F04EFB"/>
    <w:rsid w:val="00F0560C"/>
    <w:rsid w:val="00F070FB"/>
    <w:rsid w:val="00F076AC"/>
    <w:rsid w:val="00F16293"/>
    <w:rsid w:val="00F17547"/>
    <w:rsid w:val="00F21255"/>
    <w:rsid w:val="00F23F80"/>
    <w:rsid w:val="00F2500C"/>
    <w:rsid w:val="00F3029C"/>
    <w:rsid w:val="00F30DC6"/>
    <w:rsid w:val="00F324FA"/>
    <w:rsid w:val="00F32C23"/>
    <w:rsid w:val="00F35CEB"/>
    <w:rsid w:val="00F37BCB"/>
    <w:rsid w:val="00F40D64"/>
    <w:rsid w:val="00F41272"/>
    <w:rsid w:val="00F5176A"/>
    <w:rsid w:val="00F52D94"/>
    <w:rsid w:val="00F53DE9"/>
    <w:rsid w:val="00F54BFB"/>
    <w:rsid w:val="00F55DB3"/>
    <w:rsid w:val="00F57119"/>
    <w:rsid w:val="00F576CB"/>
    <w:rsid w:val="00F622D9"/>
    <w:rsid w:val="00F64EEC"/>
    <w:rsid w:val="00F7035D"/>
    <w:rsid w:val="00F70A06"/>
    <w:rsid w:val="00F7185B"/>
    <w:rsid w:val="00F71A02"/>
    <w:rsid w:val="00F71D2A"/>
    <w:rsid w:val="00F80EE2"/>
    <w:rsid w:val="00F80FF3"/>
    <w:rsid w:val="00F8394B"/>
    <w:rsid w:val="00F93CBF"/>
    <w:rsid w:val="00F94FAE"/>
    <w:rsid w:val="00FA0D63"/>
    <w:rsid w:val="00FA1031"/>
    <w:rsid w:val="00FA27B0"/>
    <w:rsid w:val="00FA4AC2"/>
    <w:rsid w:val="00FA4CBC"/>
    <w:rsid w:val="00FA59F0"/>
    <w:rsid w:val="00FA5F87"/>
    <w:rsid w:val="00FA6B83"/>
    <w:rsid w:val="00FB0001"/>
    <w:rsid w:val="00FB044B"/>
    <w:rsid w:val="00FB0CCE"/>
    <w:rsid w:val="00FB1D63"/>
    <w:rsid w:val="00FB4006"/>
    <w:rsid w:val="00FB54EA"/>
    <w:rsid w:val="00FB57C4"/>
    <w:rsid w:val="00FB6A1A"/>
    <w:rsid w:val="00FB702D"/>
    <w:rsid w:val="00FC3B33"/>
    <w:rsid w:val="00FC5BA0"/>
    <w:rsid w:val="00FC61F4"/>
    <w:rsid w:val="00FD1226"/>
    <w:rsid w:val="00FD440C"/>
    <w:rsid w:val="00FD44B1"/>
    <w:rsid w:val="00FD46B1"/>
    <w:rsid w:val="00FD5491"/>
    <w:rsid w:val="00FE377D"/>
    <w:rsid w:val="00FE57E2"/>
    <w:rsid w:val="00FE5A1A"/>
    <w:rsid w:val="00FE7FCE"/>
    <w:rsid w:val="00FF06B6"/>
    <w:rsid w:val="00FF2D8C"/>
    <w:rsid w:val="00FF358C"/>
    <w:rsid w:val="00FF4830"/>
    <w:rsid w:val="00FF61B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rsid w:val="00A92D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List Paragraph (numbered (a)),Lapis Bulleted List,Dot pt,F5 List Paragraph,List Paragraph Char Char Char,Indicator Text,Numbered Para 1,Bullet 1,List Paragraph12,Bullet Points,MAIN CONTENT,List Paragraph1"/>
    <w:basedOn w:val="Normal"/>
    <w:link w:val="ParagraphedelisteCar"/>
    <w:uiPriority w:val="34"/>
    <w:qFormat/>
    <w:rsid w:val="004A2875"/>
    <w:pPr>
      <w:ind w:left="720"/>
      <w:contextualSpacing/>
    </w:pPr>
  </w:style>
  <w:style w:type="character" w:styleId="Lienhypertexte">
    <w:name w:val="Hyperlink"/>
    <w:basedOn w:val="Policepardfaut"/>
    <w:uiPriority w:val="99"/>
    <w:unhideWhenUsed/>
    <w:rsid w:val="0087572C"/>
    <w:rPr>
      <w:color w:val="0000FF" w:themeColor="hyperlink"/>
      <w:u w:val="single"/>
    </w:rPr>
  </w:style>
  <w:style w:type="character" w:customStyle="1" w:styleId="hps">
    <w:name w:val="hps"/>
    <w:rsid w:val="00CA3AC4"/>
  </w:style>
  <w:style w:type="character" w:customStyle="1" w:styleId="ac">
    <w:name w:val="ac"/>
    <w:basedOn w:val="Policepardfaut"/>
    <w:rsid w:val="00CA3AC4"/>
  </w:style>
  <w:style w:type="character" w:styleId="Marquedecommentaire">
    <w:name w:val="annotation reference"/>
    <w:basedOn w:val="Policepardfaut"/>
    <w:uiPriority w:val="99"/>
    <w:semiHidden/>
    <w:unhideWhenUsed/>
    <w:rsid w:val="002C6266"/>
    <w:rPr>
      <w:sz w:val="16"/>
      <w:szCs w:val="16"/>
    </w:rPr>
  </w:style>
  <w:style w:type="paragraph" w:styleId="Commentaire">
    <w:name w:val="annotation text"/>
    <w:basedOn w:val="Normal"/>
    <w:link w:val="CommentaireCar"/>
    <w:uiPriority w:val="99"/>
    <w:unhideWhenUsed/>
    <w:rsid w:val="002C6266"/>
    <w:rPr>
      <w:sz w:val="20"/>
      <w:szCs w:val="20"/>
    </w:rPr>
  </w:style>
  <w:style w:type="character" w:customStyle="1" w:styleId="CommentaireCar">
    <w:name w:val="Commentaire Car"/>
    <w:basedOn w:val="Policepardfaut"/>
    <w:link w:val="Commentaire"/>
    <w:uiPriority w:val="99"/>
    <w:rsid w:val="002C6266"/>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2C6266"/>
    <w:rPr>
      <w:b/>
      <w:bCs/>
    </w:rPr>
  </w:style>
  <w:style w:type="character" w:customStyle="1" w:styleId="ObjetducommentaireCar">
    <w:name w:val="Objet du commentaire Car"/>
    <w:basedOn w:val="CommentaireCar"/>
    <w:link w:val="Objetducommentaire"/>
    <w:uiPriority w:val="99"/>
    <w:semiHidden/>
    <w:rsid w:val="002C6266"/>
    <w:rPr>
      <w:rFonts w:ascii="Times New Roman" w:eastAsia="Times New Roman" w:hAnsi="Times New Roman"/>
      <w:b/>
      <w:bCs/>
    </w:rPr>
  </w:style>
  <w:style w:type="character" w:styleId="Mentionnonrsolue">
    <w:name w:val="Unresolved Mention"/>
    <w:basedOn w:val="Policepardfaut"/>
    <w:uiPriority w:val="99"/>
    <w:semiHidden/>
    <w:unhideWhenUsed/>
    <w:rsid w:val="00AF21C3"/>
    <w:rPr>
      <w:color w:val="605E5C"/>
      <w:shd w:val="clear" w:color="auto" w:fill="E1DFDD"/>
    </w:rPr>
  </w:style>
  <w:style w:type="paragraph" w:styleId="Rvision">
    <w:name w:val="Revision"/>
    <w:hidden/>
    <w:uiPriority w:val="99"/>
    <w:semiHidden/>
    <w:rsid w:val="00EC4B43"/>
    <w:rPr>
      <w:rFonts w:ascii="Times New Roman" w:eastAsia="Times New Roman" w:hAnsi="Times New Roman"/>
      <w:sz w:val="24"/>
      <w:szCs w:val="24"/>
    </w:rPr>
  </w:style>
  <w:style w:type="character" w:styleId="Lienhypertextesuivivisit">
    <w:name w:val="FollowedHyperlink"/>
    <w:basedOn w:val="Policepardfaut"/>
    <w:uiPriority w:val="99"/>
    <w:semiHidden/>
    <w:unhideWhenUsed/>
    <w:rsid w:val="00FD5491"/>
    <w:rPr>
      <w:color w:val="800080" w:themeColor="followedHyperlink"/>
      <w:u w:val="single"/>
    </w:rPr>
  </w:style>
  <w:style w:type="paragraph" w:styleId="NormalWeb">
    <w:name w:val="Normal (Web)"/>
    <w:basedOn w:val="Normal"/>
    <w:uiPriority w:val="99"/>
    <w:unhideWhenUsed/>
    <w:rsid w:val="00A81991"/>
    <w:pPr>
      <w:spacing w:before="100" w:beforeAutospacing="1" w:after="100" w:afterAutospacing="1"/>
    </w:pPr>
    <w:rPr>
      <w:lang w:eastAsia="zh-CN"/>
    </w:rPr>
  </w:style>
  <w:style w:type="character" w:customStyle="1" w:styleId="ParagraphedelisteCar">
    <w:name w:val="Paragraphe de liste Car"/>
    <w:aliases w:val="List Paragraph (numbered (a)) Car,Lapis Bulleted List Car,Dot pt Car,F5 List Paragraph Car,List Paragraph Char Char Char Car,Indicator Text Car,Numbered Para 1 Car,Bullet 1 Car,List Paragraph12 Car,Bullet Points Car"/>
    <w:link w:val="Paragraphedeliste"/>
    <w:uiPriority w:val="34"/>
    <w:locked/>
    <w:rsid w:val="00FE57E2"/>
    <w:rPr>
      <w:rFonts w:ascii="Times New Roman" w:eastAsia="Times New Roman" w:hAnsi="Times New Roman"/>
      <w:sz w:val="24"/>
      <w:szCs w:val="24"/>
    </w:rPr>
  </w:style>
  <w:style w:type="paragraph" w:customStyle="1" w:styleId="Bullet1">
    <w:name w:val="Bullet_1"/>
    <w:basedOn w:val="Marge"/>
    <w:link w:val="Bullet1Char"/>
    <w:qFormat/>
    <w:rsid w:val="0019235F"/>
    <w:pPr>
      <w:numPr>
        <w:numId w:val="31"/>
      </w:numPr>
      <w:tabs>
        <w:tab w:val="clear" w:pos="567"/>
      </w:tabs>
      <w:spacing w:before="240" w:line="360" w:lineRule="auto"/>
      <w:ind w:left="567" w:hanging="567"/>
    </w:pPr>
    <w:rPr>
      <w:rFonts w:eastAsia="SimSun" w:cs="Arial"/>
      <w:sz w:val="28"/>
      <w:szCs w:val="28"/>
      <w:lang w:val="en-GB" w:eastAsia="zh-CN"/>
    </w:rPr>
  </w:style>
  <w:style w:type="paragraph" w:customStyle="1" w:styleId="Bullet2">
    <w:name w:val="Bullet_2"/>
    <w:basedOn w:val="Marge"/>
    <w:qFormat/>
    <w:rsid w:val="0019235F"/>
    <w:pPr>
      <w:numPr>
        <w:ilvl w:val="1"/>
        <w:numId w:val="31"/>
      </w:numPr>
      <w:tabs>
        <w:tab w:val="clear" w:pos="567"/>
      </w:tabs>
      <w:spacing w:before="240" w:line="360" w:lineRule="auto"/>
      <w:ind w:left="1134" w:hanging="567"/>
    </w:pPr>
    <w:rPr>
      <w:rFonts w:eastAsia="SimSun" w:cs="Arial"/>
      <w:sz w:val="28"/>
      <w:szCs w:val="28"/>
      <w:lang w:val="en-GB" w:eastAsia="zh-CN"/>
    </w:rPr>
  </w:style>
  <w:style w:type="character" w:customStyle="1" w:styleId="MargeChar">
    <w:name w:val="Marge Char"/>
    <w:link w:val="Marge"/>
    <w:rsid w:val="0019235F"/>
    <w:rPr>
      <w:rFonts w:ascii="Arial" w:eastAsia="Times New Roman" w:hAnsi="Arial"/>
      <w:snapToGrid w:val="0"/>
      <w:sz w:val="22"/>
      <w:szCs w:val="24"/>
      <w:lang w:eastAsia="en-US"/>
    </w:rPr>
  </w:style>
  <w:style w:type="character" w:customStyle="1" w:styleId="Bullet1Char">
    <w:name w:val="Bullet_1 Char"/>
    <w:link w:val="Bullet1"/>
    <w:rsid w:val="0019235F"/>
    <w:rPr>
      <w:rFonts w:ascii="Arial" w:hAnsi="Arial" w:cs="Arial"/>
      <w:snapToGrid w:val="0"/>
      <w:sz w:val="28"/>
      <w:szCs w:val="28"/>
      <w:lang w:val="en-GB" w:eastAsia="zh-CN"/>
    </w:rPr>
  </w:style>
  <w:style w:type="character" w:customStyle="1" w:styleId="Titre1Car">
    <w:name w:val="Titre 1 Car"/>
    <w:basedOn w:val="Policepardfaut"/>
    <w:link w:val="Titre1"/>
    <w:uiPriority w:val="9"/>
    <w:rsid w:val="00A92DEB"/>
    <w:rPr>
      <w:rFonts w:asciiTheme="majorHAnsi" w:eastAsiaTheme="majorEastAsia" w:hAnsiTheme="majorHAnsi" w:cstheme="majorBidi"/>
      <w:color w:val="365F91" w:themeColor="accent1" w:themeShade="BF"/>
      <w:sz w:val="32"/>
      <w:szCs w:val="32"/>
    </w:rPr>
  </w:style>
  <w:style w:type="character" w:styleId="lev">
    <w:name w:val="Strong"/>
    <w:basedOn w:val="Policepardfaut"/>
    <w:uiPriority w:val="22"/>
    <w:qFormat/>
    <w:rsid w:val="009D6EFD"/>
    <w:rPr>
      <w:b/>
      <w:bCs/>
    </w:rPr>
  </w:style>
  <w:style w:type="character" w:customStyle="1" w:styleId="s1">
    <w:name w:val="s1"/>
    <w:basedOn w:val="Policepardfaut"/>
    <w:rsid w:val="00761BF4"/>
    <w:rPr>
      <w:rFonts w:ascii="Times New Roman" w:hAnsi="Times New Roman" w:cs="Times New Roman" w:hint="default"/>
    </w:rPr>
  </w:style>
  <w:style w:type="paragraph" w:customStyle="1" w:styleId="Remarks">
    <w:name w:val="Remarks"/>
    <w:basedOn w:val="En-tte"/>
    <w:link w:val="RemarksChar"/>
    <w:qFormat/>
    <w:rsid w:val="00D2474B"/>
    <w:pPr>
      <w:tabs>
        <w:tab w:val="clear" w:pos="4536"/>
        <w:tab w:val="clear" w:pos="9072"/>
      </w:tabs>
      <w:spacing w:before="240" w:after="240" w:line="360" w:lineRule="auto"/>
      <w:jc w:val="both"/>
    </w:pPr>
    <w:rPr>
      <w:rFonts w:ascii="Arial" w:eastAsia="Times" w:hAnsi="Arial" w:cs="Arial"/>
      <w:bCs/>
      <w:sz w:val="28"/>
      <w:szCs w:val="28"/>
      <w:lang w:val="en-GB" w:eastAsia="en-US"/>
    </w:rPr>
  </w:style>
  <w:style w:type="character" w:customStyle="1" w:styleId="RemarksChar">
    <w:name w:val="Remarks Char"/>
    <w:link w:val="Remarks"/>
    <w:rsid w:val="00D2474B"/>
    <w:rPr>
      <w:rFonts w:ascii="Arial" w:eastAsia="Times" w:hAnsi="Arial" w:cs="Arial"/>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20276">
      <w:bodyDiv w:val="1"/>
      <w:marLeft w:val="0"/>
      <w:marRight w:val="0"/>
      <w:marTop w:val="0"/>
      <w:marBottom w:val="0"/>
      <w:divBdr>
        <w:top w:val="none" w:sz="0" w:space="0" w:color="auto"/>
        <w:left w:val="none" w:sz="0" w:space="0" w:color="auto"/>
        <w:bottom w:val="none" w:sz="0" w:space="0" w:color="auto"/>
        <w:right w:val="none" w:sz="0" w:space="0" w:color="auto"/>
      </w:divBdr>
    </w:div>
    <w:div w:id="90980292">
      <w:bodyDiv w:val="1"/>
      <w:marLeft w:val="0"/>
      <w:marRight w:val="0"/>
      <w:marTop w:val="0"/>
      <w:marBottom w:val="0"/>
      <w:divBdr>
        <w:top w:val="none" w:sz="0" w:space="0" w:color="auto"/>
        <w:left w:val="none" w:sz="0" w:space="0" w:color="auto"/>
        <w:bottom w:val="none" w:sz="0" w:space="0" w:color="auto"/>
        <w:right w:val="none" w:sz="0" w:space="0" w:color="auto"/>
      </w:divBdr>
    </w:div>
    <w:div w:id="91047511">
      <w:bodyDiv w:val="1"/>
      <w:marLeft w:val="0"/>
      <w:marRight w:val="0"/>
      <w:marTop w:val="0"/>
      <w:marBottom w:val="0"/>
      <w:divBdr>
        <w:top w:val="none" w:sz="0" w:space="0" w:color="auto"/>
        <w:left w:val="none" w:sz="0" w:space="0" w:color="auto"/>
        <w:bottom w:val="none" w:sz="0" w:space="0" w:color="auto"/>
        <w:right w:val="none" w:sz="0" w:space="0" w:color="auto"/>
      </w:divBdr>
      <w:divsChild>
        <w:div w:id="36127051">
          <w:marLeft w:val="0"/>
          <w:marRight w:val="0"/>
          <w:marTop w:val="0"/>
          <w:marBottom w:val="0"/>
          <w:divBdr>
            <w:top w:val="none" w:sz="0" w:space="0" w:color="auto"/>
            <w:left w:val="none" w:sz="0" w:space="0" w:color="auto"/>
            <w:bottom w:val="none" w:sz="0" w:space="0" w:color="auto"/>
            <w:right w:val="none" w:sz="0" w:space="0" w:color="auto"/>
          </w:divBdr>
        </w:div>
      </w:divsChild>
    </w:div>
    <w:div w:id="596596520">
      <w:bodyDiv w:val="1"/>
      <w:marLeft w:val="0"/>
      <w:marRight w:val="0"/>
      <w:marTop w:val="0"/>
      <w:marBottom w:val="0"/>
      <w:divBdr>
        <w:top w:val="none" w:sz="0" w:space="0" w:color="auto"/>
        <w:left w:val="none" w:sz="0" w:space="0" w:color="auto"/>
        <w:bottom w:val="none" w:sz="0" w:space="0" w:color="auto"/>
        <w:right w:val="none" w:sz="0" w:space="0" w:color="auto"/>
      </w:divBdr>
    </w:div>
    <w:div w:id="601036105">
      <w:bodyDiv w:val="1"/>
      <w:marLeft w:val="0"/>
      <w:marRight w:val="0"/>
      <w:marTop w:val="0"/>
      <w:marBottom w:val="0"/>
      <w:divBdr>
        <w:top w:val="none" w:sz="0" w:space="0" w:color="auto"/>
        <w:left w:val="none" w:sz="0" w:space="0" w:color="auto"/>
        <w:bottom w:val="none" w:sz="0" w:space="0" w:color="auto"/>
        <w:right w:val="none" w:sz="0" w:space="0" w:color="auto"/>
      </w:divBdr>
      <w:divsChild>
        <w:div w:id="153302204">
          <w:marLeft w:val="0"/>
          <w:marRight w:val="0"/>
          <w:marTop w:val="0"/>
          <w:marBottom w:val="0"/>
          <w:divBdr>
            <w:top w:val="none" w:sz="0" w:space="0" w:color="auto"/>
            <w:left w:val="none" w:sz="0" w:space="0" w:color="auto"/>
            <w:bottom w:val="none" w:sz="0" w:space="0" w:color="auto"/>
            <w:right w:val="none" w:sz="0" w:space="0" w:color="auto"/>
          </w:divBdr>
        </w:div>
      </w:divsChild>
    </w:div>
    <w:div w:id="77335647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32794719">
      <w:bodyDiv w:val="1"/>
      <w:marLeft w:val="0"/>
      <w:marRight w:val="0"/>
      <w:marTop w:val="0"/>
      <w:marBottom w:val="0"/>
      <w:divBdr>
        <w:top w:val="none" w:sz="0" w:space="0" w:color="auto"/>
        <w:left w:val="none" w:sz="0" w:space="0" w:color="auto"/>
        <w:bottom w:val="none" w:sz="0" w:space="0" w:color="auto"/>
        <w:right w:val="none" w:sz="0" w:space="0" w:color="auto"/>
      </w:divBdr>
    </w:div>
    <w:div w:id="867717773">
      <w:bodyDiv w:val="1"/>
      <w:marLeft w:val="0"/>
      <w:marRight w:val="0"/>
      <w:marTop w:val="0"/>
      <w:marBottom w:val="0"/>
      <w:divBdr>
        <w:top w:val="none" w:sz="0" w:space="0" w:color="auto"/>
        <w:left w:val="none" w:sz="0" w:space="0" w:color="auto"/>
        <w:bottom w:val="none" w:sz="0" w:space="0" w:color="auto"/>
        <w:right w:val="none" w:sz="0" w:space="0" w:color="auto"/>
      </w:divBdr>
    </w:div>
    <w:div w:id="938365642">
      <w:bodyDiv w:val="1"/>
      <w:marLeft w:val="0"/>
      <w:marRight w:val="0"/>
      <w:marTop w:val="0"/>
      <w:marBottom w:val="0"/>
      <w:divBdr>
        <w:top w:val="none" w:sz="0" w:space="0" w:color="auto"/>
        <w:left w:val="none" w:sz="0" w:space="0" w:color="auto"/>
        <w:bottom w:val="none" w:sz="0" w:space="0" w:color="auto"/>
        <w:right w:val="none" w:sz="0" w:space="0" w:color="auto"/>
      </w:divBdr>
    </w:div>
    <w:div w:id="948704613">
      <w:bodyDiv w:val="1"/>
      <w:marLeft w:val="0"/>
      <w:marRight w:val="0"/>
      <w:marTop w:val="0"/>
      <w:marBottom w:val="0"/>
      <w:divBdr>
        <w:top w:val="none" w:sz="0" w:space="0" w:color="auto"/>
        <w:left w:val="none" w:sz="0" w:space="0" w:color="auto"/>
        <w:bottom w:val="none" w:sz="0" w:space="0" w:color="auto"/>
        <w:right w:val="none" w:sz="0" w:space="0" w:color="auto"/>
      </w:divBdr>
      <w:divsChild>
        <w:div w:id="805657654">
          <w:marLeft w:val="0"/>
          <w:marRight w:val="0"/>
          <w:marTop w:val="0"/>
          <w:marBottom w:val="0"/>
          <w:divBdr>
            <w:top w:val="none" w:sz="0" w:space="0" w:color="auto"/>
            <w:left w:val="none" w:sz="0" w:space="0" w:color="auto"/>
            <w:bottom w:val="none" w:sz="0" w:space="0" w:color="auto"/>
            <w:right w:val="none" w:sz="0" w:space="0" w:color="auto"/>
          </w:divBdr>
        </w:div>
      </w:divsChild>
    </w:div>
    <w:div w:id="962351236">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5691613">
      <w:bodyDiv w:val="1"/>
      <w:marLeft w:val="0"/>
      <w:marRight w:val="0"/>
      <w:marTop w:val="0"/>
      <w:marBottom w:val="0"/>
      <w:divBdr>
        <w:top w:val="none" w:sz="0" w:space="0" w:color="auto"/>
        <w:left w:val="none" w:sz="0" w:space="0" w:color="auto"/>
        <w:bottom w:val="none" w:sz="0" w:space="0" w:color="auto"/>
        <w:right w:val="none" w:sz="0" w:space="0" w:color="auto"/>
      </w:divBdr>
    </w:div>
    <w:div w:id="1113792733">
      <w:bodyDiv w:val="1"/>
      <w:marLeft w:val="0"/>
      <w:marRight w:val="0"/>
      <w:marTop w:val="0"/>
      <w:marBottom w:val="0"/>
      <w:divBdr>
        <w:top w:val="none" w:sz="0" w:space="0" w:color="auto"/>
        <w:left w:val="none" w:sz="0" w:space="0" w:color="auto"/>
        <w:bottom w:val="none" w:sz="0" w:space="0" w:color="auto"/>
        <w:right w:val="none" w:sz="0" w:space="0" w:color="auto"/>
      </w:divBdr>
    </w:div>
    <w:div w:id="1161778749">
      <w:bodyDiv w:val="1"/>
      <w:marLeft w:val="0"/>
      <w:marRight w:val="0"/>
      <w:marTop w:val="0"/>
      <w:marBottom w:val="0"/>
      <w:divBdr>
        <w:top w:val="none" w:sz="0" w:space="0" w:color="auto"/>
        <w:left w:val="none" w:sz="0" w:space="0" w:color="auto"/>
        <w:bottom w:val="none" w:sz="0" w:space="0" w:color="auto"/>
        <w:right w:val="none" w:sz="0" w:space="0" w:color="auto"/>
      </w:divBdr>
    </w:div>
    <w:div w:id="1246301434">
      <w:bodyDiv w:val="1"/>
      <w:marLeft w:val="0"/>
      <w:marRight w:val="0"/>
      <w:marTop w:val="0"/>
      <w:marBottom w:val="0"/>
      <w:divBdr>
        <w:top w:val="none" w:sz="0" w:space="0" w:color="auto"/>
        <w:left w:val="none" w:sz="0" w:space="0" w:color="auto"/>
        <w:bottom w:val="none" w:sz="0" w:space="0" w:color="auto"/>
        <w:right w:val="none" w:sz="0" w:space="0" w:color="auto"/>
      </w:divBdr>
    </w:div>
    <w:div w:id="147884091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3521229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64534441">
      <w:bodyDiv w:val="1"/>
      <w:marLeft w:val="0"/>
      <w:marRight w:val="0"/>
      <w:marTop w:val="0"/>
      <w:marBottom w:val="0"/>
      <w:divBdr>
        <w:top w:val="none" w:sz="0" w:space="0" w:color="auto"/>
        <w:left w:val="none" w:sz="0" w:space="0" w:color="auto"/>
        <w:bottom w:val="none" w:sz="0" w:space="0" w:color="auto"/>
        <w:right w:val="none" w:sz="0" w:space="0" w:color="auto"/>
      </w:divBdr>
    </w:div>
    <w:div w:id="20341070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6.GA/5" TargetMode="External"/><Relationship Id="rId13" Type="http://schemas.openxmlformats.org/officeDocument/2006/relationships/hyperlink" Target="https://ich.unesco.org/doc/src/LHE-20-8.GA-6+Add.-EN.docx" TargetMode="External"/><Relationship Id="rId18" Type="http://schemas.openxmlformats.org/officeDocument/2006/relationships/hyperlink" Target="https://ich.unesco.org/en/dive/" TargetMode="External"/><Relationship Id="rId26" Type="http://schemas.openxmlformats.org/officeDocument/2006/relationships/hyperlink" Target="https://ich.unesco.org/en/Decisions/15.COM/7" TargetMode="External"/><Relationship Id="rId3" Type="http://schemas.openxmlformats.org/officeDocument/2006/relationships/styles" Target="styles.xml"/><Relationship Id="rId21" Type="http://schemas.openxmlformats.org/officeDocument/2006/relationships/hyperlink" Target="https://ich.unesco.org/en/Decisions/15.COM/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ch.unesco.org/doc/src/LHE-21-16.COM-13-EN.docx" TargetMode="External"/><Relationship Id="rId17" Type="http://schemas.openxmlformats.org/officeDocument/2006/relationships/hyperlink" Target="https://ich.unesco.org/doc/src/LHE-21-16.COM-14-EN.docx" TargetMode="External"/><Relationship Id="rId25" Type="http://schemas.openxmlformats.org/officeDocument/2006/relationships/hyperlink" Target="https://ich.unesco.org/doc/src/LHE-21-16.COM-INF.13.1-EN.doc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h.unesco.org/en/decisions/12.COM/14" TargetMode="External"/><Relationship Id="rId20" Type="http://schemas.openxmlformats.org/officeDocument/2006/relationships/hyperlink" Target="https://ich.unesco.org/en/Decisions/14.COM/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5.b-EN.docx" TargetMode="External"/><Relationship Id="rId24" Type="http://schemas.openxmlformats.org/officeDocument/2006/relationships/hyperlink" Target="https://ich.unesco.org/en/Decisions/12.COM/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h.unesco.org/en/Decisions/8.GA/7" TargetMode="External"/><Relationship Id="rId23" Type="http://schemas.openxmlformats.org/officeDocument/2006/relationships/hyperlink" Target="https://ich.unesco.org/doc/src/LHE-21-16.COM-13-EN.docx" TargetMode="External"/><Relationship Id="rId28" Type="http://schemas.openxmlformats.org/officeDocument/2006/relationships/hyperlink" Target="https://ich.unesco.org/doc/src/LHE-21-16.COM-7.d-EN.docx" TargetMode="External"/><Relationship Id="rId36" Type="http://schemas.openxmlformats.org/officeDocument/2006/relationships/theme" Target="theme/theme1.xml"/><Relationship Id="rId10" Type="http://schemas.openxmlformats.org/officeDocument/2006/relationships/hyperlink" Target="https://ich.unesco.org/doc/src/LHE-20-8.GA-7_Rev.-EN.docx" TargetMode="External"/><Relationship Id="rId19" Type="http://schemas.openxmlformats.org/officeDocument/2006/relationships/hyperlink" Target="https://ich.unesco.org/dive/sd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h.unesco.org/doc/src/LHE-20-8.GA-6+Add.-EN.docx" TargetMode="External"/><Relationship Id="rId14" Type="http://schemas.openxmlformats.org/officeDocument/2006/relationships/hyperlink" Target="https://ich.unesco.org/doc/src/LHE-21-16.COM-5.b-EN.docx" TargetMode="External"/><Relationship Id="rId22" Type="http://schemas.openxmlformats.org/officeDocument/2006/relationships/hyperlink" Target="https://ich.unesco.org/en/Decisions/14.COM/7" TargetMode="External"/><Relationship Id="rId27" Type="http://schemas.openxmlformats.org/officeDocument/2006/relationships/hyperlink" Target="https://ich.unesco.org/en/16com"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53</TotalTime>
  <Pages>7</Pages>
  <Words>3201</Words>
  <Characters>17608</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Lee, Doyun</cp:lastModifiedBy>
  <cp:revision>27</cp:revision>
  <cp:lastPrinted>2021-11-15T11:37:00Z</cp:lastPrinted>
  <dcterms:created xsi:type="dcterms:W3CDTF">2021-12-17T22:04:00Z</dcterms:created>
  <dcterms:modified xsi:type="dcterms:W3CDTF">2021-12-17T23:00:00Z</dcterms:modified>
</cp:coreProperties>
</file>