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1D025" w14:textId="285BBC31"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32D15B6C" w14:textId="61521194" w:rsidR="00BC3420" w:rsidRPr="00B43974" w:rsidRDefault="00F4581D" w:rsidP="00F4581D">
      <w:pPr>
        <w:spacing w:before="840"/>
        <w:jc w:val="center"/>
        <w:rPr>
          <w:rFonts w:ascii="Arial" w:hAnsi="Arial" w:cs="Arial"/>
          <w:b/>
          <w:sz w:val="22"/>
          <w:szCs w:val="22"/>
        </w:rPr>
      </w:pPr>
      <w:r w:rsidRPr="00F4581D">
        <w:rPr>
          <w:rFonts w:ascii="Arial" w:hAnsi="Arial" w:cs="Arial"/>
          <w:b/>
          <w:sz w:val="22"/>
          <w:szCs w:val="22"/>
        </w:rPr>
        <w:t xml:space="preserve">Seizième </w:t>
      </w:r>
      <w:r w:rsidR="00BC3420" w:rsidRPr="00B43974">
        <w:rPr>
          <w:rFonts w:ascii="Arial" w:hAnsi="Arial" w:cs="Arial"/>
          <w:b/>
          <w:sz w:val="22"/>
          <w:szCs w:val="22"/>
        </w:rPr>
        <w:t>session</w:t>
      </w:r>
    </w:p>
    <w:p w14:paraId="7309CEF6" w14:textId="409E9297" w:rsidR="00F4581D" w:rsidRPr="00F4581D" w:rsidRDefault="00A22951" w:rsidP="00F4581D">
      <w:pPr>
        <w:jc w:val="center"/>
        <w:rPr>
          <w:rFonts w:ascii="Arial" w:hAnsi="Arial"/>
          <w:b/>
          <w:sz w:val="22"/>
        </w:rPr>
      </w:pPr>
      <w:r>
        <w:rPr>
          <w:rFonts w:ascii="Arial" w:hAnsi="Arial"/>
          <w:b/>
          <w:sz w:val="22"/>
        </w:rPr>
        <w:t>Siège de l’UNESCO, Paris</w:t>
      </w:r>
    </w:p>
    <w:p w14:paraId="552550E8" w14:textId="721A5453" w:rsidR="00EF74E3" w:rsidRPr="00F4581D" w:rsidRDefault="00F4581D" w:rsidP="00F4581D">
      <w:pPr>
        <w:jc w:val="center"/>
        <w:rPr>
          <w:rFonts w:ascii="Arial" w:hAnsi="Arial"/>
          <w:b/>
          <w:sz w:val="22"/>
        </w:rPr>
      </w:pPr>
      <w:r w:rsidRPr="00F4581D">
        <w:rPr>
          <w:rFonts w:ascii="Arial" w:hAnsi="Arial"/>
          <w:b/>
          <w:sz w:val="22"/>
        </w:rPr>
        <w:t>13 - 18 décembre 2021</w:t>
      </w:r>
    </w:p>
    <w:p w14:paraId="72EF57E2" w14:textId="645D02A7" w:rsidR="008F09EC" w:rsidRPr="00F7285B" w:rsidRDefault="008F09EC" w:rsidP="008F09EC">
      <w:pPr>
        <w:pStyle w:val="Sansinterligne2"/>
        <w:spacing w:before="1200"/>
        <w:jc w:val="center"/>
        <w:rPr>
          <w:rFonts w:ascii="Arial" w:hAnsi="Arial" w:cs="Arial"/>
          <w:b/>
          <w:sz w:val="22"/>
          <w:szCs w:val="22"/>
        </w:rPr>
      </w:pPr>
      <w:r w:rsidRPr="00F7285B">
        <w:rPr>
          <w:rFonts w:ascii="Arial" w:hAnsi="Arial" w:cs="Arial"/>
          <w:b/>
          <w:sz w:val="22"/>
          <w:szCs w:val="22"/>
          <w:u w:val="single"/>
        </w:rPr>
        <w:t xml:space="preserve">Point </w:t>
      </w:r>
      <w:r w:rsidR="00EC1BF7" w:rsidRPr="00212E43">
        <w:rPr>
          <w:rFonts w:ascii="Arial" w:hAnsi="Arial" w:cs="Arial"/>
          <w:b/>
          <w:sz w:val="22"/>
          <w:szCs w:val="22"/>
          <w:u w:val="single"/>
        </w:rPr>
        <w:t>14</w:t>
      </w:r>
      <w:r w:rsidRPr="00F7285B">
        <w:rPr>
          <w:rFonts w:ascii="Arial" w:hAnsi="Arial" w:cs="Arial"/>
          <w:b/>
          <w:sz w:val="22"/>
          <w:szCs w:val="22"/>
          <w:u w:val="single"/>
        </w:rPr>
        <w:t xml:space="preserve"> de l’ordre du jour provisoire</w:t>
      </w:r>
      <w:r w:rsidRPr="00F7285B">
        <w:rPr>
          <w:rFonts w:ascii="Arial" w:hAnsi="Arial" w:cs="Arial"/>
          <w:b/>
          <w:sz w:val="22"/>
          <w:szCs w:val="22"/>
        </w:rPr>
        <w:t> :</w:t>
      </w:r>
    </w:p>
    <w:p w14:paraId="1BBCDCE9" w14:textId="77777777" w:rsidR="00F7285B" w:rsidRPr="00F7285B" w:rsidRDefault="00F7285B" w:rsidP="00F7285B">
      <w:pPr>
        <w:pStyle w:val="Sansinterligne"/>
        <w:tabs>
          <w:tab w:val="left" w:pos="4410"/>
          <w:tab w:val="center" w:pos="4819"/>
        </w:tabs>
        <w:spacing w:after="1200"/>
        <w:contextualSpacing/>
        <w:jc w:val="center"/>
        <w:rPr>
          <w:rFonts w:ascii="Arial" w:hAnsi="Arial" w:cs="Arial"/>
          <w:b/>
          <w:sz w:val="22"/>
          <w:szCs w:val="22"/>
        </w:rPr>
      </w:pPr>
      <w:r w:rsidRPr="00F7285B">
        <w:rPr>
          <w:rFonts w:ascii="Arial" w:hAnsi="Arial" w:cs="Arial"/>
          <w:b/>
          <w:sz w:val="22"/>
          <w:szCs w:val="22"/>
        </w:rPr>
        <w:t xml:space="preserve">Réflexion sur les mécanismes d’inscription sur les Listes de la Convention et </w:t>
      </w:r>
    </w:p>
    <w:p w14:paraId="630B69F1" w14:textId="600E58EF" w:rsidR="008F09EC" w:rsidRPr="00B43974" w:rsidRDefault="00F7285B" w:rsidP="00212E43">
      <w:pPr>
        <w:pStyle w:val="Sansinterligne"/>
        <w:tabs>
          <w:tab w:val="left" w:pos="4410"/>
          <w:tab w:val="center" w:pos="4819"/>
        </w:tabs>
        <w:spacing w:after="1200"/>
        <w:jc w:val="center"/>
        <w:rPr>
          <w:rFonts w:ascii="Arial" w:hAnsi="Arial" w:cs="Arial"/>
          <w:b/>
          <w:sz w:val="22"/>
          <w:szCs w:val="22"/>
        </w:rPr>
      </w:pPr>
      <w:proofErr w:type="gramStart"/>
      <w:r w:rsidRPr="00F7285B">
        <w:rPr>
          <w:rFonts w:ascii="Arial" w:hAnsi="Arial" w:cs="Arial"/>
          <w:b/>
          <w:sz w:val="22"/>
          <w:szCs w:val="22"/>
        </w:rPr>
        <w:t>proposition</w:t>
      </w:r>
      <w:proofErr w:type="gramEnd"/>
      <w:r w:rsidRPr="00F7285B">
        <w:rPr>
          <w:rFonts w:ascii="Arial" w:hAnsi="Arial" w:cs="Arial"/>
          <w:b/>
          <w:sz w:val="22"/>
          <w:szCs w:val="22"/>
        </w:rPr>
        <w:t xml:space="preserve"> de révisions connexes des directives opérationnelles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B43974" w14:paraId="730CE323" w14:textId="77777777" w:rsidTr="00063F10">
        <w:trPr>
          <w:jc w:val="center"/>
        </w:trPr>
        <w:tc>
          <w:tcPr>
            <w:tcW w:w="7825" w:type="dxa"/>
            <w:vAlign w:val="center"/>
          </w:tcPr>
          <w:p w14:paraId="47EC31AB" w14:textId="77777777" w:rsidR="008F09EC" w:rsidRPr="00B43974" w:rsidRDefault="008F09EC" w:rsidP="00063F10">
            <w:pPr>
              <w:pStyle w:val="Sansinterligne1"/>
              <w:spacing w:before="200" w:after="200"/>
              <w:jc w:val="center"/>
              <w:rPr>
                <w:rFonts w:ascii="Arial" w:hAnsi="Arial" w:cs="Arial"/>
                <w:b/>
                <w:sz w:val="22"/>
                <w:szCs w:val="22"/>
              </w:rPr>
            </w:pPr>
            <w:r w:rsidRPr="00B43974">
              <w:rPr>
                <w:rFonts w:ascii="Arial" w:hAnsi="Arial" w:cs="Arial"/>
                <w:b/>
                <w:sz w:val="22"/>
                <w:szCs w:val="22"/>
              </w:rPr>
              <w:t>Résumé</w:t>
            </w:r>
          </w:p>
          <w:p w14:paraId="093F7320" w14:textId="77777777" w:rsidR="00212E43" w:rsidRDefault="00212E43" w:rsidP="00063F10">
            <w:pPr>
              <w:pStyle w:val="Sansinterligne2"/>
              <w:spacing w:before="200" w:after="200"/>
              <w:ind w:right="284"/>
              <w:jc w:val="both"/>
              <w:rPr>
                <w:rFonts w:ascii="Arial" w:hAnsi="Arial" w:cs="Arial"/>
                <w:sz w:val="22"/>
                <w:szCs w:val="22"/>
              </w:rPr>
            </w:pPr>
            <w:r w:rsidRPr="00212E43">
              <w:rPr>
                <w:rFonts w:ascii="Arial" w:hAnsi="Arial" w:cs="Arial"/>
                <w:sz w:val="22"/>
                <w:szCs w:val="22"/>
              </w:rPr>
              <w:t>Ce document présente les recommandations formulées par le groupe de travail intergouvernemental à composition non limitée dans le cadre de la réflexion globale sur les mécanismes d’inscription sur les listes de la Convention de 2003. Ces recommandations se présentent sous la forme de projets d'amendements aux Directives opérationnelles dont le Comité, à l'occasion de la présente session, peut recommander l'approbation par l'Assemblée générale à sa neuvième session.</w:t>
            </w:r>
          </w:p>
          <w:p w14:paraId="17E62457" w14:textId="2552145C" w:rsidR="008F09EC" w:rsidRPr="00B43974" w:rsidRDefault="008F09EC" w:rsidP="00063F10">
            <w:pPr>
              <w:pStyle w:val="Sansinterligne2"/>
              <w:spacing w:before="200" w:after="200"/>
              <w:ind w:right="284"/>
              <w:jc w:val="both"/>
              <w:rPr>
                <w:rFonts w:ascii="Arial" w:hAnsi="Arial" w:cs="Arial"/>
                <w:b/>
                <w:sz w:val="22"/>
                <w:szCs w:val="22"/>
              </w:rPr>
            </w:pPr>
            <w:r w:rsidRPr="00B43974">
              <w:rPr>
                <w:rFonts w:ascii="Arial" w:hAnsi="Arial" w:cs="Arial"/>
                <w:b/>
                <w:sz w:val="22"/>
                <w:szCs w:val="22"/>
              </w:rPr>
              <w:t xml:space="preserve">Décision requise : </w:t>
            </w:r>
            <w:r w:rsidRPr="00B43974">
              <w:rPr>
                <w:rFonts w:ascii="Arial" w:hAnsi="Arial" w:cs="Arial"/>
                <w:bCs/>
                <w:sz w:val="22"/>
                <w:szCs w:val="22"/>
              </w:rPr>
              <w:t xml:space="preserve">paragraphe </w:t>
            </w:r>
            <w:r w:rsidR="00F7285B">
              <w:rPr>
                <w:rFonts w:ascii="Arial" w:hAnsi="Arial" w:cs="Arial"/>
                <w:bCs/>
                <w:sz w:val="22"/>
                <w:szCs w:val="22"/>
              </w:rPr>
              <w:t>1</w:t>
            </w:r>
            <w:r w:rsidR="00212E43">
              <w:rPr>
                <w:rFonts w:ascii="Arial" w:hAnsi="Arial" w:cs="Arial"/>
                <w:bCs/>
                <w:sz w:val="22"/>
                <w:szCs w:val="22"/>
              </w:rPr>
              <w:t>4</w:t>
            </w:r>
          </w:p>
        </w:tc>
      </w:tr>
    </w:tbl>
    <w:p w14:paraId="3B029F60" w14:textId="116FDB02" w:rsidR="002803B8" w:rsidRDefault="00BC3420" w:rsidP="00212E43">
      <w:pPr>
        <w:pStyle w:val="COMTitleDecision"/>
        <w:spacing w:before="360" w:after="240"/>
        <w:ind w:left="0"/>
      </w:pPr>
      <w:r w:rsidRPr="00022428">
        <w:br w:type="page"/>
      </w:r>
    </w:p>
    <w:p w14:paraId="6D00713B" w14:textId="77777777" w:rsidR="00212E43" w:rsidRPr="00986249" w:rsidRDefault="00212E43" w:rsidP="00212E43">
      <w:pPr>
        <w:pStyle w:val="COMPara"/>
        <w:spacing w:before="240"/>
        <w:ind w:firstLine="0"/>
        <w:jc w:val="both"/>
        <w:rPr>
          <w:b/>
          <w:bCs/>
        </w:rPr>
      </w:pPr>
      <w:r>
        <w:rPr>
          <w:b/>
        </w:rPr>
        <w:lastRenderedPageBreak/>
        <w:t>Contexte</w:t>
      </w:r>
    </w:p>
    <w:p w14:paraId="4504DE7E" w14:textId="5DABD60A" w:rsidR="00212E43" w:rsidRDefault="00212E43" w:rsidP="00212E43">
      <w:pPr>
        <w:pStyle w:val="COMPara"/>
        <w:numPr>
          <w:ilvl w:val="0"/>
          <w:numId w:val="9"/>
        </w:numPr>
        <w:jc w:val="both"/>
      </w:pPr>
      <w:r>
        <w:t xml:space="preserve">En 2018, le Comité a lancé une réflexion </w:t>
      </w:r>
      <w:r w:rsidR="00063F10">
        <w:t>globale</w:t>
      </w:r>
      <w:r>
        <w:t>, avec le soutien financier du Japon, sur les mécanismes d’inscription sur les listes de la Convention de 2003</w:t>
      </w:r>
      <w:r>
        <w:rPr>
          <w:rStyle w:val="Appelnotedebasdep"/>
        </w:rPr>
        <w:footnoteReference w:id="1"/>
      </w:r>
      <w:r>
        <w:t xml:space="preserve"> afin d'aborder divers problèmes identifiés en l'espace d'une décennie de mise en œuvre, concernant la Liste représentative</w:t>
      </w:r>
      <w:r w:rsidR="00063F10">
        <w:t xml:space="preserve"> du patrimoine culturel immatériel de l’humanité</w:t>
      </w:r>
      <w:r w:rsidR="005E4061">
        <w:t xml:space="preserve"> (ci-après « la Liste représentative »)</w:t>
      </w:r>
      <w:r>
        <w:t xml:space="preserve">, la Liste </w:t>
      </w:r>
      <w:r w:rsidR="00063F10">
        <w:t xml:space="preserve">du patrimoine culturel immatériel nécessitant une </w:t>
      </w:r>
      <w:r>
        <w:t xml:space="preserve"> sauvegarde urgente</w:t>
      </w:r>
      <w:r w:rsidR="005E4061">
        <w:t xml:space="preserve"> (ci-après « la Liste de sauvegarde urgente »)</w:t>
      </w:r>
      <w:r>
        <w:t xml:space="preserve"> et le Registre des bonnes pratiques de </w:t>
      </w:r>
      <w:r w:rsidRPr="00B75BB7">
        <w:t xml:space="preserve">sauvegarde </w:t>
      </w:r>
      <w:r w:rsidR="005E4061">
        <w:t xml:space="preserve">(ci-après « le Registre ») </w:t>
      </w:r>
      <w:r w:rsidRPr="00B75BB7">
        <w:t>(</w:t>
      </w:r>
      <w:r w:rsidR="00B75BB7">
        <w:t>décision </w:t>
      </w:r>
      <w:hyperlink r:id="rId8" w:history="1">
        <w:r w:rsidR="00B75BB7">
          <w:rPr>
            <w:rStyle w:val="Lienhypertexte"/>
          </w:rPr>
          <w:t>13.COM 6</w:t>
        </w:r>
      </w:hyperlink>
      <w:r w:rsidRPr="00B75BB7">
        <w:t xml:space="preserve"> et </w:t>
      </w:r>
      <w:r w:rsidR="00B75BB7">
        <w:t>décision</w:t>
      </w:r>
      <w:r w:rsidR="005E4061">
        <w:t> </w:t>
      </w:r>
      <w:hyperlink r:id="rId9" w:history="1">
        <w:r w:rsidR="00B75BB7">
          <w:rPr>
            <w:rStyle w:val="Lienhypertexte"/>
          </w:rPr>
          <w:t>13.COM</w:t>
        </w:r>
        <w:r w:rsidR="005E4061">
          <w:rPr>
            <w:rStyle w:val="Lienhypertexte"/>
          </w:rPr>
          <w:t> </w:t>
        </w:r>
        <w:r w:rsidR="00B75BB7">
          <w:rPr>
            <w:rStyle w:val="Lienhypertexte"/>
          </w:rPr>
          <w:t>10</w:t>
        </w:r>
      </w:hyperlink>
      <w:r w:rsidRPr="00B75BB7">
        <w:t>).</w:t>
      </w:r>
    </w:p>
    <w:p w14:paraId="66D85D90" w14:textId="22D8C539" w:rsidR="00212E43" w:rsidRDefault="00212E43" w:rsidP="00212E43">
      <w:pPr>
        <w:pStyle w:val="COMPara"/>
        <w:numPr>
          <w:ilvl w:val="0"/>
          <w:numId w:val="9"/>
        </w:numPr>
        <w:jc w:val="both"/>
      </w:pPr>
      <w:r>
        <w:t>Les problèmes et les difficultés rencontrés ont été présentés en détail au Comité à l'occasion de sa quatorzième session en 2019 (</w:t>
      </w:r>
      <w:hyperlink r:id="rId10" w:history="1">
        <w:r w:rsidR="005E4061" w:rsidRPr="005E4061">
          <w:t xml:space="preserve"> </w:t>
        </w:r>
        <w:proofErr w:type="gramStart"/>
        <w:r w:rsidR="005E4061" w:rsidRPr="005E4061">
          <w:rPr>
            <w:rStyle w:val="Lienhypertexte"/>
          </w:rPr>
          <w:t>document </w:t>
        </w:r>
        <w:r w:rsidR="005E4061">
          <w:rPr>
            <w:rStyle w:val="Lienhypertexte"/>
          </w:rPr>
          <w:t xml:space="preserve"> LHE/19/14.COM</w:t>
        </w:r>
        <w:proofErr w:type="gramEnd"/>
        <w:r w:rsidR="005E4061">
          <w:rPr>
            <w:rStyle w:val="Lienhypertexte"/>
          </w:rPr>
          <w:t>/14</w:t>
        </w:r>
      </w:hyperlink>
      <w:r w:rsidRPr="00B75BB7">
        <w:rPr>
          <w:rStyle w:val="Lienhypertexte"/>
        </w:rPr>
        <w:t xml:space="preserve"> ; </w:t>
      </w:r>
      <w:r w:rsidR="00B75BB7">
        <w:rPr>
          <w:rStyle w:val="Lienhypertexte"/>
          <w:color w:val="auto"/>
          <w:u w:val="none"/>
        </w:rPr>
        <w:t>d</w:t>
      </w:r>
      <w:r w:rsidR="00B75BB7" w:rsidRPr="00B75BB7">
        <w:rPr>
          <w:rStyle w:val="Lienhypertexte"/>
          <w:color w:val="auto"/>
          <w:u w:val="none"/>
        </w:rPr>
        <w:t>écision </w:t>
      </w:r>
      <w:hyperlink r:id="rId11" w:history="1">
        <w:r w:rsidR="00B75BB7">
          <w:rPr>
            <w:rStyle w:val="Lienhypertexte"/>
          </w:rPr>
          <w:t>14.COM 14</w:t>
        </w:r>
      </w:hyperlink>
      <w:r w:rsidRPr="00B75BB7">
        <w:t>).</w:t>
      </w:r>
      <w:r>
        <w:t xml:space="preserve"> Les principaux points de réflexion suivants ont été clarifiés : (</w:t>
      </w:r>
      <w:r w:rsidR="005E4061">
        <w:t>a</w:t>
      </w:r>
      <w:r>
        <w:t>) approche globale des mécanismes d’inscription ; (</w:t>
      </w:r>
      <w:r w:rsidR="005E4061">
        <w:t>b</w:t>
      </w:r>
      <w:r>
        <w:t>) questions liées aux critères d’inscription ; (</w:t>
      </w:r>
      <w:r w:rsidR="005E4061">
        <w:t>c</w:t>
      </w:r>
      <w:r>
        <w:t>) questions liées au suivi des éléments inscrits et (</w:t>
      </w:r>
      <w:r w:rsidR="005E4061">
        <w:t>d</w:t>
      </w:r>
      <w:r>
        <w:t>) méthodologie pour l’évaluation des candidatures. La discussion s'est poursuivie à la huitième session de l'Assemblée générale, en septembre 2020</w:t>
      </w:r>
      <w:bookmarkStart w:id="0" w:name="_Ref87969849"/>
      <w:r>
        <w:rPr>
          <w:rStyle w:val="Appelnotedebasdep"/>
        </w:rPr>
        <w:footnoteReference w:id="2"/>
      </w:r>
      <w:bookmarkEnd w:id="0"/>
      <w:r>
        <w:t>.</w:t>
      </w:r>
    </w:p>
    <w:p w14:paraId="158A5CB2" w14:textId="4D8765F5" w:rsidR="00212E43" w:rsidRDefault="00212E43" w:rsidP="00212E43">
      <w:pPr>
        <w:pStyle w:val="COMPara"/>
        <w:numPr>
          <w:ilvl w:val="0"/>
          <w:numId w:val="9"/>
        </w:numPr>
        <w:jc w:val="both"/>
      </w:pPr>
      <w:r>
        <w:t>En outre, lors de différentes sessions, le Comité et l’Assemblée générale ont demandé que certaines questions spécifiques soient abordées lors de la réflexion globale. Il s’agissait de demandes d’examens concernant des sujets tels que la révision du critère R.2 (</w:t>
      </w:r>
      <w:r w:rsidR="00B75BB7" w:rsidRPr="00B75BB7">
        <w:t>décision</w:t>
      </w:r>
      <w:hyperlink r:id="rId12" w:history="1">
        <w:r w:rsidR="00B75BB7">
          <w:rPr>
            <w:rStyle w:val="Lienhypertexte"/>
          </w:rPr>
          <w:t xml:space="preserve"> 13.COM</w:t>
        </w:r>
        <w:r w:rsidR="005E4061">
          <w:rPr>
            <w:rStyle w:val="Lienhypertexte"/>
          </w:rPr>
          <w:t> </w:t>
        </w:r>
        <w:r w:rsidR="00B75BB7">
          <w:rPr>
            <w:rStyle w:val="Lienhypertexte"/>
          </w:rPr>
          <w:t>10</w:t>
        </w:r>
      </w:hyperlink>
      <w:r>
        <w:t>,</w:t>
      </w:r>
      <w:r w:rsidR="00B75BB7" w:rsidRPr="00B75BB7">
        <w:t xml:space="preserve"> décision</w:t>
      </w:r>
      <w:r>
        <w:t xml:space="preserve"> </w:t>
      </w:r>
      <w:hyperlink r:id="rId13" w:history="1">
        <w:r w:rsidR="00B75BB7">
          <w:rPr>
            <w:rStyle w:val="Lienhypertexte"/>
          </w:rPr>
          <w:t>14.COM</w:t>
        </w:r>
        <w:r w:rsidR="005E4061">
          <w:rPr>
            <w:rStyle w:val="Lienhypertexte"/>
          </w:rPr>
          <w:t> </w:t>
        </w:r>
        <w:r w:rsidR="00B75BB7">
          <w:rPr>
            <w:rStyle w:val="Lienhypertexte"/>
          </w:rPr>
          <w:t>10</w:t>
        </w:r>
      </w:hyperlink>
      <w:r>
        <w:t xml:space="preserve"> et </w:t>
      </w:r>
      <w:r w:rsidR="00B75BB7" w:rsidRPr="00B75BB7">
        <w:t xml:space="preserve">décision </w:t>
      </w:r>
      <w:hyperlink r:id="rId14" w:history="1">
        <w:r w:rsidR="00B75BB7">
          <w:rPr>
            <w:rStyle w:val="Lienhypertexte"/>
          </w:rPr>
          <w:t>14.COM</w:t>
        </w:r>
        <w:r w:rsidR="005E4061">
          <w:rPr>
            <w:rStyle w:val="Lienhypertexte"/>
          </w:rPr>
          <w:t> </w:t>
        </w:r>
        <w:r w:rsidR="00B75BB7">
          <w:rPr>
            <w:rStyle w:val="Lienhypertexte"/>
          </w:rPr>
          <w:t>14</w:t>
        </w:r>
      </w:hyperlink>
      <w:r>
        <w:t>), le processus de retrait et de transfert des éléments (</w:t>
      </w:r>
      <w:r w:rsidR="00B75BB7" w:rsidRPr="00B75BB7">
        <w:t xml:space="preserve">décision </w:t>
      </w:r>
      <w:hyperlink r:id="rId15" w:history="1">
        <w:r w:rsidR="00B75BB7">
          <w:rPr>
            <w:rStyle w:val="Lienhypertexte"/>
          </w:rPr>
          <w:t>10.COM</w:t>
        </w:r>
        <w:r w:rsidR="005E4061">
          <w:rPr>
            <w:rStyle w:val="Lienhypertexte"/>
          </w:rPr>
          <w:t> </w:t>
        </w:r>
        <w:r w:rsidR="00B75BB7">
          <w:rPr>
            <w:rStyle w:val="Lienhypertexte"/>
          </w:rPr>
          <w:t>19</w:t>
        </w:r>
      </w:hyperlink>
      <w:r>
        <w:t xml:space="preserve">, </w:t>
      </w:r>
      <w:r w:rsidR="00B75BB7" w:rsidRPr="00B75BB7">
        <w:t xml:space="preserve">décision </w:t>
      </w:r>
      <w:hyperlink r:id="rId16" w:history="1">
        <w:r w:rsidR="00B75BB7">
          <w:rPr>
            <w:rStyle w:val="Lienhypertexte"/>
          </w:rPr>
          <w:t>12.COM</w:t>
        </w:r>
        <w:r w:rsidR="005E4061">
          <w:rPr>
            <w:rStyle w:val="Lienhypertexte"/>
          </w:rPr>
          <w:t> </w:t>
        </w:r>
        <w:r w:rsidR="00B75BB7">
          <w:rPr>
            <w:rStyle w:val="Lienhypertexte"/>
          </w:rPr>
          <w:t>14</w:t>
        </w:r>
      </w:hyperlink>
      <w:r>
        <w:t xml:space="preserve">, </w:t>
      </w:r>
      <w:r w:rsidR="00B75BB7" w:rsidRPr="00B75BB7">
        <w:t xml:space="preserve">décision </w:t>
      </w:r>
      <w:hyperlink r:id="rId17" w:history="1">
        <w:r w:rsidR="00B75BB7">
          <w:rPr>
            <w:rStyle w:val="Lienhypertexte"/>
          </w:rPr>
          <w:t>14.COM</w:t>
        </w:r>
        <w:r w:rsidR="005E4061">
          <w:rPr>
            <w:rStyle w:val="Lienhypertexte"/>
          </w:rPr>
          <w:t> </w:t>
        </w:r>
        <w:r w:rsidR="00B75BB7">
          <w:rPr>
            <w:rStyle w:val="Lienhypertexte"/>
          </w:rPr>
          <w:t>14</w:t>
        </w:r>
      </w:hyperlink>
      <w:r>
        <w:t xml:space="preserve"> et </w:t>
      </w:r>
      <w:r w:rsidR="00B75BB7" w:rsidRPr="00B75BB7">
        <w:t xml:space="preserve">résolution </w:t>
      </w:r>
      <w:hyperlink r:id="rId18" w:history="1">
        <w:r w:rsidR="00B75BB7">
          <w:rPr>
            <w:rStyle w:val="Lienhypertexte"/>
          </w:rPr>
          <w:t>8.GA</w:t>
        </w:r>
        <w:r w:rsidR="005E4061">
          <w:rPr>
            <w:rStyle w:val="Lienhypertexte"/>
          </w:rPr>
          <w:t> </w:t>
        </w:r>
        <w:r w:rsidR="00B75BB7">
          <w:rPr>
            <w:rStyle w:val="Lienhypertexte"/>
          </w:rPr>
          <w:t>11</w:t>
        </w:r>
      </w:hyperlink>
      <w:r>
        <w:t>), le suivi des éléments inscrits (</w:t>
      </w:r>
      <w:r w:rsidR="00B75BB7" w:rsidRPr="00B75BB7">
        <w:t xml:space="preserve">décision </w:t>
      </w:r>
      <w:hyperlink r:id="rId19" w:history="1">
        <w:r w:rsidR="00B75BB7">
          <w:rPr>
            <w:rStyle w:val="Lienhypertexte"/>
          </w:rPr>
          <w:t>13.COM</w:t>
        </w:r>
        <w:r w:rsidR="005E4061">
          <w:rPr>
            <w:rStyle w:val="Lienhypertexte"/>
          </w:rPr>
          <w:t> </w:t>
        </w:r>
        <w:r w:rsidR="00B75BB7">
          <w:rPr>
            <w:rStyle w:val="Lienhypertexte"/>
          </w:rPr>
          <w:t>9</w:t>
        </w:r>
      </w:hyperlink>
      <w:r>
        <w:t xml:space="preserve"> et </w:t>
      </w:r>
      <w:r w:rsidR="00B75BB7" w:rsidRPr="00B75BB7">
        <w:t xml:space="preserve">décision </w:t>
      </w:r>
      <w:hyperlink r:id="rId20" w:history="1">
        <w:r w:rsidR="00B75BB7">
          <w:rPr>
            <w:rStyle w:val="Lienhypertexte"/>
          </w:rPr>
          <w:t>15.COM</w:t>
        </w:r>
        <w:r w:rsidR="005E4061">
          <w:rPr>
            <w:rStyle w:val="Lienhypertexte"/>
          </w:rPr>
          <w:t> </w:t>
        </w:r>
        <w:r w:rsidR="00B75BB7">
          <w:rPr>
            <w:rStyle w:val="Lienhypertexte"/>
          </w:rPr>
          <w:t>7</w:t>
        </w:r>
      </w:hyperlink>
      <w:r>
        <w:t>). Ces demandes d’examen ont été ultérieurement suivies par celles concernant le traitement des questions liées aux plafonds annuels des candidatures (</w:t>
      </w:r>
      <w:r w:rsidR="00B75BB7" w:rsidRPr="00B75BB7">
        <w:t xml:space="preserve">résolution </w:t>
      </w:r>
      <w:hyperlink r:id="rId21" w:history="1">
        <w:r w:rsidR="00B75BB7">
          <w:rPr>
            <w:rStyle w:val="Lienhypertexte"/>
          </w:rPr>
          <w:t>8.GA</w:t>
        </w:r>
        <w:r w:rsidR="005E4061">
          <w:rPr>
            <w:rStyle w:val="Lienhypertexte"/>
          </w:rPr>
          <w:t> </w:t>
        </w:r>
        <w:r w:rsidR="00B75BB7">
          <w:rPr>
            <w:rStyle w:val="Lienhypertexte"/>
          </w:rPr>
          <w:t>11</w:t>
        </w:r>
      </w:hyperlink>
      <w:r>
        <w:t>), à la préparation des candidatures multinationales (</w:t>
      </w:r>
      <w:r w:rsidR="00B75BB7" w:rsidRPr="00B75BB7">
        <w:t xml:space="preserve">décision </w:t>
      </w:r>
      <w:hyperlink r:id="rId22" w:history="1">
        <w:r w:rsidR="00B75BB7">
          <w:rPr>
            <w:rStyle w:val="Lienhypertexte"/>
          </w:rPr>
          <w:t>15.COM</w:t>
        </w:r>
        <w:r w:rsidR="005E4061">
          <w:rPr>
            <w:rStyle w:val="Lienhypertexte"/>
          </w:rPr>
          <w:t> </w:t>
        </w:r>
        <w:r w:rsidR="00B75BB7">
          <w:rPr>
            <w:rStyle w:val="Lienhypertexte"/>
          </w:rPr>
          <w:t>8</w:t>
        </w:r>
      </w:hyperlink>
      <w:r>
        <w:t>) ainsi qu’au processus de leur extension (</w:t>
      </w:r>
      <w:r w:rsidR="00B75BB7" w:rsidRPr="00B75BB7">
        <w:t xml:space="preserve">décision </w:t>
      </w:r>
      <w:hyperlink r:id="rId23" w:history="1">
        <w:r w:rsidR="00B75BB7">
          <w:rPr>
            <w:rStyle w:val="Lienhypertexte"/>
          </w:rPr>
          <w:t>14.COM</w:t>
        </w:r>
        <w:r w:rsidR="005E4061">
          <w:rPr>
            <w:rStyle w:val="Lienhypertexte"/>
          </w:rPr>
          <w:t> </w:t>
        </w:r>
        <w:r w:rsidR="00B75BB7">
          <w:rPr>
            <w:rStyle w:val="Lienhypertexte"/>
          </w:rPr>
          <w:t>14</w:t>
        </w:r>
      </w:hyperlink>
      <w:r>
        <w:t>), et à la manière dont la sauvegarde du patrimoine vivant contribue au développement durable par le biais des mécanismes d’inscription (</w:t>
      </w:r>
      <w:r w:rsidR="00B75BB7" w:rsidRPr="00B75BB7">
        <w:t xml:space="preserve">décision </w:t>
      </w:r>
      <w:hyperlink r:id="rId24" w:history="1">
        <w:r w:rsidR="00B75BB7">
          <w:rPr>
            <w:rStyle w:val="Lienhypertexte"/>
          </w:rPr>
          <w:t>15.COM</w:t>
        </w:r>
        <w:r w:rsidR="005E4061">
          <w:rPr>
            <w:rStyle w:val="Lienhypertexte"/>
          </w:rPr>
          <w:t> </w:t>
        </w:r>
        <w:r w:rsidR="00B75BB7">
          <w:rPr>
            <w:rStyle w:val="Lienhypertexte"/>
          </w:rPr>
          <w:t>8</w:t>
        </w:r>
      </w:hyperlink>
      <w:r>
        <w:t>).</w:t>
      </w:r>
    </w:p>
    <w:p w14:paraId="7812C40B" w14:textId="77777777" w:rsidR="00212E43" w:rsidRPr="0062229B" w:rsidRDefault="00212E43" w:rsidP="00212E43">
      <w:pPr>
        <w:pStyle w:val="COMPara"/>
        <w:spacing w:before="240"/>
        <w:ind w:firstLine="0"/>
        <w:jc w:val="both"/>
        <w:rPr>
          <w:b/>
          <w:bCs/>
        </w:rPr>
      </w:pPr>
      <w:r>
        <w:rPr>
          <w:b/>
        </w:rPr>
        <w:t>Consultations d'experts</w:t>
      </w:r>
    </w:p>
    <w:p w14:paraId="02F7E0B9" w14:textId="0524331A" w:rsidR="00212E43" w:rsidRPr="005E0731" w:rsidRDefault="00212E43" w:rsidP="00212E43">
      <w:pPr>
        <w:pStyle w:val="COMPara"/>
        <w:numPr>
          <w:ilvl w:val="0"/>
          <w:numId w:val="9"/>
        </w:numPr>
        <w:jc w:val="both"/>
      </w:pPr>
      <w:r>
        <w:t xml:space="preserve">En 2021, la réflexion, qui s'est poursuivie à un rythme </w:t>
      </w:r>
      <w:r w:rsidRPr="005E0731">
        <w:t xml:space="preserve">croissant, s'est surtout attachée à concevoir le processus de la façon la plus inclusive possible. </w:t>
      </w:r>
      <w:r w:rsidR="00F8359B" w:rsidRPr="005E0731">
        <w:t>Le calendrier de la réflexion ainsi que les modalités de réunion ont dû être ajustées à la pandémie de COVID-19. Une consultation d’experts en deux étapes a pu avoir lieu :</w:t>
      </w:r>
    </w:p>
    <w:p w14:paraId="7A74BD18" w14:textId="36372174" w:rsidR="00212E43" w:rsidRPr="00323D95" w:rsidRDefault="00212E43" w:rsidP="00212E43">
      <w:pPr>
        <w:pStyle w:val="COMPara"/>
        <w:ind w:firstLine="0"/>
        <w:jc w:val="both"/>
      </w:pPr>
      <w:r w:rsidRPr="005E0731">
        <w:t xml:space="preserve">a. </w:t>
      </w:r>
      <w:r w:rsidRPr="005E0731">
        <w:rPr>
          <w:u w:val="single"/>
        </w:rPr>
        <w:t>Enquête en ligne</w:t>
      </w:r>
      <w:r w:rsidRPr="005E0731">
        <w:t> : à titre de première étape de la consultation d'experts, le Secrétariat a invité 201 experts à participer à l'enquête</w:t>
      </w:r>
      <w:r w:rsidRPr="005E0731">
        <w:rPr>
          <w:rStyle w:val="Appelnotedebasdep"/>
        </w:rPr>
        <w:footnoteReference w:id="3"/>
      </w:r>
      <w:r w:rsidRPr="005E0731">
        <w:t xml:space="preserve"> entre le 26 mars et le 11</w:t>
      </w:r>
      <w:r>
        <w:t> avril 2021 afin de recueillir leur point de vue sur les principales difficultés identifiées jusqu'ici concernant les mécanismes d'inscription et les approches possibles pour trouver des solutions. Parmi les experts ayant pris part à la consultation, figuraient les experts proposés par les États parties en réponse à un appel, des membres actuels et anciens de l'Organe d'évaluation (157 au total, y compris d'anciens membres de l’Organe subsidiaire et de l’Organe consultatif), et des experts identifiés par le Secrétariat, notamment des représentants du Forum des ONG.</w:t>
      </w:r>
    </w:p>
    <w:p w14:paraId="6B874225" w14:textId="33FA9384" w:rsidR="00212E43" w:rsidRDefault="00212E43" w:rsidP="00212E43">
      <w:pPr>
        <w:pStyle w:val="COMPara"/>
        <w:ind w:firstLine="0"/>
        <w:jc w:val="both"/>
      </w:pPr>
      <w:r>
        <w:t xml:space="preserve">b. </w:t>
      </w:r>
      <w:r>
        <w:rPr>
          <w:u w:val="single"/>
        </w:rPr>
        <w:t>Réunion d'experts de catégorie VI</w:t>
      </w:r>
      <w:r>
        <w:t> : à titre de deuxième étape du processus de consultation d'experts, une réunion d'experts de catégorie VI a été organisée en ligne pendant six jours non consécutifs, en mai 2021</w:t>
      </w:r>
      <w:r>
        <w:rPr>
          <w:rStyle w:val="Appelnotedebasdep"/>
        </w:rPr>
        <w:footnoteReference w:id="4"/>
      </w:r>
      <w:r>
        <w:t>. Trente-quatre experts</w:t>
      </w:r>
      <w:r>
        <w:rPr>
          <w:color w:val="000000"/>
          <w:shd w:val="clear" w:color="auto" w:fill="FFFFFF"/>
        </w:rPr>
        <w:t xml:space="preserve"> ont été invités à </w:t>
      </w:r>
      <w:r>
        <w:rPr>
          <w:color w:val="000000"/>
          <w:shd w:val="clear" w:color="auto" w:fill="FFFFFF"/>
        </w:rPr>
        <w:lastRenderedPageBreak/>
        <w:t>travailler en séance plénière et en trois groupes</w:t>
      </w:r>
      <w:r w:rsidR="00F8359B">
        <w:rPr>
          <w:color w:val="000000"/>
          <w:shd w:val="clear" w:color="auto" w:fill="FFFFFF"/>
        </w:rPr>
        <w:t xml:space="preserve"> de travail</w:t>
      </w:r>
      <w:r>
        <w:rPr>
          <w:color w:val="000000"/>
          <w:shd w:val="clear" w:color="auto" w:fill="FFFFFF"/>
        </w:rPr>
        <w:t>, en tenant compte des résultats de l'enquête susmentionnée et deux documents ont été commandés en soutien à la réunion.</w:t>
      </w:r>
      <w:r>
        <w:t xml:space="preserve"> Le rapport final (</w:t>
      </w:r>
      <w:hyperlink r:id="rId25" w:history="1">
        <w:r>
          <w:rPr>
            <w:rStyle w:val="Lienhypertexte"/>
          </w:rPr>
          <w:t>LHE/21/16.COM/EXP/7</w:t>
        </w:r>
      </w:hyperlink>
      <w:r>
        <w:t>), et en particulier les rapports des différents groupes qu'il contient, reflètent un ensemble de suggestions ou d'options examinées par les experts. Il ne s'agit pas là de solutions définitives, la consultation d'experts ne visant pas à obtenir un consensus général sur chaque point de la réflexion. Leurs positions, néanmoins, peuvent être résumées en quatre approches, la grande majorité des experts semblant être en faveur, de manière égale, avec l'une ou l'autre des solutions suivantes : (a) approche d'ajustement ou (b) de repositionnement ; (c) l'approche de contrôle plus strict et (d) l'approche d'inclusivité maximale</w:t>
      </w:r>
      <w:r w:rsidR="00F8359B">
        <w:t>.</w:t>
      </w:r>
    </w:p>
    <w:p w14:paraId="3F018319" w14:textId="77777777" w:rsidR="00212E43" w:rsidRPr="00D73CC8" w:rsidRDefault="00212E43" w:rsidP="00212E43">
      <w:pPr>
        <w:pStyle w:val="COMPara"/>
        <w:spacing w:before="240"/>
        <w:ind w:firstLine="0"/>
        <w:jc w:val="both"/>
        <w:rPr>
          <w:b/>
          <w:bCs/>
        </w:rPr>
      </w:pPr>
      <w:r>
        <w:rPr>
          <w:b/>
        </w:rPr>
        <w:t>Groupe de travail intergouvernemental à composition non limitée :</w:t>
      </w:r>
    </w:p>
    <w:p w14:paraId="380F2116" w14:textId="65A27344" w:rsidR="00212E43" w:rsidRDefault="00212E43">
      <w:pPr>
        <w:pStyle w:val="COMPara"/>
        <w:numPr>
          <w:ilvl w:val="0"/>
          <w:numId w:val="9"/>
        </w:numPr>
        <w:spacing w:after="240"/>
        <w:ind w:left="714" w:hanging="357"/>
        <w:jc w:val="both"/>
      </w:pPr>
      <w:r>
        <w:t>Conformément aux conseils obtenus lors des consultations d'experts, le groupe de travail intergouvernemental à composition non limitée</w:t>
      </w:r>
      <w:r w:rsidR="00F8359B">
        <w:t xml:space="preserve"> (ci-après « groupe de travail »)</w:t>
      </w:r>
      <w:r>
        <w:t xml:space="preserve"> s'est réuni en ligne en deux temps (Partie I : 8 et 9 juillet</w:t>
      </w:r>
      <w:r w:rsidR="00F8359B">
        <w:t xml:space="preserve"> 2021</w:t>
      </w:r>
      <w:r>
        <w:t>, et Partie II : du 9 au 10 septembre 2021)</w:t>
      </w:r>
      <w:r w:rsidR="00F8359B">
        <w:t xml:space="preserve"> en réponse à la pandémie de COVID-19.</w:t>
      </w:r>
      <w:r>
        <w:t xml:space="preserve"> Le Bureau de la session se composait de </w:t>
      </w:r>
      <w:bookmarkStart w:id="1" w:name="_Hlk80863761"/>
      <w:r>
        <w:t xml:space="preserve">S.E. M. </w:t>
      </w:r>
      <w:proofErr w:type="spellStart"/>
      <w:r>
        <w:t>Atsuyuki</w:t>
      </w:r>
      <w:proofErr w:type="spellEnd"/>
      <w:r>
        <w:t> </w:t>
      </w:r>
      <w:proofErr w:type="spellStart"/>
      <w:r>
        <w:t>Oike</w:t>
      </w:r>
      <w:proofErr w:type="spellEnd"/>
      <w:r>
        <w:t xml:space="preserve"> </w:t>
      </w:r>
      <w:bookmarkEnd w:id="1"/>
      <w:r>
        <w:t xml:space="preserve">(Japon), Président, ainsi que de cinq Vice-présidents, qui ont également joué le rôle de Rapporteurs : Allemagne, Pologne, Pérou, Côte d’Ivoire et Koweït. </w:t>
      </w:r>
    </w:p>
    <w:p w14:paraId="37751C03" w14:textId="7D51D073" w:rsidR="00212E43" w:rsidRPr="00041A66" w:rsidRDefault="00212E43" w:rsidP="00212E43">
      <w:pPr>
        <w:pStyle w:val="COMPara"/>
        <w:numPr>
          <w:ilvl w:val="0"/>
          <w:numId w:val="9"/>
        </w:numPr>
        <w:spacing w:after="240"/>
        <w:ind w:left="714" w:hanging="357"/>
        <w:jc w:val="both"/>
      </w:pPr>
      <w:r>
        <w:t xml:space="preserve">Les documents de travail présentés au groupe de travail sont résumés dans le tableau ci-dessous. Par ailleurs, les délibérations de la réunion sont conservées dans les comptes-rendus </w:t>
      </w:r>
      <w:r w:rsidRPr="00227100">
        <w:t>analytiques (</w:t>
      </w:r>
      <w:hyperlink r:id="rId26" w:history="1">
        <w:r w:rsidRPr="005E0731">
          <w:rPr>
            <w:rStyle w:val="Lienhypertexte"/>
          </w:rPr>
          <w:t>LHE/21/16.COM/INF.14.1</w:t>
        </w:r>
      </w:hyperlink>
      <w:r w:rsidRPr="00227100">
        <w:t>).</w:t>
      </w:r>
    </w:p>
    <w:tbl>
      <w:tblPr>
        <w:tblStyle w:val="Grilledutableau"/>
        <w:tblW w:w="0" w:type="auto"/>
        <w:tblInd w:w="720" w:type="dxa"/>
        <w:tblLook w:val="04A0" w:firstRow="1" w:lastRow="0" w:firstColumn="1" w:lastColumn="0" w:noHBand="0" w:noVBand="1"/>
      </w:tblPr>
      <w:tblGrid>
        <w:gridCol w:w="6079"/>
        <w:gridCol w:w="2829"/>
      </w:tblGrid>
      <w:tr w:rsidR="00212E43" w:rsidRPr="004125F8" w14:paraId="4E678310" w14:textId="77777777" w:rsidTr="00063F10">
        <w:tc>
          <w:tcPr>
            <w:tcW w:w="8908" w:type="dxa"/>
            <w:gridSpan w:val="2"/>
            <w:shd w:val="clear" w:color="auto" w:fill="C6D9F1" w:themeFill="text2" w:themeFillTint="33"/>
          </w:tcPr>
          <w:p w14:paraId="22C082D2" w14:textId="77777777" w:rsidR="00212E43" w:rsidRPr="004125F8" w:rsidRDefault="00212E43" w:rsidP="00063F10">
            <w:pPr>
              <w:pStyle w:val="COMPara"/>
              <w:spacing w:after="0"/>
              <w:ind w:left="0" w:firstLine="0"/>
              <w:jc w:val="both"/>
              <w:rPr>
                <w:b/>
                <w:bCs/>
              </w:rPr>
            </w:pPr>
            <w:r>
              <w:rPr>
                <w:b/>
              </w:rPr>
              <w:t>Partie I</w:t>
            </w:r>
          </w:p>
        </w:tc>
      </w:tr>
      <w:tr w:rsidR="00212E43" w14:paraId="56D930FD" w14:textId="77777777" w:rsidTr="00063F10">
        <w:tc>
          <w:tcPr>
            <w:tcW w:w="6079" w:type="dxa"/>
          </w:tcPr>
          <w:p w14:paraId="741BCF4E" w14:textId="77777777" w:rsidR="00212E43" w:rsidRDefault="00212E43" w:rsidP="00063F10">
            <w:pPr>
              <w:pStyle w:val="COMPara"/>
              <w:spacing w:after="0"/>
              <w:ind w:left="0" w:firstLine="0"/>
              <w:jc w:val="both"/>
            </w:pPr>
            <w:r>
              <w:t>Ordre du jour et calendrier (Partie I)</w:t>
            </w:r>
          </w:p>
          <w:p w14:paraId="69ECE303" w14:textId="77777777" w:rsidR="00212E43" w:rsidRDefault="00212E43" w:rsidP="00063F10">
            <w:pPr>
              <w:pStyle w:val="COMPara"/>
              <w:spacing w:after="0"/>
              <w:ind w:left="0" w:firstLine="0"/>
              <w:jc w:val="both"/>
            </w:pPr>
          </w:p>
        </w:tc>
        <w:tc>
          <w:tcPr>
            <w:tcW w:w="2829" w:type="dxa"/>
          </w:tcPr>
          <w:p w14:paraId="3FCDD7B6" w14:textId="77777777" w:rsidR="00212E43" w:rsidRDefault="00FD026F" w:rsidP="00063F10">
            <w:pPr>
              <w:pStyle w:val="COMPara"/>
              <w:spacing w:after="0"/>
              <w:ind w:left="0" w:firstLine="0"/>
              <w:jc w:val="both"/>
            </w:pPr>
            <w:hyperlink r:id="rId27" w:history="1">
              <w:r w:rsidR="00212E43">
                <w:rPr>
                  <w:rStyle w:val="Lienhypertexte"/>
                </w:rPr>
                <w:t>LHE/21/16.COM WG/1</w:t>
              </w:r>
            </w:hyperlink>
          </w:p>
        </w:tc>
      </w:tr>
      <w:tr w:rsidR="00212E43" w14:paraId="4DF61FA4" w14:textId="77777777" w:rsidTr="00063F10">
        <w:tc>
          <w:tcPr>
            <w:tcW w:w="6079" w:type="dxa"/>
          </w:tcPr>
          <w:p w14:paraId="65394BE0" w14:textId="77777777" w:rsidR="00212E43" w:rsidRDefault="00212E43" w:rsidP="00063F10">
            <w:pPr>
              <w:pStyle w:val="COMPara"/>
              <w:spacing w:after="0"/>
              <w:ind w:left="0" w:firstLine="0"/>
              <w:jc w:val="both"/>
            </w:pPr>
            <w:r>
              <w:t>Progrès à ce jour et objectifs de la réunion</w:t>
            </w:r>
          </w:p>
          <w:p w14:paraId="6220B4C7" w14:textId="77777777" w:rsidR="00212E43" w:rsidRDefault="00212E43" w:rsidP="00063F10">
            <w:pPr>
              <w:pStyle w:val="COMPara"/>
              <w:spacing w:after="0"/>
              <w:ind w:left="0" w:firstLine="0"/>
              <w:jc w:val="both"/>
            </w:pPr>
          </w:p>
        </w:tc>
        <w:tc>
          <w:tcPr>
            <w:tcW w:w="2829" w:type="dxa"/>
          </w:tcPr>
          <w:p w14:paraId="1BC41F6B" w14:textId="77777777" w:rsidR="00212E43" w:rsidRDefault="00FD026F" w:rsidP="00063F10">
            <w:pPr>
              <w:pStyle w:val="COMPara"/>
              <w:spacing w:after="0"/>
              <w:ind w:left="0" w:firstLine="0"/>
              <w:jc w:val="both"/>
            </w:pPr>
            <w:hyperlink r:id="rId28" w:history="1">
              <w:r w:rsidR="00212E43">
                <w:rPr>
                  <w:rStyle w:val="Lienhypertexte"/>
                </w:rPr>
                <w:t>LHE/21/16.COM WG/2</w:t>
              </w:r>
            </w:hyperlink>
          </w:p>
        </w:tc>
      </w:tr>
      <w:tr w:rsidR="00212E43" w14:paraId="58512D65" w14:textId="77777777" w:rsidTr="00063F10">
        <w:tc>
          <w:tcPr>
            <w:tcW w:w="6079" w:type="dxa"/>
          </w:tcPr>
          <w:p w14:paraId="7628B343" w14:textId="77777777" w:rsidR="00212E43" w:rsidRDefault="00212E43" w:rsidP="00063F10">
            <w:pPr>
              <w:pStyle w:val="COMPara"/>
              <w:spacing w:after="0"/>
              <w:ind w:left="0" w:firstLine="0"/>
              <w:jc w:val="both"/>
            </w:pPr>
            <w:r>
              <w:t>Vers un système réformé d’inscription sur les listes</w:t>
            </w:r>
          </w:p>
          <w:p w14:paraId="127205A2" w14:textId="77777777" w:rsidR="00212E43" w:rsidRDefault="00212E43" w:rsidP="00063F10">
            <w:pPr>
              <w:pStyle w:val="COMPara"/>
              <w:spacing w:after="0"/>
              <w:ind w:left="0" w:firstLine="0"/>
              <w:jc w:val="both"/>
            </w:pPr>
          </w:p>
        </w:tc>
        <w:tc>
          <w:tcPr>
            <w:tcW w:w="2829" w:type="dxa"/>
          </w:tcPr>
          <w:p w14:paraId="3B4EC7BB" w14:textId="77777777" w:rsidR="00212E43" w:rsidRDefault="00FD026F" w:rsidP="00063F10">
            <w:pPr>
              <w:pStyle w:val="COMPara"/>
              <w:spacing w:after="0"/>
              <w:ind w:left="0" w:firstLine="0"/>
              <w:jc w:val="both"/>
            </w:pPr>
            <w:hyperlink r:id="rId29" w:history="1">
              <w:r w:rsidR="00212E43">
                <w:rPr>
                  <w:rStyle w:val="Lienhypertexte"/>
                </w:rPr>
                <w:t>LHE/21/16.COM WG/3</w:t>
              </w:r>
            </w:hyperlink>
          </w:p>
        </w:tc>
      </w:tr>
      <w:tr w:rsidR="00212E43" w14:paraId="757DCA81" w14:textId="77777777" w:rsidTr="00063F10">
        <w:tc>
          <w:tcPr>
            <w:tcW w:w="8908" w:type="dxa"/>
            <w:gridSpan w:val="2"/>
            <w:shd w:val="clear" w:color="auto" w:fill="C6D9F1" w:themeFill="text2" w:themeFillTint="33"/>
          </w:tcPr>
          <w:p w14:paraId="3D475B13" w14:textId="77777777" w:rsidR="00212E43" w:rsidRDefault="00212E43" w:rsidP="00063F10">
            <w:pPr>
              <w:pStyle w:val="COMPara"/>
              <w:spacing w:after="0"/>
              <w:ind w:left="0" w:firstLine="0"/>
              <w:jc w:val="both"/>
            </w:pPr>
            <w:r>
              <w:rPr>
                <w:b/>
              </w:rPr>
              <w:t>Partie II</w:t>
            </w:r>
          </w:p>
        </w:tc>
      </w:tr>
      <w:tr w:rsidR="00212E43" w14:paraId="017EA4C1" w14:textId="77777777" w:rsidTr="00063F10">
        <w:tc>
          <w:tcPr>
            <w:tcW w:w="6079" w:type="dxa"/>
          </w:tcPr>
          <w:p w14:paraId="75CEB890" w14:textId="77777777" w:rsidR="00212E43" w:rsidRDefault="00212E43" w:rsidP="00063F10">
            <w:pPr>
              <w:pStyle w:val="COMPara"/>
              <w:spacing w:after="0"/>
              <w:ind w:left="0" w:firstLine="0"/>
              <w:jc w:val="both"/>
            </w:pPr>
            <w:r>
              <w:t>Ordre du jour et calendrier (Partie II)</w:t>
            </w:r>
          </w:p>
          <w:p w14:paraId="168B5657" w14:textId="77777777" w:rsidR="00212E43" w:rsidRDefault="00212E43" w:rsidP="00063F10">
            <w:pPr>
              <w:pStyle w:val="COMPara"/>
              <w:spacing w:after="0"/>
              <w:ind w:left="0" w:firstLine="0"/>
              <w:jc w:val="both"/>
            </w:pPr>
          </w:p>
        </w:tc>
        <w:tc>
          <w:tcPr>
            <w:tcW w:w="2829" w:type="dxa"/>
          </w:tcPr>
          <w:p w14:paraId="7A7BFBFA" w14:textId="77777777" w:rsidR="00212E43" w:rsidRDefault="00FD026F" w:rsidP="00063F10">
            <w:pPr>
              <w:pStyle w:val="COMPara"/>
              <w:spacing w:after="0"/>
              <w:ind w:left="0" w:firstLine="0"/>
              <w:jc w:val="both"/>
            </w:pPr>
            <w:hyperlink r:id="rId30" w:history="1">
              <w:r w:rsidR="00212E43">
                <w:rPr>
                  <w:rStyle w:val="Lienhypertexte"/>
                </w:rPr>
                <w:t>LHE/21/16.COM WG/4</w:t>
              </w:r>
            </w:hyperlink>
          </w:p>
        </w:tc>
      </w:tr>
      <w:tr w:rsidR="00212E43" w14:paraId="38EB42D0" w14:textId="77777777" w:rsidTr="00063F10">
        <w:tc>
          <w:tcPr>
            <w:tcW w:w="6079" w:type="dxa"/>
          </w:tcPr>
          <w:p w14:paraId="72832832" w14:textId="77777777" w:rsidR="00212E43" w:rsidRDefault="00212E43" w:rsidP="00063F10">
            <w:pPr>
              <w:pStyle w:val="COMPara"/>
              <w:spacing w:after="0"/>
              <w:ind w:left="0" w:firstLine="0"/>
              <w:jc w:val="both"/>
            </w:pPr>
            <w:r>
              <w:t>Résumé de la Partie I et objectifs de la réunion pour la Partie II</w:t>
            </w:r>
          </w:p>
          <w:p w14:paraId="2CAA0D30" w14:textId="77777777" w:rsidR="00212E43" w:rsidRDefault="00212E43" w:rsidP="00063F10">
            <w:pPr>
              <w:pStyle w:val="COMPara"/>
              <w:spacing w:after="0"/>
              <w:ind w:left="0" w:firstLine="0"/>
              <w:jc w:val="both"/>
            </w:pPr>
          </w:p>
        </w:tc>
        <w:tc>
          <w:tcPr>
            <w:tcW w:w="2829" w:type="dxa"/>
          </w:tcPr>
          <w:p w14:paraId="12C8B598" w14:textId="77777777" w:rsidR="00212E43" w:rsidRDefault="00FD026F" w:rsidP="00063F10">
            <w:pPr>
              <w:pStyle w:val="COMPara"/>
              <w:spacing w:after="0"/>
              <w:ind w:left="0" w:firstLine="0"/>
              <w:jc w:val="both"/>
            </w:pPr>
            <w:hyperlink r:id="rId31" w:history="1">
              <w:r w:rsidR="00212E43">
                <w:rPr>
                  <w:rStyle w:val="Lienhypertexte"/>
                </w:rPr>
                <w:t>LHE/21/16.COM WG/5</w:t>
              </w:r>
            </w:hyperlink>
          </w:p>
        </w:tc>
      </w:tr>
      <w:tr w:rsidR="00212E43" w14:paraId="7E703956" w14:textId="77777777" w:rsidTr="00063F10">
        <w:tc>
          <w:tcPr>
            <w:tcW w:w="6079" w:type="dxa"/>
          </w:tcPr>
          <w:p w14:paraId="346F010D" w14:textId="687D9B80" w:rsidR="00212E43" w:rsidRPr="006A0F43" w:rsidRDefault="00212E43" w:rsidP="00063F10">
            <w:pPr>
              <w:pStyle w:val="COMPara"/>
              <w:spacing w:after="0"/>
              <w:ind w:left="0" w:firstLine="0"/>
              <w:jc w:val="both"/>
            </w:pPr>
            <w:r>
              <w:t xml:space="preserve">Vers un système réformé d’inscription sur les listes (Partie II) : transfert, retrait et </w:t>
            </w:r>
            <w:r w:rsidR="00227100">
              <w:t xml:space="preserve">extension </w:t>
            </w:r>
            <w:r>
              <w:t>des éléments inscrits sur les Listes</w:t>
            </w:r>
            <w:r>
              <w:rPr>
                <w:color w:val="414042"/>
                <w:sz w:val="21"/>
                <w:shd w:val="clear" w:color="auto" w:fill="FFFFFF"/>
              </w:rPr>
              <w:t> </w:t>
            </w:r>
          </w:p>
        </w:tc>
        <w:tc>
          <w:tcPr>
            <w:tcW w:w="2829" w:type="dxa"/>
          </w:tcPr>
          <w:p w14:paraId="2188213F" w14:textId="77777777" w:rsidR="00212E43" w:rsidRDefault="00FD026F" w:rsidP="00063F10">
            <w:pPr>
              <w:pStyle w:val="COMPara"/>
              <w:spacing w:after="0"/>
              <w:ind w:left="0" w:firstLine="0"/>
              <w:jc w:val="both"/>
            </w:pPr>
            <w:hyperlink r:id="rId32" w:history="1">
              <w:r w:rsidR="00212E43">
                <w:rPr>
                  <w:rStyle w:val="Lienhypertexte"/>
                </w:rPr>
                <w:t>LHE/21/16.COM WG/6</w:t>
              </w:r>
            </w:hyperlink>
          </w:p>
        </w:tc>
      </w:tr>
      <w:tr w:rsidR="00212E43" w14:paraId="2F0600A2" w14:textId="77777777" w:rsidTr="00063F10">
        <w:tc>
          <w:tcPr>
            <w:tcW w:w="6079" w:type="dxa"/>
          </w:tcPr>
          <w:p w14:paraId="32549513" w14:textId="77777777" w:rsidR="00212E43" w:rsidRDefault="00212E43" w:rsidP="00063F10">
            <w:pPr>
              <w:pStyle w:val="COMPara"/>
              <w:spacing w:after="0"/>
              <w:ind w:left="0" w:firstLine="0"/>
              <w:jc w:val="both"/>
            </w:pPr>
            <w:r>
              <w:t>Autres questions nécessitant une réflexion plus approfondie</w:t>
            </w:r>
          </w:p>
          <w:p w14:paraId="71E7C50D" w14:textId="77777777" w:rsidR="00212E43" w:rsidRPr="006A0F43" w:rsidRDefault="00212E43" w:rsidP="00063F10">
            <w:pPr>
              <w:pStyle w:val="COMPara"/>
              <w:spacing w:after="0"/>
              <w:ind w:left="0" w:firstLine="0"/>
              <w:jc w:val="both"/>
            </w:pPr>
          </w:p>
        </w:tc>
        <w:tc>
          <w:tcPr>
            <w:tcW w:w="2829" w:type="dxa"/>
          </w:tcPr>
          <w:p w14:paraId="637F8B0B" w14:textId="77777777" w:rsidR="00212E43" w:rsidRDefault="00FD026F" w:rsidP="00063F10">
            <w:pPr>
              <w:pStyle w:val="COMPara"/>
              <w:spacing w:after="0"/>
              <w:ind w:left="0" w:firstLine="0"/>
              <w:jc w:val="both"/>
            </w:pPr>
            <w:hyperlink r:id="rId33" w:history="1">
              <w:r w:rsidR="00212E43">
                <w:rPr>
                  <w:rStyle w:val="Lienhypertexte"/>
                </w:rPr>
                <w:t>LHE/21/16.COM WG/7</w:t>
              </w:r>
            </w:hyperlink>
          </w:p>
        </w:tc>
      </w:tr>
      <w:tr w:rsidR="00212E43" w14:paraId="6295A643" w14:textId="77777777" w:rsidTr="00063F10">
        <w:tc>
          <w:tcPr>
            <w:tcW w:w="6079" w:type="dxa"/>
          </w:tcPr>
          <w:p w14:paraId="14532650" w14:textId="77777777" w:rsidR="00212E43" w:rsidRDefault="00212E43" w:rsidP="00063F10">
            <w:pPr>
              <w:pStyle w:val="COMPara"/>
              <w:spacing w:after="0"/>
              <w:ind w:left="0" w:firstLine="0"/>
              <w:jc w:val="both"/>
            </w:pPr>
            <w:r>
              <w:t>Rapport au Comité intergouvernemental</w:t>
            </w:r>
          </w:p>
          <w:p w14:paraId="54F18E46" w14:textId="77777777" w:rsidR="00212E43" w:rsidRPr="006A0F43" w:rsidRDefault="00212E43" w:rsidP="00063F10">
            <w:pPr>
              <w:pStyle w:val="COMPara"/>
              <w:spacing w:after="0"/>
              <w:ind w:left="0" w:firstLine="0"/>
              <w:jc w:val="both"/>
            </w:pPr>
          </w:p>
        </w:tc>
        <w:tc>
          <w:tcPr>
            <w:tcW w:w="2829" w:type="dxa"/>
          </w:tcPr>
          <w:p w14:paraId="51EBEAA5" w14:textId="77777777" w:rsidR="00212E43" w:rsidRDefault="00FD026F" w:rsidP="00063F10">
            <w:pPr>
              <w:pStyle w:val="COMPara"/>
              <w:spacing w:after="0"/>
              <w:ind w:left="0" w:firstLine="0"/>
              <w:jc w:val="both"/>
            </w:pPr>
            <w:hyperlink r:id="rId34" w:history="1">
              <w:r w:rsidR="00212E43">
                <w:rPr>
                  <w:rStyle w:val="Lienhypertexte"/>
                </w:rPr>
                <w:t>LHE/21/16.COM WG/8</w:t>
              </w:r>
            </w:hyperlink>
          </w:p>
        </w:tc>
      </w:tr>
      <w:tr w:rsidR="00212E43" w:rsidRPr="00FD026F" w14:paraId="498A551D" w14:textId="77777777" w:rsidTr="00063F10">
        <w:tc>
          <w:tcPr>
            <w:tcW w:w="6079" w:type="dxa"/>
          </w:tcPr>
          <w:p w14:paraId="22184EE1" w14:textId="35C36401" w:rsidR="00212E43" w:rsidRPr="006A0F43" w:rsidRDefault="00227100" w:rsidP="00063F10">
            <w:pPr>
              <w:pStyle w:val="COMPara"/>
              <w:spacing w:after="0"/>
              <w:ind w:left="0" w:firstLine="0"/>
              <w:jc w:val="both"/>
            </w:pPr>
            <w:proofErr w:type="gramStart"/>
            <w:r>
              <w:t>Perspectives futures</w:t>
            </w:r>
            <w:proofErr w:type="gramEnd"/>
          </w:p>
        </w:tc>
        <w:tc>
          <w:tcPr>
            <w:tcW w:w="2829" w:type="dxa"/>
          </w:tcPr>
          <w:p w14:paraId="1996CEDB" w14:textId="77777777" w:rsidR="00212E43" w:rsidRPr="001C1B21" w:rsidRDefault="00FD026F" w:rsidP="00063F10">
            <w:pPr>
              <w:pStyle w:val="COMPara"/>
              <w:spacing w:after="0"/>
              <w:ind w:left="0" w:firstLine="0"/>
              <w:rPr>
                <w:lang w:val="en-GB"/>
              </w:rPr>
            </w:pPr>
            <w:hyperlink r:id="rId35" w:history="1">
              <w:r w:rsidR="00212E43" w:rsidRPr="001C1B21">
                <w:rPr>
                  <w:rStyle w:val="Lienhypertexte"/>
                  <w:lang w:val="en-GB"/>
                </w:rPr>
                <w:t>LHE/21/16.COM WG/8 -ways forward</w:t>
              </w:r>
            </w:hyperlink>
          </w:p>
        </w:tc>
      </w:tr>
    </w:tbl>
    <w:p w14:paraId="5AF02428" w14:textId="77777777" w:rsidR="00212E43" w:rsidRPr="001C1B21" w:rsidRDefault="00212E43" w:rsidP="00212E43">
      <w:pPr>
        <w:pStyle w:val="COMPara"/>
        <w:rPr>
          <w:lang w:val="en-GB"/>
        </w:rPr>
      </w:pPr>
    </w:p>
    <w:p w14:paraId="49A7FE94" w14:textId="23E0406C" w:rsidR="00212E43" w:rsidRDefault="00212E43" w:rsidP="00212E43">
      <w:pPr>
        <w:pStyle w:val="COMPara"/>
        <w:numPr>
          <w:ilvl w:val="0"/>
          <w:numId w:val="9"/>
        </w:numPr>
        <w:jc w:val="both"/>
      </w:pPr>
      <w:r>
        <w:t>Parmi les questions spécifiques soulignées par le Comité (voir paragraphe 3), le groupe de travail a décidé de</w:t>
      </w:r>
      <w:r w:rsidR="00227100">
        <w:t xml:space="preserve"> se</w:t>
      </w:r>
      <w:r>
        <w:t xml:space="preserve"> concentrer sur trois questions principales</w:t>
      </w:r>
      <w:r w:rsidR="00227100">
        <w:t xml:space="preserve"> de la réflexion</w:t>
      </w:r>
      <w:r>
        <w:t>, comme cela avait été spécifiquement demandé par le Comité, à savoir : le critère R.2, les procédures spécifiques pour le retrait ou le transfert des éléments de et entre les listes, ainsi que l’extension des candidatures multinationales.</w:t>
      </w:r>
    </w:p>
    <w:p w14:paraId="4CDE4AC2" w14:textId="07892C4F" w:rsidR="00212E43" w:rsidRDefault="00212E43" w:rsidP="00212E43">
      <w:pPr>
        <w:pStyle w:val="COMPara"/>
        <w:numPr>
          <w:ilvl w:val="0"/>
          <w:numId w:val="9"/>
        </w:numPr>
        <w:jc w:val="both"/>
      </w:pPr>
      <w:r>
        <w:lastRenderedPageBreak/>
        <w:t>Les recommandations du groupe de travail, portant à la fois sur la Partie I et sur la Partie II (</w:t>
      </w:r>
      <w:r w:rsidR="00227100">
        <w:t xml:space="preserve">document </w:t>
      </w:r>
      <w:hyperlink r:id="rId36" w:history="1">
        <w:r>
          <w:rPr>
            <w:rStyle w:val="Lienhypertexte"/>
          </w:rPr>
          <w:t>LHE/21/16.COM WG/Recommandations</w:t>
        </w:r>
      </w:hyperlink>
      <w:r>
        <w:t xml:space="preserve">), sont présentées à </w:t>
      </w:r>
      <w:hyperlink w:anchor="_Annexe_I" w:history="1">
        <w:r w:rsidRPr="00DB323C">
          <w:rPr>
            <w:rStyle w:val="Lienhypertexte"/>
          </w:rPr>
          <w:t>l'Annexe I</w:t>
        </w:r>
      </w:hyperlink>
      <w:r w:rsidRPr="00DB323C">
        <w:t xml:space="preserve">. </w:t>
      </w:r>
      <w:proofErr w:type="gramStart"/>
      <w:r w:rsidRPr="00DB323C">
        <w:t>Suite</w:t>
      </w:r>
      <w:r>
        <w:t xml:space="preserve"> à</w:t>
      </w:r>
      <w:proofErr w:type="gramEnd"/>
      <w:r>
        <w:t xml:space="preserve"> la demande du groupe de travail, le Secrétariat a préparé un ensemble de projets d'amendements aux Directives opérationnelles en fonction de ces recommandations, comme </w:t>
      </w:r>
      <w:r w:rsidRPr="00DB323C">
        <w:t xml:space="preserve">prévu en </w:t>
      </w:r>
      <w:hyperlink w:anchor="_Annexe_II" w:history="1">
        <w:r w:rsidRPr="00DB323C">
          <w:rPr>
            <w:rStyle w:val="Lienhypertexte"/>
          </w:rPr>
          <w:t>Annexe II</w:t>
        </w:r>
      </w:hyperlink>
      <w:r>
        <w:t>, pour examen à la présente session du Comité. Le Comité souhaitera peut-être que l'Assemblée générale révise les Directives opérationnelles en conséquence.</w:t>
      </w:r>
    </w:p>
    <w:p w14:paraId="06E6C9E6" w14:textId="6D1442B4" w:rsidR="00212E43" w:rsidRDefault="00212E43" w:rsidP="00212E43">
      <w:pPr>
        <w:pStyle w:val="COMPara"/>
        <w:numPr>
          <w:ilvl w:val="0"/>
          <w:numId w:val="9"/>
        </w:numPr>
        <w:jc w:val="both"/>
      </w:pPr>
      <w:r>
        <w:t xml:space="preserve">Ces révisions se rapportent aux </w:t>
      </w:r>
      <w:r w:rsidR="00227100">
        <w:t xml:space="preserve">problèmes </w:t>
      </w:r>
      <w:r>
        <w:t>suivants :</w:t>
      </w:r>
    </w:p>
    <w:p w14:paraId="5EDC32BA" w14:textId="3D4FDA91" w:rsidR="00212E43" w:rsidRDefault="00227100" w:rsidP="00212E43">
      <w:pPr>
        <w:pStyle w:val="COMPara"/>
        <w:numPr>
          <w:ilvl w:val="0"/>
          <w:numId w:val="29"/>
        </w:numPr>
        <w:jc w:val="both"/>
      </w:pPr>
      <w:r>
        <w:t>Les</w:t>
      </w:r>
      <w:r w:rsidR="00212E43">
        <w:t xml:space="preserve"> critères d'inscription (seule la suppression du</w:t>
      </w:r>
      <w:r>
        <w:t xml:space="preserve"> critère</w:t>
      </w:r>
      <w:r w:rsidR="00212E43">
        <w:t xml:space="preserve"> P.9 figure dans les amendements proposés ; les changements dans les autres critères seront reflétés par la révision des formulaires utilisés pour la soumission des candidatures) ;</w:t>
      </w:r>
    </w:p>
    <w:p w14:paraId="4092EFEC" w14:textId="060983BD" w:rsidR="00212E43" w:rsidRDefault="00227100" w:rsidP="00212E43">
      <w:pPr>
        <w:pStyle w:val="COMPara"/>
        <w:numPr>
          <w:ilvl w:val="0"/>
          <w:numId w:val="29"/>
        </w:numPr>
        <w:jc w:val="both"/>
      </w:pPr>
      <w:r>
        <w:t>Le</w:t>
      </w:r>
      <w:r w:rsidR="00212E43">
        <w:t xml:space="preserve"> suivi des éléments inscrits, notamment la procédure révisée de transfert des éléments entre la Liste de sauvegarde urgente et la Liste représentative, et l'inclusion de pratiques de sauvegarde réussies dans le Registre des bonnes pratiques de sauvegarde ;</w:t>
      </w:r>
    </w:p>
    <w:p w14:paraId="600B0F38" w14:textId="11C9A558" w:rsidR="00212E43" w:rsidRDefault="00227100" w:rsidP="00212E43">
      <w:pPr>
        <w:pStyle w:val="COMPara"/>
        <w:numPr>
          <w:ilvl w:val="0"/>
          <w:numId w:val="29"/>
        </w:numPr>
        <w:jc w:val="both"/>
      </w:pPr>
      <w:r>
        <w:t>La</w:t>
      </w:r>
      <w:r w:rsidR="00212E43">
        <w:t xml:space="preserve"> méthodologie d’évaluation des candidatures, notamment la procédure révisée d’inscription des éléments sur les Listes et dans le Registre sur une base étendue</w:t>
      </w:r>
      <w:r w:rsidR="00AC3D80">
        <w:t xml:space="preserve"> ou réduite</w:t>
      </w:r>
      <w:r w:rsidR="00212E43">
        <w:t>.</w:t>
      </w:r>
    </w:p>
    <w:p w14:paraId="2353B30F" w14:textId="77777777" w:rsidR="00212E43" w:rsidRDefault="00212E43" w:rsidP="00212E43">
      <w:pPr>
        <w:pStyle w:val="COMPara"/>
        <w:numPr>
          <w:ilvl w:val="0"/>
          <w:numId w:val="9"/>
        </w:numPr>
        <w:jc w:val="both"/>
      </w:pPr>
      <w:r>
        <w:t>Le groupe de travail a également porté les questions énumérées ci-dessous à l'attention du Comité. Elles ne sont pas destinées à figurer dans les Directives opérationnelles car elles portent davantage sur les pratiques à encourager que sur les procédures à officialiser. Par conséquent, ces questions doivent être prises en considération, après validation du Comité, lors de la révision des formulaires utilisés pour la soumission des candidatures ou dans le contexte des opérations statutaires au titre de la Convention de 2003 :</w:t>
      </w:r>
    </w:p>
    <w:p w14:paraId="2F489333" w14:textId="188BD34D" w:rsidR="0019267E" w:rsidRDefault="00AC3D80" w:rsidP="0019267E">
      <w:pPr>
        <w:pStyle w:val="COMPara"/>
        <w:numPr>
          <w:ilvl w:val="1"/>
          <w:numId w:val="9"/>
        </w:numPr>
        <w:ind w:hanging="731"/>
      </w:pPr>
      <w:proofErr w:type="gramStart"/>
      <w:r w:rsidRPr="00AC3D80">
        <w:t>l’utilisation</w:t>
      </w:r>
      <w:proofErr w:type="gramEnd"/>
      <w:r w:rsidRPr="00AC3D80">
        <w:t xml:space="preserve"> de la langue des communautés (ou une ou des langues qui leur soit accessible(s)) lors de la préparation et de la soumission des candidatures ;</w:t>
      </w:r>
    </w:p>
    <w:p w14:paraId="4735E3D9" w14:textId="257ED7D4" w:rsidR="0019267E" w:rsidRDefault="0019267E" w:rsidP="0019267E">
      <w:pPr>
        <w:pStyle w:val="COMPara"/>
        <w:numPr>
          <w:ilvl w:val="1"/>
          <w:numId w:val="9"/>
        </w:numPr>
        <w:ind w:hanging="731"/>
      </w:pPr>
      <w:proofErr w:type="gramStart"/>
      <w:r w:rsidRPr="00AC3D80">
        <w:t>l’utilisation</w:t>
      </w:r>
      <w:proofErr w:type="gramEnd"/>
      <w:r w:rsidRPr="00AC3D80">
        <w:t xml:space="preserve"> de technologies telles que des outils audiovisuels, lorsque cela est possible, pour la mise à disposition des informations requises dans les formulaires de candidature et la communication de préoccupations.</w:t>
      </w:r>
    </w:p>
    <w:p w14:paraId="0E2AA447" w14:textId="6304B620" w:rsidR="0019267E" w:rsidRDefault="0019267E" w:rsidP="0019267E">
      <w:pPr>
        <w:pStyle w:val="COMPara"/>
        <w:numPr>
          <w:ilvl w:val="1"/>
          <w:numId w:val="9"/>
        </w:numPr>
        <w:ind w:hanging="731"/>
      </w:pPr>
      <w:r w:rsidRPr="0019267E">
        <w:t xml:space="preserve">Le groupe de travail recommande d’utiliser un langage inclusif et neutre en termes de genre dans tous les aspects de la mise en œuvre de la Convention, y compris notamment d’éviter l’utilisation de termes tels que « </w:t>
      </w:r>
      <w:proofErr w:type="spellStart"/>
      <w:r w:rsidRPr="0019267E">
        <w:t>gentleman’s</w:t>
      </w:r>
      <w:proofErr w:type="spellEnd"/>
      <w:r w:rsidRPr="0019267E">
        <w:t xml:space="preserve"> agreement ».</w:t>
      </w:r>
    </w:p>
    <w:p w14:paraId="6F06E74B" w14:textId="38466B02" w:rsidR="00212E43" w:rsidRDefault="00212E43" w:rsidP="00212E43">
      <w:pPr>
        <w:pStyle w:val="COMPara"/>
        <w:numPr>
          <w:ilvl w:val="0"/>
          <w:numId w:val="9"/>
        </w:numPr>
        <w:jc w:val="both"/>
      </w:pPr>
      <w:r>
        <w:t xml:space="preserve">Grâce à la réflexion et compte tenu également des conseils dispensés par les experts, le groupe de travail a jugé important d'engager une réflexion sur les implications plus vastes de l'Article 18 de la Convention. Afin de soutenir cette initiative, la Suède a déjà versé une contribution, en septembre 2021, sous forme </w:t>
      </w:r>
      <w:r w:rsidRPr="005E0731">
        <w:t xml:space="preserve">de crédits </w:t>
      </w:r>
      <w:r w:rsidR="005E0731" w:rsidRPr="005E0731">
        <w:t>supplémentaires</w:t>
      </w:r>
      <w:r>
        <w:t xml:space="preserve"> au Programme ordinaire de </w:t>
      </w:r>
      <w:r w:rsidRPr="00B75BB7">
        <w:t>l'UNESCO (</w:t>
      </w:r>
      <w:r w:rsidR="00AC3D80">
        <w:t xml:space="preserve">document </w:t>
      </w:r>
      <w:hyperlink r:id="rId37" w:history="1">
        <w:r w:rsidRPr="00B75BB7">
          <w:rPr>
            <w:rStyle w:val="Lienhypertexte"/>
          </w:rPr>
          <w:t>LHE/21/16.COM/12</w:t>
        </w:r>
      </w:hyperlink>
      <w:r w:rsidRPr="00B75BB7">
        <w:t>). En outre</w:t>
      </w:r>
      <w:r>
        <w:t>, le groupe de travail a suggéré que cette nouvelle initiative prévoie la poursuite de la discussion sur la façon d'améliorer le dialogue et la communication entre les parties prenantes de la Convention, en se concentrant en particulier sur les communautés, les groupes et, le cas échéant, les individus.</w:t>
      </w:r>
    </w:p>
    <w:p w14:paraId="76E40A2D" w14:textId="7296D804" w:rsidR="00212E43" w:rsidRPr="0011409A" w:rsidRDefault="005E0731" w:rsidP="00212E43">
      <w:pPr>
        <w:pStyle w:val="COMPara"/>
        <w:spacing w:before="240"/>
        <w:ind w:left="357" w:firstLine="0"/>
        <w:jc w:val="both"/>
        <w:rPr>
          <w:b/>
          <w:bCs/>
        </w:rPr>
      </w:pPr>
      <w:r>
        <w:rPr>
          <w:b/>
        </w:rPr>
        <w:t>Perspectives futures</w:t>
      </w:r>
    </w:p>
    <w:p w14:paraId="256749C6" w14:textId="2C38EE90" w:rsidR="00212E43" w:rsidRDefault="00212E43" w:rsidP="00212E43">
      <w:pPr>
        <w:pStyle w:val="COMPara"/>
        <w:numPr>
          <w:ilvl w:val="0"/>
          <w:numId w:val="9"/>
        </w:numPr>
        <w:jc w:val="both"/>
      </w:pPr>
      <w:r>
        <w:t>Les tâches prioritaires identifiées (c’est-à-dire le critère R.2, les processus spécifiques pour le retrait ou le transfert des éléments de et entre les listes, ainsi que l’extension</w:t>
      </w:r>
      <w:r w:rsidR="00AC3D80">
        <w:t xml:space="preserve"> ou la réduction</w:t>
      </w:r>
      <w:r>
        <w:t xml:space="preserve"> des candidature multinationales) ont été traitées avec succès par le groupe de travail lors de sa réunion des Parties I et II. Par la même occasion, le groupe de travail a exprimé son souhait de conclure ses discussions sur des questions supplémentaires (voir le paragraphe 14 des recommandations du groupe de travail). A cette fin, le groupe de travail a demandé que la présente session du Comité prolonge le mandat du groupe de travail.</w:t>
      </w:r>
    </w:p>
    <w:p w14:paraId="0685FA4A" w14:textId="77777777" w:rsidR="00212E43" w:rsidRDefault="00212E43" w:rsidP="00212E43">
      <w:pPr>
        <w:pStyle w:val="COMPara"/>
        <w:numPr>
          <w:ilvl w:val="0"/>
          <w:numId w:val="9"/>
        </w:numPr>
        <w:jc w:val="both"/>
      </w:pPr>
      <w:r>
        <w:t xml:space="preserve">À cet égard, une réunion supplémentaire (Partie III) du groupe de travail à composition non limitée prolongé pourrait être convoquée début 2022. Les résultats de cette réunion pourraient être examinés par une session extraordinaire du Comité au cours du premier </w:t>
      </w:r>
      <w:r>
        <w:lastRenderedPageBreak/>
        <w:t>semestre 2022, afin qu’il puisse présenter tous ses résultats pour examen par la neuvième session de l’Assemblée générale mi-2022.</w:t>
      </w:r>
    </w:p>
    <w:p w14:paraId="5CDF95B0" w14:textId="77777777" w:rsidR="00212E43" w:rsidRPr="00EA528C" w:rsidRDefault="00212E43" w:rsidP="00212E43">
      <w:pPr>
        <w:pStyle w:val="COMPara"/>
        <w:numPr>
          <w:ilvl w:val="0"/>
          <w:numId w:val="9"/>
        </w:numPr>
      </w:pPr>
      <w:r>
        <w:t>Le Comité souhaitera peut-être adopter la décision suivante :</w:t>
      </w:r>
    </w:p>
    <w:p w14:paraId="087E729C" w14:textId="77777777" w:rsidR="00212E43" w:rsidRPr="00FD624F" w:rsidRDefault="00212E43" w:rsidP="00212E43">
      <w:pPr>
        <w:pStyle w:val="COMTitleDecision"/>
        <w:rPr>
          <w:rFonts w:eastAsia="SimSun"/>
        </w:rPr>
      </w:pPr>
      <w:r>
        <w:t>PROJET DE DÉCISION 16.COM 14</w:t>
      </w:r>
    </w:p>
    <w:p w14:paraId="75FF6CD6" w14:textId="77777777" w:rsidR="00212E43" w:rsidRPr="00285BB4" w:rsidRDefault="00212E43" w:rsidP="00212E43">
      <w:pPr>
        <w:pStyle w:val="COMPreambulaDecisions"/>
        <w:rPr>
          <w:rFonts w:eastAsia="SimSun"/>
        </w:rPr>
      </w:pPr>
      <w:r>
        <w:t>Le Comité,</w:t>
      </w:r>
    </w:p>
    <w:p w14:paraId="62FF4759" w14:textId="77777777" w:rsidR="00212E43" w:rsidRPr="00B75BB7" w:rsidRDefault="00212E43" w:rsidP="00212E43">
      <w:pPr>
        <w:pStyle w:val="COMParaDecision"/>
        <w:ind w:left="1287" w:hanging="360"/>
      </w:pPr>
      <w:r>
        <w:t xml:space="preserve">Ayant </w:t>
      </w:r>
      <w:r w:rsidRPr="00B75BB7">
        <w:t xml:space="preserve">examiné </w:t>
      </w:r>
      <w:r w:rsidRPr="00B75BB7">
        <w:rPr>
          <w:u w:val="none"/>
        </w:rPr>
        <w:t>le document LHE/21/16.COM/14 et ses annexes,</w:t>
      </w:r>
    </w:p>
    <w:p w14:paraId="76611A0A" w14:textId="723B8111" w:rsidR="00212E43" w:rsidRPr="00A67BF8" w:rsidRDefault="00212E43" w:rsidP="00212E43">
      <w:pPr>
        <w:pStyle w:val="COMParaDecision"/>
        <w:ind w:left="1287" w:hanging="360"/>
      </w:pPr>
      <w:r w:rsidRPr="00B75BB7">
        <w:t>Rappelant</w:t>
      </w:r>
      <w:r w:rsidRPr="00B75BB7">
        <w:rPr>
          <w:u w:val="none"/>
        </w:rPr>
        <w:t xml:space="preserve"> </w:t>
      </w:r>
      <w:r w:rsidR="007047A5">
        <w:rPr>
          <w:u w:val="none"/>
        </w:rPr>
        <w:t xml:space="preserve">la décision </w:t>
      </w:r>
      <w:hyperlink r:id="rId38" w:history="1">
        <w:r w:rsidR="007047A5" w:rsidRPr="00FC021E">
          <w:rPr>
            <w:rStyle w:val="Lienhypertexte"/>
          </w:rPr>
          <w:t>10.COM 19</w:t>
        </w:r>
      </w:hyperlink>
      <w:r w:rsidR="007047A5">
        <w:rPr>
          <w:u w:val="none"/>
        </w:rPr>
        <w:t xml:space="preserve">, la décision </w:t>
      </w:r>
      <w:hyperlink r:id="rId39" w:history="1">
        <w:r w:rsidR="007047A5" w:rsidRPr="00FC021E">
          <w:rPr>
            <w:rStyle w:val="Lienhypertexte"/>
          </w:rPr>
          <w:t>12.COM 14</w:t>
        </w:r>
      </w:hyperlink>
      <w:r w:rsidR="007047A5">
        <w:rPr>
          <w:u w:val="none"/>
        </w:rPr>
        <w:t xml:space="preserve">, </w:t>
      </w:r>
      <w:r w:rsidR="00B75BB7">
        <w:rPr>
          <w:u w:val="none"/>
        </w:rPr>
        <w:t>la décision</w:t>
      </w:r>
      <w:hyperlink r:id="rId40" w:history="1">
        <w:r w:rsidR="00B75BB7">
          <w:rPr>
            <w:rStyle w:val="Lienhypertexte"/>
            <w:u w:val="none"/>
          </w:rPr>
          <w:t xml:space="preserve"> 13.COM 6</w:t>
        </w:r>
      </w:hyperlink>
      <w:r w:rsidRPr="00B75BB7">
        <w:rPr>
          <w:u w:val="none"/>
        </w:rPr>
        <w:t>,</w:t>
      </w:r>
      <w:r w:rsidR="00B75BB7" w:rsidRPr="00B75BB7">
        <w:rPr>
          <w:u w:val="none"/>
        </w:rPr>
        <w:t xml:space="preserve"> </w:t>
      </w:r>
      <w:r w:rsidR="007047A5">
        <w:rPr>
          <w:u w:val="none"/>
        </w:rPr>
        <w:t xml:space="preserve">la décision </w:t>
      </w:r>
      <w:hyperlink r:id="rId41" w:history="1">
        <w:r w:rsidR="007047A5" w:rsidRPr="00FC021E">
          <w:rPr>
            <w:rStyle w:val="Lienhypertexte"/>
          </w:rPr>
          <w:t>13.COM 9</w:t>
        </w:r>
      </w:hyperlink>
      <w:r w:rsidR="007047A5">
        <w:rPr>
          <w:u w:val="none"/>
        </w:rPr>
        <w:t xml:space="preserve">, </w:t>
      </w:r>
      <w:r w:rsidR="00B75BB7" w:rsidRPr="00B75BB7">
        <w:rPr>
          <w:u w:val="none"/>
        </w:rPr>
        <w:t xml:space="preserve">la </w:t>
      </w:r>
      <w:r w:rsidR="00B75BB7">
        <w:rPr>
          <w:u w:val="none"/>
        </w:rPr>
        <w:t>d</w:t>
      </w:r>
      <w:r w:rsidR="00B75BB7" w:rsidRPr="00B75BB7">
        <w:rPr>
          <w:u w:val="none"/>
        </w:rPr>
        <w:t xml:space="preserve">écision </w:t>
      </w:r>
      <w:hyperlink r:id="rId42" w:history="1">
        <w:r w:rsidR="00B75BB7">
          <w:rPr>
            <w:rStyle w:val="Lienhypertexte"/>
            <w:u w:val="none"/>
          </w:rPr>
          <w:t>13.COM 10</w:t>
        </w:r>
      </w:hyperlink>
      <w:r w:rsidR="007047A5">
        <w:rPr>
          <w:rStyle w:val="Lienhypertexte"/>
          <w:u w:val="none"/>
        </w:rPr>
        <w:t xml:space="preserve">, la décision </w:t>
      </w:r>
      <w:hyperlink r:id="rId43" w:history="1">
        <w:r w:rsidR="007047A5" w:rsidRPr="00FC021E">
          <w:rPr>
            <w:rStyle w:val="Lienhypertexte"/>
          </w:rPr>
          <w:t>14.COM 10</w:t>
        </w:r>
      </w:hyperlink>
      <w:r w:rsidR="007047A5">
        <w:rPr>
          <w:rStyle w:val="Lienhypertexte"/>
          <w:u w:val="none"/>
        </w:rPr>
        <w:t xml:space="preserve">, la décision </w:t>
      </w:r>
      <w:hyperlink r:id="rId44" w:history="1">
        <w:r w:rsidR="00FC021E" w:rsidRPr="00FC021E">
          <w:rPr>
            <w:rStyle w:val="Lienhypertexte"/>
          </w:rPr>
          <w:t>14.COM 14</w:t>
        </w:r>
      </w:hyperlink>
      <w:r w:rsidR="00FC021E">
        <w:rPr>
          <w:rStyle w:val="Lienhypertexte"/>
          <w:u w:val="none"/>
        </w:rPr>
        <w:t xml:space="preserve">, la décision </w:t>
      </w:r>
      <w:hyperlink r:id="rId45" w:history="1">
        <w:r w:rsidR="00FC021E" w:rsidRPr="00FC021E">
          <w:rPr>
            <w:rStyle w:val="Lienhypertexte"/>
          </w:rPr>
          <w:t>15.COM 7</w:t>
        </w:r>
      </w:hyperlink>
      <w:r w:rsidR="00FC021E">
        <w:rPr>
          <w:rStyle w:val="Lienhypertexte"/>
          <w:u w:val="none"/>
        </w:rPr>
        <w:t xml:space="preserve">, la décision </w:t>
      </w:r>
      <w:hyperlink r:id="rId46" w:history="1">
        <w:r w:rsidR="00FC021E" w:rsidRPr="00FC021E">
          <w:rPr>
            <w:rStyle w:val="Lienhypertexte"/>
          </w:rPr>
          <w:t>15.COM 8</w:t>
        </w:r>
      </w:hyperlink>
      <w:r w:rsidRPr="00B75BB7">
        <w:rPr>
          <w:u w:val="none"/>
        </w:rPr>
        <w:t xml:space="preserve"> et </w:t>
      </w:r>
      <w:r w:rsidR="00B75BB7" w:rsidRPr="00B75BB7">
        <w:rPr>
          <w:u w:val="none"/>
        </w:rPr>
        <w:t xml:space="preserve">la </w:t>
      </w:r>
      <w:r w:rsidR="00FC021E">
        <w:rPr>
          <w:u w:val="none"/>
        </w:rPr>
        <w:t xml:space="preserve">résolution </w:t>
      </w:r>
      <w:hyperlink r:id="rId47" w:history="1">
        <w:r w:rsidR="00FC021E" w:rsidRPr="00FC021E">
          <w:rPr>
            <w:rStyle w:val="Lienhypertexte"/>
          </w:rPr>
          <w:t>8.GA 11</w:t>
        </w:r>
      </w:hyperlink>
      <w:r>
        <w:rPr>
          <w:u w:val="none"/>
        </w:rPr>
        <w:t>,</w:t>
      </w:r>
    </w:p>
    <w:p w14:paraId="0630E361" w14:textId="3D46E75C" w:rsidR="00212E43" w:rsidRPr="00C42CC6" w:rsidRDefault="00212E43" w:rsidP="00212E43">
      <w:pPr>
        <w:pStyle w:val="COMParaDecision"/>
        <w:ind w:left="1287" w:hanging="360"/>
      </w:pPr>
      <w:r>
        <w:t>Réitère sa gratitude</w:t>
      </w:r>
      <w:r>
        <w:rPr>
          <w:u w:val="none"/>
        </w:rPr>
        <w:t xml:space="preserve"> au Japon pour son soutien à la réflexion globale sur les mécanismes d'inscription sur les listes de la Convention ;</w:t>
      </w:r>
    </w:p>
    <w:p w14:paraId="1C8FA987" w14:textId="77777777" w:rsidR="00212E43" w:rsidRDefault="00212E43" w:rsidP="00212E43">
      <w:pPr>
        <w:pStyle w:val="COMParaDecision"/>
        <w:ind w:left="1287" w:hanging="360"/>
      </w:pPr>
      <w:r>
        <w:t>Prend note</w:t>
      </w:r>
      <w:r>
        <w:rPr>
          <w:u w:val="none"/>
        </w:rPr>
        <w:t xml:space="preserve"> des résultats des consultations d'experts et </w:t>
      </w:r>
      <w:r>
        <w:t>remercie</w:t>
      </w:r>
      <w:r>
        <w:rPr>
          <w:u w:val="none"/>
        </w:rPr>
        <w:t xml:space="preserve"> les experts pour leur contribution ;</w:t>
      </w:r>
    </w:p>
    <w:p w14:paraId="4E6756BD" w14:textId="38209B83" w:rsidR="00212E43" w:rsidRPr="004E3546" w:rsidRDefault="00212E43" w:rsidP="00212E43">
      <w:pPr>
        <w:pStyle w:val="COMParaDecision"/>
        <w:ind w:left="1287" w:hanging="360"/>
      </w:pPr>
      <w:r>
        <w:t>Exprime son appréciation</w:t>
      </w:r>
      <w:r>
        <w:rPr>
          <w:u w:val="none"/>
        </w:rPr>
        <w:t xml:space="preserve"> à l’égard du travail du groupe de travail intergouvernemental à composition non limitée, qui a mené à bien les tâches complexes liées aux questions prioritaires dans le cadre de</w:t>
      </w:r>
      <w:r w:rsidR="0052358B">
        <w:rPr>
          <w:u w:val="none"/>
        </w:rPr>
        <w:t xml:space="preserve"> la</w:t>
      </w:r>
      <w:r>
        <w:rPr>
          <w:u w:val="none"/>
        </w:rPr>
        <w:t xml:space="preserve"> réflexion qui ont d’importantes implications pour le développement future de la Convention, et </w:t>
      </w:r>
      <w:r w:rsidRPr="002D1468">
        <w:t>remercie</w:t>
      </w:r>
      <w:r w:rsidRPr="0026027A">
        <w:t xml:space="preserve"> en outre</w:t>
      </w:r>
      <w:r>
        <w:rPr>
          <w:u w:val="none"/>
        </w:rPr>
        <w:t xml:space="preserve"> ses membres pour leur sérieux engagement et coopération ;</w:t>
      </w:r>
    </w:p>
    <w:p w14:paraId="6D77816D" w14:textId="77777777" w:rsidR="00212E43" w:rsidRPr="007F5E87" w:rsidRDefault="00212E43" w:rsidP="00212E43">
      <w:pPr>
        <w:pStyle w:val="COMParaDecision"/>
        <w:ind w:left="1287" w:hanging="360"/>
        <w:rPr>
          <w:u w:val="none"/>
        </w:rPr>
      </w:pPr>
      <w:r>
        <w:rPr>
          <w:rFonts w:asciiTheme="minorBidi" w:hAnsiTheme="minorBidi"/>
          <w:snapToGrid w:val="0"/>
        </w:rPr>
        <w:t>Affirme</w:t>
      </w:r>
      <w:r>
        <w:rPr>
          <w:rFonts w:asciiTheme="minorBidi" w:hAnsiTheme="minorBidi"/>
          <w:snapToGrid w:val="0"/>
          <w:u w:val="none"/>
        </w:rPr>
        <w:t xml:space="preserve"> que le système réformé d’inscription sur les listes devrait s'efforcer de placer les communautés, les groupes et, le cas échéant, les individus au centre des efforts de sauvegarde et favoriser une participation plus vaste et plus active de leur part, à toutes les étapes des mécanismes d'inscription sur les listes ;</w:t>
      </w:r>
    </w:p>
    <w:p w14:paraId="1CAD1A9A" w14:textId="7EF7226F" w:rsidR="00212E43" w:rsidRPr="00C61301" w:rsidRDefault="00212E43" w:rsidP="00212E43">
      <w:pPr>
        <w:pStyle w:val="COMParaDecision"/>
        <w:ind w:left="1287" w:hanging="360"/>
      </w:pPr>
      <w:r>
        <w:t>Recommande</w:t>
      </w:r>
      <w:r>
        <w:rPr>
          <w:u w:val="none"/>
        </w:rPr>
        <w:t xml:space="preserve"> à l'Assemblée générale de réviser les Directives opérationnelles pour la mise en œuvre de la Convention (présentées </w:t>
      </w:r>
      <w:r w:rsidRPr="00DB323C">
        <w:rPr>
          <w:u w:val="none"/>
        </w:rPr>
        <w:t xml:space="preserve">à </w:t>
      </w:r>
      <w:hyperlink w:anchor="_Annexe_II" w:history="1">
        <w:r w:rsidRPr="00DB323C">
          <w:rPr>
            <w:rStyle w:val="Lienhypertexte"/>
          </w:rPr>
          <w:t>l'Annexe II</w:t>
        </w:r>
      </w:hyperlink>
      <w:r w:rsidRPr="00DB323C">
        <w:rPr>
          <w:u w:val="none"/>
        </w:rPr>
        <w:t xml:space="preserve"> de</w:t>
      </w:r>
      <w:r>
        <w:rPr>
          <w:u w:val="none"/>
        </w:rPr>
        <w:t xml:space="preserve"> ce document), en s'appuyant sur l'esprit des recommandations du groupe de travail et en s'y conformant (comme indiqué à </w:t>
      </w:r>
      <w:hyperlink w:anchor="_Annexe_I" w:history="1">
        <w:r w:rsidRPr="00DB323C">
          <w:rPr>
            <w:rStyle w:val="Lienhypertexte"/>
          </w:rPr>
          <w:t>l'Annexe I</w:t>
        </w:r>
      </w:hyperlink>
      <w:r w:rsidRPr="00DB323C">
        <w:rPr>
          <w:u w:val="none"/>
        </w:rPr>
        <w:t xml:space="preserve"> de ce</w:t>
      </w:r>
      <w:r>
        <w:rPr>
          <w:u w:val="none"/>
        </w:rPr>
        <w:t xml:space="preserve"> document).</w:t>
      </w:r>
    </w:p>
    <w:p w14:paraId="37E23DEB" w14:textId="77777777" w:rsidR="00212E43" w:rsidRPr="008E18C6" w:rsidRDefault="00212E43" w:rsidP="00212E43">
      <w:pPr>
        <w:pStyle w:val="COMParaDecision"/>
        <w:ind w:left="1287" w:hanging="360"/>
      </w:pPr>
      <w:r>
        <w:t>Encourage</w:t>
      </w:r>
      <w:r>
        <w:rPr>
          <w:u w:val="none"/>
        </w:rPr>
        <w:t xml:space="preserve"> les pratiques suivantes afin d'assurer l'inclusivité et une participation plus vaste des communautés, groupes et, le cas échéant, des individus au système d'inscription sur les listes :</w:t>
      </w:r>
    </w:p>
    <w:p w14:paraId="4811A7CA" w14:textId="77777777" w:rsidR="0019267E" w:rsidRDefault="0019267E" w:rsidP="0019267E">
      <w:pPr>
        <w:pStyle w:val="COMPara"/>
        <w:numPr>
          <w:ilvl w:val="1"/>
          <w:numId w:val="10"/>
        </w:numPr>
        <w:ind w:left="1701" w:hanging="425"/>
      </w:pPr>
      <w:proofErr w:type="gramStart"/>
      <w:r w:rsidRPr="00AC3D80">
        <w:t>l’utilisation</w:t>
      </w:r>
      <w:proofErr w:type="gramEnd"/>
      <w:r w:rsidRPr="00AC3D80">
        <w:t xml:space="preserve"> de la langue des communautés (ou une ou des langues qui leur soit accessible(s)) lors de la préparation et de la soumission des candidatures ;</w:t>
      </w:r>
    </w:p>
    <w:p w14:paraId="685EC234" w14:textId="77777777" w:rsidR="0019267E" w:rsidRDefault="0019267E" w:rsidP="0019267E">
      <w:pPr>
        <w:pStyle w:val="COMPara"/>
        <w:numPr>
          <w:ilvl w:val="1"/>
          <w:numId w:val="10"/>
        </w:numPr>
        <w:ind w:left="1701" w:hanging="425"/>
      </w:pPr>
      <w:proofErr w:type="gramStart"/>
      <w:r w:rsidRPr="00AC3D80">
        <w:t>l’utilisation</w:t>
      </w:r>
      <w:proofErr w:type="gramEnd"/>
      <w:r w:rsidRPr="00AC3D80">
        <w:t xml:space="preserve"> de technologies telles que des outils audiovisuels, lorsque cela est possible, pour la mise à disposition des informations requises dans les formulaires de candidature et la communication de préoccupations.</w:t>
      </w:r>
    </w:p>
    <w:p w14:paraId="164D2C38" w14:textId="77777777" w:rsidR="0019267E" w:rsidRDefault="0019267E" w:rsidP="0019267E">
      <w:pPr>
        <w:pStyle w:val="COMPara"/>
        <w:numPr>
          <w:ilvl w:val="1"/>
          <w:numId w:val="10"/>
        </w:numPr>
        <w:ind w:left="1701" w:hanging="425"/>
      </w:pPr>
      <w:r w:rsidRPr="0019267E">
        <w:t xml:space="preserve">Le groupe de travail recommande d’utiliser un langage inclusif et neutre en termes de genre dans tous les aspects de la mise en œuvre de la Convention, y compris notamment d’éviter l’utilisation de termes tels que « </w:t>
      </w:r>
      <w:proofErr w:type="spellStart"/>
      <w:r w:rsidRPr="0019267E">
        <w:t>gentleman’s</w:t>
      </w:r>
      <w:proofErr w:type="spellEnd"/>
      <w:r w:rsidRPr="0019267E">
        <w:t xml:space="preserve"> agreement ».</w:t>
      </w:r>
    </w:p>
    <w:p w14:paraId="5654FDE1" w14:textId="742AEA08" w:rsidR="00212E43" w:rsidRPr="0026027A" w:rsidRDefault="00212E43" w:rsidP="00212E43">
      <w:pPr>
        <w:pStyle w:val="COMParaDecision"/>
        <w:ind w:left="1287" w:hanging="360"/>
        <w:rPr>
          <w:u w:val="none"/>
        </w:rPr>
      </w:pPr>
      <w:r>
        <w:rPr>
          <w:rFonts w:asciiTheme="minorBidi" w:hAnsiTheme="minorBidi"/>
        </w:rPr>
        <w:t>Décide</w:t>
      </w:r>
      <w:r>
        <w:rPr>
          <w:rFonts w:asciiTheme="minorBidi" w:hAnsiTheme="minorBidi"/>
          <w:u w:val="none"/>
        </w:rPr>
        <w:t xml:space="preserve"> d'engager une réflexion en vue d'une mise en œuvre plus vaste de l'Article 18 de la Convention, qui prévoie la poursuite de la </w:t>
      </w:r>
      <w:r>
        <w:rPr>
          <w:u w:val="none"/>
        </w:rPr>
        <w:t>discussion sur la façon d'améliorer le dialogue et la communication entre les parties prenantes de la Convention, en se concentrant en particulier sur les communautés, les groupes et, le cas échéant, les individus,</w:t>
      </w:r>
      <w:r>
        <w:rPr>
          <w:rFonts w:asciiTheme="minorBidi" w:hAnsiTheme="minorBidi"/>
          <w:u w:val="none"/>
        </w:rPr>
        <w:t xml:space="preserve"> </w:t>
      </w:r>
      <w:r>
        <w:rPr>
          <w:rFonts w:asciiTheme="minorBidi" w:hAnsiTheme="minorBidi"/>
          <w:snapToGrid w:val="0"/>
          <w:u w:val="none"/>
        </w:rPr>
        <w:t xml:space="preserve">et </w:t>
      </w:r>
      <w:r w:rsidR="008E4B95" w:rsidRPr="008E4B95">
        <w:rPr>
          <w:rFonts w:asciiTheme="minorBidi" w:hAnsiTheme="minorBidi"/>
          <w:snapToGrid w:val="0"/>
        </w:rPr>
        <w:t>remercie également</w:t>
      </w:r>
      <w:r w:rsidR="008E4B95">
        <w:rPr>
          <w:rFonts w:asciiTheme="minorBidi" w:hAnsiTheme="minorBidi"/>
          <w:snapToGrid w:val="0"/>
          <w:u w:val="none"/>
        </w:rPr>
        <w:t xml:space="preserve"> </w:t>
      </w:r>
      <w:r>
        <w:rPr>
          <w:rFonts w:asciiTheme="minorBidi" w:hAnsiTheme="minorBidi"/>
          <w:snapToGrid w:val="0"/>
          <w:u w:val="none"/>
        </w:rPr>
        <w:t>l</w:t>
      </w:r>
      <w:r w:rsidR="00C338D8">
        <w:rPr>
          <w:rFonts w:asciiTheme="minorBidi" w:hAnsiTheme="minorBidi"/>
          <w:snapToGrid w:val="0"/>
          <w:u w:val="none"/>
        </w:rPr>
        <w:t>e Royaume de</w:t>
      </w:r>
      <w:r>
        <w:rPr>
          <w:rFonts w:asciiTheme="minorBidi" w:hAnsiTheme="minorBidi"/>
          <w:snapToGrid w:val="0"/>
          <w:u w:val="none"/>
        </w:rPr>
        <w:t xml:space="preserve"> Suède </w:t>
      </w:r>
      <w:r w:rsidR="008E4B95">
        <w:rPr>
          <w:rFonts w:asciiTheme="minorBidi" w:hAnsiTheme="minorBidi"/>
          <w:snapToGrid w:val="0"/>
          <w:u w:val="none"/>
        </w:rPr>
        <w:t xml:space="preserve">de soutenir ce processus à travers sa </w:t>
      </w:r>
      <w:proofErr w:type="gramStart"/>
      <w:r w:rsidR="008E4B95">
        <w:rPr>
          <w:rFonts w:asciiTheme="minorBidi" w:hAnsiTheme="minorBidi"/>
          <w:snapToGrid w:val="0"/>
          <w:u w:val="none"/>
        </w:rPr>
        <w:t>contribution.</w:t>
      </w:r>
      <w:r>
        <w:rPr>
          <w:rFonts w:asciiTheme="minorBidi" w:hAnsiTheme="minorBidi"/>
          <w:snapToGrid w:val="0"/>
          <w:u w:val="none"/>
        </w:rPr>
        <w:t>.</w:t>
      </w:r>
      <w:proofErr w:type="gramEnd"/>
    </w:p>
    <w:p w14:paraId="159C8645" w14:textId="686CC1F4" w:rsidR="00212E43" w:rsidRDefault="00212E43" w:rsidP="00212E43">
      <w:pPr>
        <w:pStyle w:val="COMParaDecision"/>
        <w:ind w:left="1287" w:hanging="360"/>
        <w:rPr>
          <w:u w:val="none"/>
        </w:rPr>
      </w:pPr>
      <w:r w:rsidRPr="0026027A">
        <w:t>Décide en outre</w:t>
      </w:r>
      <w:r>
        <w:rPr>
          <w:u w:val="none"/>
        </w:rPr>
        <w:t xml:space="preserve"> de prolonger le mandat du groupe de travail intergouvernemental à composition non limitée pour achever les discussions sur les autres questions soulevées par le groupe de travail comme </w:t>
      </w:r>
      <w:r w:rsidRPr="00DB323C">
        <w:rPr>
          <w:u w:val="none"/>
        </w:rPr>
        <w:t xml:space="preserve">indiqué à </w:t>
      </w:r>
      <w:hyperlink w:anchor="_Annexe_I" w:history="1">
        <w:r w:rsidRPr="00DB323C">
          <w:rPr>
            <w:rStyle w:val="Lienhypertexte"/>
          </w:rPr>
          <w:t>l'Annexe I</w:t>
        </w:r>
      </w:hyperlink>
      <w:r w:rsidRPr="00DB323C">
        <w:rPr>
          <w:u w:val="none"/>
        </w:rPr>
        <w:t xml:space="preserve"> du présent</w:t>
      </w:r>
      <w:r>
        <w:rPr>
          <w:u w:val="none"/>
        </w:rPr>
        <w:t xml:space="preserve"> document, en convoquant une réunion (Partie III) début 2022 ;</w:t>
      </w:r>
    </w:p>
    <w:p w14:paraId="30D7BD44" w14:textId="77777777" w:rsidR="00212E43" w:rsidRPr="004E3546" w:rsidRDefault="00212E43" w:rsidP="00212E43">
      <w:pPr>
        <w:pStyle w:val="COMParaDecision"/>
        <w:ind w:left="1287" w:hanging="360"/>
        <w:rPr>
          <w:u w:val="none"/>
        </w:rPr>
      </w:pPr>
      <w:r>
        <w:lastRenderedPageBreak/>
        <w:t>Décide également</w:t>
      </w:r>
      <w:r>
        <w:rPr>
          <w:u w:val="none"/>
        </w:rPr>
        <w:t xml:space="preserve"> de convoquer une session extraordinaire du Comité qui se tiendra après la réunion du groupe de travail prolongé, afin d’examiner toute autre proposition du groupe de travail prolongé en vue d’une éventuelle présentation à la neuvième session de l’Assemblée générale mi-2022.</w:t>
      </w:r>
    </w:p>
    <w:p w14:paraId="5F849605" w14:textId="77777777" w:rsidR="00212E43" w:rsidRDefault="00212E43" w:rsidP="00212E43">
      <w:pPr>
        <w:rPr>
          <w:rFonts w:ascii="Arial" w:eastAsia="SimSun" w:hAnsi="Arial" w:cs="Arial"/>
          <w:sz w:val="22"/>
          <w:szCs w:val="22"/>
        </w:rPr>
      </w:pPr>
      <w:r>
        <w:br w:type="page"/>
      </w:r>
    </w:p>
    <w:p w14:paraId="7C7C201E" w14:textId="77777777" w:rsidR="00212E43" w:rsidRPr="001C1B21" w:rsidRDefault="00212E43" w:rsidP="00212E43"/>
    <w:p w14:paraId="7298381C" w14:textId="21B750B7" w:rsidR="002803B8" w:rsidRPr="002803B8" w:rsidRDefault="002803B8" w:rsidP="00DB323C">
      <w:pPr>
        <w:pStyle w:val="Titre4"/>
        <w:numPr>
          <w:ilvl w:val="0"/>
          <w:numId w:val="0"/>
        </w:numPr>
        <w:ind w:left="720" w:hanging="720"/>
      </w:pPr>
      <w:bookmarkStart w:id="2" w:name="_Annexe_I"/>
      <w:bookmarkEnd w:id="2"/>
      <w:r w:rsidRPr="002803B8">
        <w:t>Annex</w:t>
      </w:r>
      <w:r w:rsidR="00F7285B">
        <w:t>e</w:t>
      </w:r>
      <w:r w:rsidRPr="002803B8">
        <w:t xml:space="preserve"> I</w:t>
      </w:r>
    </w:p>
    <w:p w14:paraId="08369E4B" w14:textId="77777777" w:rsidR="002803B8" w:rsidRPr="00710118" w:rsidRDefault="002803B8" w:rsidP="002803B8">
      <w:pPr>
        <w:pStyle w:val="Sansinterligne1"/>
        <w:spacing w:before="360" w:after="360"/>
        <w:jc w:val="center"/>
        <w:rPr>
          <w:rFonts w:ascii="Arial" w:eastAsiaTheme="minorEastAsia" w:hAnsi="Arial" w:cs="Arial"/>
          <w:b/>
          <w:sz w:val="22"/>
          <w:szCs w:val="22"/>
        </w:rPr>
      </w:pPr>
      <w:r w:rsidRPr="00710118">
        <w:rPr>
          <w:rFonts w:ascii="Arial" w:hAnsi="Arial"/>
          <w:b/>
          <w:sz w:val="22"/>
          <w:szCs w:val="22"/>
        </w:rPr>
        <w:t>Recommandations du groupe de travail intergouvernemental à composition non limitée</w:t>
      </w:r>
    </w:p>
    <w:p w14:paraId="3263614A" w14:textId="77777777" w:rsidR="002803B8" w:rsidRPr="00710118" w:rsidRDefault="002803B8" w:rsidP="002803B8">
      <w:pPr>
        <w:numPr>
          <w:ilvl w:val="0"/>
          <w:numId w:val="19"/>
        </w:numPr>
        <w:spacing w:after="120"/>
        <w:ind w:left="567" w:hanging="567"/>
        <w:jc w:val="both"/>
        <w:rPr>
          <w:rFonts w:ascii="Arial" w:hAnsi="Arial" w:cs="Arial"/>
          <w:snapToGrid w:val="0"/>
          <w:szCs w:val="22"/>
        </w:rPr>
      </w:pPr>
      <w:r w:rsidRPr="00710118">
        <w:rPr>
          <w:rFonts w:ascii="Arial" w:hAnsi="Arial"/>
          <w:snapToGrid w:val="0"/>
          <w:szCs w:val="22"/>
        </w:rPr>
        <w:t xml:space="preserve">Le </w:t>
      </w:r>
      <w:r w:rsidRPr="00710118">
        <w:rPr>
          <w:rFonts w:asciiTheme="minorBidi" w:hAnsiTheme="minorBidi"/>
          <w:snapToGrid w:val="0"/>
          <w:szCs w:val="22"/>
        </w:rPr>
        <w:t>groupe de travail affirme que la réforme devrait s’efforcer de placer les communautés, les groupes et, le cas échéant, les individus au centre des efforts de sauvegarde et rechercher leur participation plus large et plus active à toutes les étapes des mécanismes relatifs aux listes</w:t>
      </w:r>
      <w:r w:rsidRPr="00710118">
        <w:rPr>
          <w:rFonts w:ascii="Arial" w:hAnsi="Arial"/>
          <w:snapToGrid w:val="0"/>
          <w:szCs w:val="22"/>
        </w:rPr>
        <w:t>.</w:t>
      </w:r>
    </w:p>
    <w:p w14:paraId="299816A5" w14:textId="77777777" w:rsidR="002803B8" w:rsidRPr="00710118" w:rsidRDefault="002803B8" w:rsidP="002803B8">
      <w:pPr>
        <w:spacing w:before="240"/>
        <w:jc w:val="both"/>
        <w:rPr>
          <w:rFonts w:ascii="Arial" w:hAnsi="Arial" w:cs="Arial"/>
          <w:snapToGrid w:val="0"/>
          <w:szCs w:val="22"/>
          <w:u w:val="single"/>
        </w:rPr>
      </w:pPr>
      <w:r w:rsidRPr="00710118">
        <w:rPr>
          <w:rFonts w:ascii="Arial" w:hAnsi="Arial"/>
          <w:snapToGrid w:val="0"/>
          <w:szCs w:val="22"/>
          <w:u w:val="single"/>
        </w:rPr>
        <w:t>Questions relatives aux critères d’inscription</w:t>
      </w:r>
    </w:p>
    <w:p w14:paraId="4AA98BB6" w14:textId="77777777" w:rsidR="002803B8" w:rsidRPr="00710118" w:rsidRDefault="002803B8" w:rsidP="002803B8">
      <w:pPr>
        <w:numPr>
          <w:ilvl w:val="0"/>
          <w:numId w:val="19"/>
        </w:numPr>
        <w:spacing w:after="120"/>
        <w:ind w:left="567" w:hanging="567"/>
        <w:jc w:val="both"/>
        <w:rPr>
          <w:rFonts w:ascii="Arial" w:hAnsi="Arial" w:cs="Arial"/>
          <w:szCs w:val="22"/>
        </w:rPr>
      </w:pPr>
      <w:r w:rsidRPr="00710118">
        <w:rPr>
          <w:rFonts w:ascii="Arial" w:hAnsi="Arial"/>
          <w:snapToGrid w:val="0"/>
          <w:szCs w:val="22"/>
        </w:rPr>
        <w:t xml:space="preserve">Tous les critères de la Liste représentative du patrimoine culturel immatériel de l’humanité (ci-après la « Liste représentative »), et de la Liste du patrimoine culturel immatériel nécessitant une sauvegarde urgente (ci-après la « Liste de sauvegarde urgente ») </w:t>
      </w:r>
      <w:proofErr w:type="gramStart"/>
      <w:r w:rsidRPr="00710118">
        <w:rPr>
          <w:rFonts w:ascii="Arial" w:hAnsi="Arial"/>
          <w:snapToGrid w:val="0"/>
          <w:szCs w:val="22"/>
        </w:rPr>
        <w:t>doivent</w:t>
      </w:r>
      <w:proofErr w:type="gramEnd"/>
      <w:r w:rsidRPr="00710118">
        <w:rPr>
          <w:rFonts w:ascii="Arial" w:hAnsi="Arial"/>
          <w:snapToGrid w:val="0"/>
          <w:szCs w:val="22"/>
        </w:rPr>
        <w:t xml:space="preserve"> être maintenus,</w:t>
      </w:r>
      <w:r w:rsidRPr="00710118">
        <w:rPr>
          <w:rFonts w:asciiTheme="minorBidi" w:hAnsiTheme="minorBidi"/>
          <w:snapToGrid w:val="0"/>
          <w:szCs w:val="22"/>
        </w:rPr>
        <w:t xml:space="preserve"> tout en considérant les propositions spécifiques suivantes :</w:t>
      </w:r>
    </w:p>
    <w:p w14:paraId="6561A1CD" w14:textId="77777777" w:rsidR="002803B8" w:rsidRPr="00710118" w:rsidRDefault="002803B8" w:rsidP="002803B8">
      <w:pPr>
        <w:pStyle w:val="Paragraphedeliste"/>
        <w:numPr>
          <w:ilvl w:val="1"/>
          <w:numId w:val="22"/>
        </w:numPr>
        <w:spacing w:after="120"/>
        <w:ind w:left="987" w:hanging="420"/>
        <w:contextualSpacing w:val="0"/>
        <w:jc w:val="both"/>
        <w:rPr>
          <w:rFonts w:ascii="Arial" w:hAnsi="Arial" w:cs="Arial"/>
          <w:i/>
          <w:iCs/>
          <w:szCs w:val="22"/>
        </w:rPr>
      </w:pPr>
      <w:r w:rsidRPr="00710118">
        <w:rPr>
          <w:rFonts w:ascii="Arial" w:hAnsi="Arial" w:cs="Arial"/>
          <w:i/>
          <w:iCs/>
          <w:szCs w:val="22"/>
        </w:rPr>
        <w:t xml:space="preserve">Le critère R.1/U.1 ou le formulaire de candidature devrait inclure une référence à la conformité de l’élément avec et les instruments internationaux relatifs aux droits humains ; </w:t>
      </w:r>
    </w:p>
    <w:p w14:paraId="6D8929C2" w14:textId="77777777" w:rsidR="002803B8" w:rsidRPr="00710118" w:rsidRDefault="002803B8" w:rsidP="002803B8">
      <w:pPr>
        <w:pStyle w:val="Paragraphedeliste"/>
        <w:numPr>
          <w:ilvl w:val="1"/>
          <w:numId w:val="22"/>
        </w:numPr>
        <w:spacing w:after="120"/>
        <w:ind w:left="987" w:hanging="420"/>
        <w:contextualSpacing w:val="0"/>
        <w:jc w:val="both"/>
        <w:rPr>
          <w:rFonts w:ascii="Arial" w:hAnsi="Arial" w:cs="Arial"/>
          <w:i/>
          <w:iCs/>
          <w:szCs w:val="22"/>
        </w:rPr>
      </w:pPr>
      <w:r w:rsidRPr="00710118">
        <w:rPr>
          <w:rFonts w:ascii="Arial" w:hAnsi="Arial" w:cs="Arial"/>
          <w:i/>
          <w:iCs/>
          <w:szCs w:val="22"/>
        </w:rPr>
        <w:t>Le critère R.2 ou le formulaire de candidature devrait être reformulé et simplifié pour se concentrer sur la contribution des éléments proposés au respect mutuel et au dialogue entre communautés, groupes et individus, et pour indiquer comment l’élément contribue au développement durable</w:t>
      </w:r>
      <w:r w:rsidRPr="00710118" w:rsidDel="00285729">
        <w:rPr>
          <w:rFonts w:ascii="Arial" w:hAnsi="Arial" w:cs="Arial"/>
          <w:i/>
          <w:iCs/>
          <w:szCs w:val="22"/>
        </w:rPr>
        <w:t xml:space="preserve"> </w:t>
      </w:r>
      <w:r w:rsidRPr="00710118">
        <w:rPr>
          <w:rFonts w:ascii="Arial" w:hAnsi="Arial" w:cs="Arial"/>
          <w:i/>
          <w:iCs/>
          <w:szCs w:val="22"/>
        </w:rPr>
        <w:t>;</w:t>
      </w:r>
    </w:p>
    <w:p w14:paraId="4213F415" w14:textId="77777777" w:rsidR="002803B8" w:rsidRPr="00710118" w:rsidRDefault="002803B8" w:rsidP="002803B8">
      <w:pPr>
        <w:pStyle w:val="Paragraphedeliste"/>
        <w:numPr>
          <w:ilvl w:val="1"/>
          <w:numId w:val="22"/>
        </w:numPr>
        <w:spacing w:after="120"/>
        <w:ind w:left="987" w:hanging="420"/>
        <w:contextualSpacing w:val="0"/>
        <w:jc w:val="both"/>
        <w:rPr>
          <w:rFonts w:ascii="Arial" w:hAnsi="Arial" w:cs="Arial"/>
          <w:i/>
          <w:iCs/>
          <w:szCs w:val="22"/>
        </w:rPr>
      </w:pPr>
      <w:r w:rsidRPr="00710118">
        <w:rPr>
          <w:rFonts w:ascii="Arial" w:hAnsi="Arial" w:cs="Arial"/>
          <w:i/>
          <w:iCs/>
          <w:szCs w:val="22"/>
        </w:rPr>
        <w:t>Le critère R.4/U.4 ou le formulaire de candidature devrait être révisé pour s’assurer que les communautés comprennent que l’inscription sur les Listes de la Convention ne place pas leur élément au-dessus des autres, ni n’implique l’exclusivité ou la « propriété » de cet élément ;</w:t>
      </w:r>
    </w:p>
    <w:p w14:paraId="1287A62B" w14:textId="77777777" w:rsidR="002803B8" w:rsidRPr="00710118" w:rsidRDefault="002803B8" w:rsidP="002803B8">
      <w:pPr>
        <w:pStyle w:val="Paragraphedeliste"/>
        <w:numPr>
          <w:ilvl w:val="1"/>
          <w:numId w:val="22"/>
        </w:numPr>
        <w:spacing w:after="120"/>
        <w:ind w:left="987" w:hanging="420"/>
        <w:contextualSpacing w:val="0"/>
        <w:jc w:val="both"/>
        <w:rPr>
          <w:rFonts w:ascii="Arial" w:hAnsi="Arial" w:cs="Arial"/>
          <w:i/>
          <w:iCs/>
          <w:szCs w:val="22"/>
        </w:rPr>
      </w:pPr>
      <w:r w:rsidRPr="00710118">
        <w:rPr>
          <w:rFonts w:ascii="Arial" w:hAnsi="Arial" w:cs="Arial"/>
          <w:i/>
          <w:iCs/>
          <w:szCs w:val="22"/>
        </w:rPr>
        <w:t>Le critère R.5/U.5 ou le formulaire de candidature devrait être simplifié en renvoyant aux systèmes d’inventaire déjà identifiés dans le rapport périodique ; et</w:t>
      </w:r>
    </w:p>
    <w:p w14:paraId="78FE7F9B" w14:textId="77777777" w:rsidR="002803B8" w:rsidRPr="00710118" w:rsidRDefault="002803B8" w:rsidP="002803B8">
      <w:pPr>
        <w:pStyle w:val="Paragraphedeliste"/>
        <w:numPr>
          <w:ilvl w:val="1"/>
          <w:numId w:val="22"/>
        </w:numPr>
        <w:spacing w:after="120"/>
        <w:ind w:left="987" w:hanging="420"/>
        <w:contextualSpacing w:val="0"/>
        <w:jc w:val="both"/>
        <w:rPr>
          <w:rFonts w:ascii="Arial" w:hAnsi="Arial" w:cs="Arial"/>
          <w:i/>
          <w:iCs/>
          <w:szCs w:val="22"/>
        </w:rPr>
      </w:pPr>
      <w:r w:rsidRPr="00710118">
        <w:rPr>
          <w:rFonts w:ascii="Arial" w:hAnsi="Arial" w:cs="Arial"/>
          <w:i/>
          <w:iCs/>
          <w:szCs w:val="22"/>
        </w:rPr>
        <w:t>La simplification des formulaires pour tous les critères.</w:t>
      </w:r>
    </w:p>
    <w:p w14:paraId="56726228" w14:textId="77777777" w:rsidR="002803B8" w:rsidRPr="00710118" w:rsidRDefault="002803B8" w:rsidP="002803B8">
      <w:pPr>
        <w:numPr>
          <w:ilvl w:val="0"/>
          <w:numId w:val="19"/>
        </w:numPr>
        <w:spacing w:after="120"/>
        <w:ind w:left="567" w:hanging="567"/>
        <w:jc w:val="both"/>
        <w:rPr>
          <w:rFonts w:ascii="Arial" w:hAnsi="Arial" w:cs="Arial"/>
          <w:snapToGrid w:val="0"/>
          <w:szCs w:val="22"/>
        </w:rPr>
      </w:pPr>
      <w:r w:rsidRPr="00710118">
        <w:rPr>
          <w:rFonts w:ascii="Arial" w:hAnsi="Arial"/>
          <w:snapToGrid w:val="0"/>
          <w:szCs w:val="22"/>
        </w:rPr>
        <w:t>L</w:t>
      </w:r>
      <w:r w:rsidRPr="00710118">
        <w:rPr>
          <w:rFonts w:asciiTheme="minorBidi" w:hAnsiTheme="minorBidi"/>
          <w:szCs w:val="22"/>
        </w:rPr>
        <w:t xml:space="preserve">es critères pour le </w:t>
      </w:r>
      <w:r w:rsidRPr="00710118">
        <w:rPr>
          <w:rFonts w:ascii="Arial" w:hAnsi="Arial"/>
          <w:snapToGrid w:val="0"/>
          <w:szCs w:val="22"/>
        </w:rPr>
        <w:t>Registre de bonnes pratiques de sauvegarde doivent être amendés comme suit :</w:t>
      </w:r>
    </w:p>
    <w:p w14:paraId="7D2C7451" w14:textId="77777777" w:rsidR="002803B8" w:rsidRPr="00710118" w:rsidRDefault="002803B8" w:rsidP="002803B8">
      <w:pPr>
        <w:pStyle w:val="Paragraphedeliste"/>
        <w:numPr>
          <w:ilvl w:val="0"/>
          <w:numId w:val="23"/>
        </w:numPr>
        <w:spacing w:after="120"/>
        <w:ind w:left="990"/>
        <w:contextualSpacing w:val="0"/>
        <w:jc w:val="both"/>
        <w:rPr>
          <w:rFonts w:ascii="Arial" w:hAnsi="Arial" w:cs="Arial"/>
          <w:i/>
          <w:iCs/>
          <w:szCs w:val="22"/>
        </w:rPr>
      </w:pPr>
      <w:r w:rsidRPr="00710118">
        <w:rPr>
          <w:rFonts w:ascii="Arial" w:hAnsi="Arial" w:cs="Arial"/>
          <w:i/>
          <w:iCs/>
          <w:szCs w:val="22"/>
        </w:rPr>
        <w:t>Le critère P.9 devrait être supprimé.</w:t>
      </w:r>
    </w:p>
    <w:p w14:paraId="2D7734D3" w14:textId="77777777" w:rsidR="002803B8" w:rsidRPr="00710118" w:rsidRDefault="002803B8" w:rsidP="002803B8">
      <w:pPr>
        <w:spacing w:before="240"/>
        <w:jc w:val="both"/>
        <w:rPr>
          <w:rFonts w:ascii="Arial" w:hAnsi="Arial" w:cs="Arial"/>
          <w:snapToGrid w:val="0"/>
          <w:szCs w:val="22"/>
          <w:u w:val="single"/>
        </w:rPr>
      </w:pPr>
      <w:r w:rsidRPr="00710118">
        <w:rPr>
          <w:rFonts w:ascii="Arial" w:hAnsi="Arial"/>
          <w:snapToGrid w:val="0"/>
          <w:szCs w:val="22"/>
          <w:u w:val="single"/>
        </w:rPr>
        <w:t>Questions relatives au suivi des éléments inscrits</w:t>
      </w:r>
    </w:p>
    <w:p w14:paraId="51323D9F" w14:textId="77777777" w:rsidR="002803B8" w:rsidRPr="00710118" w:rsidRDefault="002803B8" w:rsidP="002803B8">
      <w:pPr>
        <w:numPr>
          <w:ilvl w:val="0"/>
          <w:numId w:val="19"/>
        </w:numPr>
        <w:spacing w:after="120"/>
        <w:ind w:left="567" w:hanging="567"/>
        <w:jc w:val="both"/>
        <w:rPr>
          <w:rFonts w:ascii="Arial" w:hAnsi="Arial" w:cs="Arial"/>
          <w:snapToGrid w:val="0"/>
          <w:szCs w:val="22"/>
          <w:u w:val="single"/>
        </w:rPr>
      </w:pPr>
      <w:r w:rsidRPr="00710118">
        <w:rPr>
          <w:rFonts w:asciiTheme="minorBidi" w:hAnsiTheme="minorBidi"/>
          <w:snapToGrid w:val="0"/>
          <w:szCs w:val="22"/>
        </w:rPr>
        <w:t>Le système réformé devrait être guidé par les considérations suivantes</w:t>
      </w:r>
      <w:r w:rsidRPr="00710118">
        <w:rPr>
          <w:rFonts w:ascii="Arial" w:hAnsi="Arial"/>
          <w:snapToGrid w:val="0"/>
          <w:szCs w:val="22"/>
        </w:rPr>
        <w:t> :</w:t>
      </w:r>
    </w:p>
    <w:p w14:paraId="0F72D4BB" w14:textId="77777777" w:rsidR="002803B8" w:rsidRPr="00710118" w:rsidRDefault="002803B8" w:rsidP="002803B8">
      <w:pPr>
        <w:pStyle w:val="Paragraphedeliste"/>
        <w:numPr>
          <w:ilvl w:val="0"/>
          <w:numId w:val="24"/>
        </w:numPr>
        <w:spacing w:after="120"/>
        <w:ind w:left="993" w:hanging="425"/>
        <w:contextualSpacing w:val="0"/>
        <w:jc w:val="both"/>
        <w:rPr>
          <w:rFonts w:ascii="Arial" w:hAnsi="Arial" w:cs="Arial"/>
          <w:i/>
          <w:iCs/>
          <w:szCs w:val="22"/>
        </w:rPr>
      </w:pPr>
      <w:r w:rsidRPr="00710118">
        <w:rPr>
          <w:rFonts w:ascii="Arial" w:hAnsi="Arial" w:cs="Arial"/>
          <w:i/>
          <w:iCs/>
          <w:szCs w:val="22"/>
        </w:rPr>
        <w:t>Encourager les efforts de sauvegarde pour les éléments sur la Liste de sauvegarde urgente en accélérant et en facilitant l’accès à l’assistance financière et au soutien technique ;</w:t>
      </w:r>
    </w:p>
    <w:p w14:paraId="4357C6DA" w14:textId="77777777" w:rsidR="002803B8" w:rsidRPr="00710118" w:rsidRDefault="002803B8" w:rsidP="002803B8">
      <w:pPr>
        <w:pStyle w:val="Paragraphedeliste"/>
        <w:numPr>
          <w:ilvl w:val="0"/>
          <w:numId w:val="24"/>
        </w:numPr>
        <w:spacing w:after="120"/>
        <w:ind w:left="993" w:hanging="425"/>
        <w:contextualSpacing w:val="0"/>
        <w:jc w:val="both"/>
        <w:rPr>
          <w:rFonts w:ascii="Arial" w:hAnsi="Arial" w:cs="Arial"/>
          <w:i/>
          <w:iCs/>
          <w:szCs w:val="22"/>
        </w:rPr>
      </w:pPr>
      <w:r w:rsidRPr="00710118">
        <w:rPr>
          <w:rFonts w:ascii="Arial" w:hAnsi="Arial" w:cs="Arial"/>
          <w:i/>
          <w:iCs/>
          <w:szCs w:val="22"/>
        </w:rPr>
        <w:t>Renforcer le système de suivi par le mécanisme des rapports périodiques afin de s’assurer que les plans de sauvegarde sont mis en œuvre ;</w:t>
      </w:r>
    </w:p>
    <w:p w14:paraId="19746686" w14:textId="77777777" w:rsidR="002803B8" w:rsidRPr="00710118" w:rsidRDefault="002803B8" w:rsidP="002803B8">
      <w:pPr>
        <w:pStyle w:val="Paragraphedeliste"/>
        <w:numPr>
          <w:ilvl w:val="0"/>
          <w:numId w:val="24"/>
        </w:numPr>
        <w:spacing w:after="120"/>
        <w:ind w:left="993" w:hanging="425"/>
        <w:contextualSpacing w:val="0"/>
        <w:jc w:val="both"/>
        <w:rPr>
          <w:rFonts w:ascii="Arial" w:hAnsi="Arial" w:cs="Arial"/>
          <w:i/>
          <w:iCs/>
          <w:szCs w:val="22"/>
        </w:rPr>
      </w:pPr>
      <w:r w:rsidRPr="00710118">
        <w:rPr>
          <w:rFonts w:ascii="Arial" w:hAnsi="Arial" w:cs="Arial"/>
          <w:i/>
          <w:iCs/>
          <w:szCs w:val="22"/>
        </w:rPr>
        <w:t>Faciliter le transfert d’éléments entre les Listes, y compris l’inclusion dans le Registre de bonnes pratiques de sauvegarde de plans de sauvegarde réussis mis en œuvre dans la Liste de sauvegarde urgente ;</w:t>
      </w:r>
    </w:p>
    <w:p w14:paraId="218DE78A" w14:textId="77777777" w:rsidR="002803B8" w:rsidRPr="00710118" w:rsidRDefault="002803B8" w:rsidP="002803B8">
      <w:pPr>
        <w:numPr>
          <w:ilvl w:val="0"/>
          <w:numId w:val="19"/>
        </w:numPr>
        <w:spacing w:after="120"/>
        <w:ind w:left="567" w:hanging="567"/>
        <w:jc w:val="both"/>
        <w:rPr>
          <w:rFonts w:ascii="Arial" w:hAnsi="Arial" w:cs="Arial"/>
          <w:snapToGrid w:val="0"/>
          <w:szCs w:val="22"/>
        </w:rPr>
      </w:pPr>
      <w:r w:rsidRPr="00710118">
        <w:rPr>
          <w:rFonts w:ascii="Arial" w:hAnsi="Arial"/>
          <w:snapToGrid w:val="0"/>
          <w:szCs w:val="22"/>
        </w:rPr>
        <w:lastRenderedPageBreak/>
        <w:t>La procédure proposée pour les transferts entre la Liste de sauvegarde urgente et la Liste représentative, ainsi que l’inclusion de pratiques de sauvegarde réussies dans le Registre, est la suivante :</w:t>
      </w:r>
    </w:p>
    <w:tbl>
      <w:tblPr>
        <w:tblStyle w:val="Grilledutableau"/>
        <w:tblW w:w="0" w:type="auto"/>
        <w:tblInd w:w="562" w:type="dxa"/>
        <w:tblLook w:val="04A0" w:firstRow="1" w:lastRow="0" w:firstColumn="1" w:lastColumn="0" w:noHBand="0" w:noVBand="1"/>
      </w:tblPr>
      <w:tblGrid>
        <w:gridCol w:w="1284"/>
        <w:gridCol w:w="7782"/>
      </w:tblGrid>
      <w:tr w:rsidR="002803B8" w:rsidRPr="005641C5" w14:paraId="6ACD3A54" w14:textId="77777777" w:rsidTr="00063F10">
        <w:trPr>
          <w:trHeight w:val="841"/>
        </w:trPr>
        <w:tc>
          <w:tcPr>
            <w:tcW w:w="1284" w:type="dxa"/>
          </w:tcPr>
          <w:p w14:paraId="5BF87033" w14:textId="77777777" w:rsidR="002803B8" w:rsidRPr="00710118" w:rsidRDefault="002803B8" w:rsidP="00063F10">
            <w:pPr>
              <w:pStyle w:val="1GAPara"/>
              <w:ind w:left="0" w:firstLine="0"/>
              <w:jc w:val="both"/>
              <w:rPr>
                <w:b/>
                <w:bCs/>
                <w:lang w:val="fr-FR"/>
              </w:rPr>
            </w:pPr>
            <w:r w:rsidRPr="00710118">
              <w:rPr>
                <w:b/>
                <w:bCs/>
                <w:lang w:val="fr-FR"/>
              </w:rPr>
              <w:t>Étape 0</w:t>
            </w:r>
          </w:p>
        </w:tc>
        <w:tc>
          <w:tcPr>
            <w:tcW w:w="7782" w:type="dxa"/>
          </w:tcPr>
          <w:p w14:paraId="64F530E9" w14:textId="77777777" w:rsidR="002803B8" w:rsidRPr="00710118" w:rsidRDefault="002803B8" w:rsidP="00063F10">
            <w:pPr>
              <w:pStyle w:val="1GAPara"/>
              <w:ind w:left="0" w:firstLine="0"/>
              <w:jc w:val="both"/>
              <w:rPr>
                <w:b/>
                <w:bCs/>
                <w:lang w:val="fr-FR"/>
              </w:rPr>
            </w:pPr>
            <w:r w:rsidRPr="00710118">
              <w:rPr>
                <w:b/>
                <w:bCs/>
                <w:lang w:val="fr-FR"/>
              </w:rPr>
              <w:t>Actions de pré-soumission (optionnel)</w:t>
            </w:r>
          </w:p>
          <w:p w14:paraId="2D62596D" w14:textId="77777777" w:rsidR="002803B8" w:rsidRPr="00710118" w:rsidRDefault="002803B8" w:rsidP="002803B8">
            <w:pPr>
              <w:pStyle w:val="1GAPara"/>
              <w:numPr>
                <w:ilvl w:val="0"/>
                <w:numId w:val="20"/>
              </w:numPr>
              <w:ind w:left="425" w:hanging="425"/>
              <w:jc w:val="both"/>
              <w:rPr>
                <w:lang w:val="fr-FR"/>
              </w:rPr>
            </w:pPr>
            <w:r w:rsidRPr="00710118">
              <w:rPr>
                <w:lang w:val="fr-FR"/>
              </w:rPr>
              <w:t>Si cette mesure est considérée comme nécessaire par l’/les État(s) partie(s) et par la/les communauté(s), groupes et, le cas échéant, individus concernés, il sera possible de faire appel à une assistance technique par l’intermédiaire du Secrétariat, à tout moment avant la soumission éventuelle d’une demande de transfert. Les demandes d’avis d’experts pourraient aussi être présentées dans le contexte du mécanisme des rapports périodiques.</w:t>
            </w:r>
          </w:p>
          <w:p w14:paraId="310D6AF6" w14:textId="77777777" w:rsidR="002803B8" w:rsidRPr="00710118" w:rsidRDefault="002803B8" w:rsidP="002803B8">
            <w:pPr>
              <w:pStyle w:val="1GAPara"/>
              <w:numPr>
                <w:ilvl w:val="0"/>
                <w:numId w:val="20"/>
              </w:numPr>
              <w:ind w:left="425" w:hanging="425"/>
              <w:jc w:val="both"/>
              <w:rPr>
                <w:b/>
                <w:bCs/>
                <w:lang w:val="fr-FR"/>
              </w:rPr>
            </w:pPr>
            <w:r w:rsidRPr="00710118">
              <w:rPr>
                <w:lang w:val="fr-FR"/>
              </w:rPr>
              <w:t xml:space="preserve">Si les communautés, groupes et, le cas échéant, individus concernés soumettent des lettres ou des contenus audio-visuels au Secrétariat – directement ou par l’intermédiaire du Forum des ONG du PCI – pour exprimer leur souhait de transférer un élément d’une Liste vers une autre, le Secrétariat transmettra ces communications à l’État partie concerné et en informera en conséquence le Comité. </w:t>
            </w:r>
          </w:p>
        </w:tc>
      </w:tr>
      <w:tr w:rsidR="002803B8" w:rsidRPr="00710118" w14:paraId="150B548D" w14:textId="77777777" w:rsidTr="00063F10">
        <w:trPr>
          <w:trHeight w:val="353"/>
        </w:trPr>
        <w:tc>
          <w:tcPr>
            <w:tcW w:w="1284" w:type="dxa"/>
            <w:vMerge w:val="restart"/>
          </w:tcPr>
          <w:p w14:paraId="5E4395FC" w14:textId="77777777" w:rsidR="002803B8" w:rsidRPr="00710118" w:rsidRDefault="002803B8" w:rsidP="00063F10">
            <w:pPr>
              <w:pStyle w:val="1GAPara"/>
              <w:ind w:left="0" w:firstLine="0"/>
              <w:jc w:val="both"/>
              <w:rPr>
                <w:b/>
                <w:bCs/>
                <w:lang w:val="fr-FR"/>
              </w:rPr>
            </w:pPr>
            <w:r w:rsidRPr="00710118">
              <w:rPr>
                <w:b/>
                <w:bCs/>
                <w:lang w:val="fr-FR"/>
              </w:rPr>
              <w:t>Étape 1</w:t>
            </w:r>
          </w:p>
        </w:tc>
        <w:tc>
          <w:tcPr>
            <w:tcW w:w="7782" w:type="dxa"/>
          </w:tcPr>
          <w:p w14:paraId="61DDCCEC" w14:textId="77777777" w:rsidR="002803B8" w:rsidRPr="00710118" w:rsidRDefault="002803B8" w:rsidP="00063F10">
            <w:pPr>
              <w:pStyle w:val="1GAPara"/>
              <w:ind w:left="0" w:firstLine="0"/>
              <w:jc w:val="both"/>
              <w:rPr>
                <w:lang w:val="fr-FR"/>
              </w:rPr>
            </w:pPr>
            <w:r w:rsidRPr="00710118">
              <w:rPr>
                <w:b/>
                <w:bCs/>
                <w:lang w:val="fr-FR"/>
              </w:rPr>
              <w:t xml:space="preserve">Préparation et soumission </w:t>
            </w:r>
          </w:p>
        </w:tc>
      </w:tr>
      <w:tr w:rsidR="002803B8" w:rsidRPr="005641C5" w14:paraId="614D8D0E" w14:textId="77777777" w:rsidTr="00063F10">
        <w:trPr>
          <w:trHeight w:val="558"/>
        </w:trPr>
        <w:tc>
          <w:tcPr>
            <w:tcW w:w="1284" w:type="dxa"/>
            <w:vMerge/>
          </w:tcPr>
          <w:p w14:paraId="6EB75E64" w14:textId="77777777" w:rsidR="002803B8" w:rsidRPr="00710118" w:rsidRDefault="002803B8" w:rsidP="00063F10">
            <w:pPr>
              <w:pStyle w:val="1GAPara"/>
              <w:ind w:left="0" w:firstLine="0"/>
              <w:jc w:val="both"/>
              <w:rPr>
                <w:b/>
                <w:bCs/>
                <w:lang w:val="fr-FR"/>
              </w:rPr>
            </w:pPr>
          </w:p>
        </w:tc>
        <w:tc>
          <w:tcPr>
            <w:tcW w:w="7782" w:type="dxa"/>
            <w:shd w:val="clear" w:color="auto" w:fill="DBE5F1" w:themeFill="accent1" w:themeFillTint="33"/>
          </w:tcPr>
          <w:p w14:paraId="0BAD12E0" w14:textId="77777777" w:rsidR="002803B8" w:rsidRPr="00710118" w:rsidRDefault="002803B8" w:rsidP="00063F10">
            <w:pPr>
              <w:pStyle w:val="1GAPara"/>
              <w:spacing w:before="120"/>
              <w:ind w:left="0" w:firstLine="0"/>
              <w:jc w:val="both"/>
              <w:rPr>
                <w:i/>
                <w:iCs/>
                <w:lang w:val="fr-FR"/>
              </w:rPr>
            </w:pPr>
            <w:r w:rsidRPr="00710118">
              <w:rPr>
                <w:i/>
                <w:iCs/>
                <w:lang w:val="fr-FR"/>
              </w:rPr>
              <w:t>Transfert de la Liste de sauvegarde urgente vers la Liste représentative (cycle normal)</w:t>
            </w:r>
          </w:p>
          <w:p w14:paraId="09B9C843" w14:textId="77777777" w:rsidR="002803B8" w:rsidRPr="00710118" w:rsidRDefault="002803B8" w:rsidP="002803B8">
            <w:pPr>
              <w:pStyle w:val="1GAPara"/>
              <w:numPr>
                <w:ilvl w:val="0"/>
                <w:numId w:val="20"/>
              </w:numPr>
              <w:ind w:left="425" w:hanging="425"/>
              <w:jc w:val="both"/>
              <w:rPr>
                <w:lang w:val="fr-FR"/>
              </w:rPr>
            </w:pPr>
            <w:r w:rsidRPr="00710118">
              <w:rPr>
                <w:lang w:val="fr-FR"/>
              </w:rPr>
              <w:t>Le processus est initié par l’/les État(s) partie(s) avec le consentement des communautés, groupes et, le cas échéant, des individus concernés.</w:t>
            </w:r>
          </w:p>
          <w:p w14:paraId="37445E40" w14:textId="77777777" w:rsidR="002803B8" w:rsidRPr="00710118" w:rsidRDefault="002803B8" w:rsidP="002803B8">
            <w:pPr>
              <w:pStyle w:val="1GAPara"/>
              <w:numPr>
                <w:ilvl w:val="0"/>
                <w:numId w:val="20"/>
              </w:numPr>
              <w:ind w:left="425" w:hanging="425"/>
              <w:jc w:val="both"/>
              <w:rPr>
                <w:lang w:val="fr-FR"/>
              </w:rPr>
            </w:pPr>
            <w:r w:rsidRPr="00710118">
              <w:rPr>
                <w:lang w:val="fr-FR"/>
              </w:rPr>
              <w:t>Étant donné l’importance du plan de sauvegarde et de son évaluation régulière par le biais du mécanisme des rapports périodiques, le rapport périodique de la Liste de sauvegarde urgente devient le mécanisme à travers lequel l’/les État(s) partie(s) peut/peuvent déclencher un transfert vers la Liste représentative.</w:t>
            </w:r>
          </w:p>
          <w:p w14:paraId="54E081A9" w14:textId="77777777" w:rsidR="002803B8" w:rsidRPr="00710118" w:rsidRDefault="002803B8" w:rsidP="002803B8">
            <w:pPr>
              <w:pStyle w:val="1GAPara"/>
              <w:numPr>
                <w:ilvl w:val="0"/>
                <w:numId w:val="20"/>
              </w:numPr>
              <w:ind w:left="425" w:hanging="425"/>
              <w:jc w:val="both"/>
              <w:rPr>
                <w:lang w:val="fr-FR"/>
              </w:rPr>
            </w:pPr>
            <w:r w:rsidRPr="00710118">
              <w:rPr>
                <w:lang w:val="fr-FR"/>
              </w:rPr>
              <w:t>L’/Les État(s) partie(s) soumettra(ont) le formulaire de demande de transfert avec le rapport périodique concernant l’élément en question.</w:t>
            </w:r>
          </w:p>
          <w:p w14:paraId="43DB0404" w14:textId="77777777" w:rsidR="002803B8" w:rsidRPr="00710118" w:rsidRDefault="002803B8" w:rsidP="002803B8">
            <w:pPr>
              <w:pStyle w:val="1GAPara"/>
              <w:numPr>
                <w:ilvl w:val="0"/>
                <w:numId w:val="20"/>
              </w:numPr>
              <w:ind w:left="425" w:hanging="425"/>
              <w:jc w:val="both"/>
              <w:rPr>
                <w:lang w:val="fr-FR"/>
              </w:rPr>
            </w:pPr>
            <w:r w:rsidRPr="00710118">
              <w:rPr>
                <w:lang w:val="fr-FR"/>
              </w:rPr>
              <w:t xml:space="preserve">Lors de sa soumission, le dossier de transfert est inclus dans le prochain cycle normal de candidature actuellement en vigueur, évalué par l’Organe d’évaluation et examiné par le Comité. </w:t>
            </w:r>
          </w:p>
          <w:p w14:paraId="4435DC34" w14:textId="77777777" w:rsidR="002803B8" w:rsidRPr="00710118" w:rsidRDefault="002803B8" w:rsidP="002803B8">
            <w:pPr>
              <w:pStyle w:val="1GAPara"/>
              <w:numPr>
                <w:ilvl w:val="0"/>
                <w:numId w:val="20"/>
              </w:numPr>
              <w:ind w:left="425" w:hanging="425"/>
              <w:jc w:val="both"/>
              <w:rPr>
                <w:lang w:val="fr-FR"/>
              </w:rPr>
            </w:pPr>
            <w:r w:rsidRPr="00710118">
              <w:rPr>
                <w:lang w:val="fr-FR"/>
              </w:rPr>
              <w:t>Un formulaire de transfert léger est créé. Il se concentre sur : (a) une description actualisée de l’élément expliquant les changements intervenus pour l’élément depuis son inscription, (b) le niveau actuel de viabilité et la description des menaces, (c) les résultats de la mise en œuvre du plan de sauvegarde et (d) le consentement de la communauté par le biais de documents écrits ou de contenus audio-visuels.</w:t>
            </w:r>
          </w:p>
        </w:tc>
      </w:tr>
      <w:tr w:rsidR="002803B8" w:rsidRPr="005641C5" w14:paraId="37798863" w14:textId="77777777" w:rsidTr="00212E43">
        <w:trPr>
          <w:trHeight w:val="693"/>
        </w:trPr>
        <w:tc>
          <w:tcPr>
            <w:tcW w:w="1284" w:type="dxa"/>
            <w:vMerge/>
          </w:tcPr>
          <w:p w14:paraId="77294DF0" w14:textId="77777777" w:rsidR="002803B8" w:rsidRPr="00710118" w:rsidRDefault="002803B8" w:rsidP="00063F10">
            <w:pPr>
              <w:pStyle w:val="1GAPara"/>
              <w:ind w:left="0" w:firstLine="0"/>
              <w:jc w:val="both"/>
              <w:rPr>
                <w:b/>
                <w:bCs/>
                <w:lang w:val="fr-FR"/>
              </w:rPr>
            </w:pPr>
          </w:p>
        </w:tc>
        <w:tc>
          <w:tcPr>
            <w:tcW w:w="7782" w:type="dxa"/>
            <w:shd w:val="clear" w:color="auto" w:fill="FDE9D9" w:themeFill="accent6" w:themeFillTint="33"/>
          </w:tcPr>
          <w:p w14:paraId="069FFA0F" w14:textId="77777777" w:rsidR="002803B8" w:rsidRPr="00710118" w:rsidRDefault="002803B8" w:rsidP="00063F10">
            <w:pPr>
              <w:pStyle w:val="1GAPara"/>
              <w:spacing w:before="120"/>
              <w:ind w:left="0" w:firstLine="0"/>
              <w:jc w:val="both"/>
              <w:rPr>
                <w:i/>
                <w:iCs/>
                <w:lang w:val="fr-FR"/>
              </w:rPr>
            </w:pPr>
            <w:r w:rsidRPr="00710118">
              <w:rPr>
                <w:i/>
                <w:iCs/>
                <w:lang w:val="fr-FR"/>
              </w:rPr>
              <w:t>Transfert de la Liste représentative vers la Liste de sauvegarde urgente (cycle réduit)</w:t>
            </w:r>
          </w:p>
          <w:p w14:paraId="4248CD51" w14:textId="77777777" w:rsidR="002803B8" w:rsidRPr="00710118" w:rsidRDefault="002803B8" w:rsidP="002803B8">
            <w:pPr>
              <w:pStyle w:val="1GAPara"/>
              <w:numPr>
                <w:ilvl w:val="0"/>
                <w:numId w:val="20"/>
              </w:numPr>
              <w:ind w:left="425" w:hanging="425"/>
              <w:jc w:val="both"/>
              <w:rPr>
                <w:lang w:val="fr-FR"/>
              </w:rPr>
            </w:pPr>
            <w:r w:rsidRPr="00710118">
              <w:rPr>
                <w:lang w:val="fr-FR"/>
              </w:rPr>
              <w:t>L’/Les État(s) partie(s) lance(nt) le processus avec le consentement des communautés, groupes et, le cas échéant, des individus concernés.</w:t>
            </w:r>
          </w:p>
          <w:p w14:paraId="7DF97B48" w14:textId="77777777" w:rsidR="002803B8" w:rsidRPr="00710118" w:rsidRDefault="002803B8" w:rsidP="002803B8">
            <w:pPr>
              <w:pStyle w:val="1GAPara"/>
              <w:numPr>
                <w:ilvl w:val="0"/>
                <w:numId w:val="20"/>
              </w:numPr>
              <w:ind w:left="425" w:hanging="425"/>
              <w:jc w:val="both"/>
              <w:rPr>
                <w:lang w:val="fr-FR"/>
              </w:rPr>
            </w:pPr>
            <w:r w:rsidRPr="00710118">
              <w:rPr>
                <w:lang w:val="fr-FR"/>
              </w:rPr>
              <w:t>L’/Les État(s) partie(s) soumet(</w:t>
            </w:r>
            <w:proofErr w:type="spellStart"/>
            <w:r w:rsidRPr="00710118">
              <w:rPr>
                <w:lang w:val="fr-FR"/>
              </w:rPr>
              <w:t>tent</w:t>
            </w:r>
            <w:proofErr w:type="spellEnd"/>
            <w:r w:rsidRPr="00710118">
              <w:rPr>
                <w:lang w:val="fr-FR"/>
              </w:rPr>
              <w:t>) la demande de transfert avant une nouvelle date limite statutaire fixée au 31 janvier. Le Secrétariat enregistre la demande.</w:t>
            </w:r>
          </w:p>
          <w:p w14:paraId="66FB77B5" w14:textId="77777777" w:rsidR="002803B8" w:rsidRPr="00710118" w:rsidRDefault="002803B8" w:rsidP="002803B8">
            <w:pPr>
              <w:pStyle w:val="1GAPara"/>
              <w:numPr>
                <w:ilvl w:val="0"/>
                <w:numId w:val="20"/>
              </w:numPr>
              <w:ind w:left="425" w:hanging="425"/>
              <w:jc w:val="both"/>
              <w:rPr>
                <w:lang w:val="fr-FR"/>
              </w:rPr>
            </w:pPr>
            <w:r w:rsidRPr="00710118">
              <w:rPr>
                <w:lang w:val="fr-FR"/>
              </w:rPr>
              <w:t>Le dossier de transfert est transmis à l’Organe d’évaluation la même année que sa soumission, sans vérification de complétude technique.</w:t>
            </w:r>
          </w:p>
          <w:p w14:paraId="582C5303" w14:textId="77777777" w:rsidR="002803B8" w:rsidRPr="00710118" w:rsidRDefault="002803B8" w:rsidP="002803B8">
            <w:pPr>
              <w:pStyle w:val="1GAPara"/>
              <w:numPr>
                <w:ilvl w:val="0"/>
                <w:numId w:val="20"/>
              </w:numPr>
              <w:ind w:left="425" w:hanging="425"/>
              <w:jc w:val="both"/>
              <w:rPr>
                <w:lang w:val="fr-FR"/>
              </w:rPr>
            </w:pPr>
            <w:r w:rsidRPr="00710118">
              <w:rPr>
                <w:lang w:val="fr-FR"/>
              </w:rPr>
              <w:lastRenderedPageBreak/>
              <w:t>Un formulaire de transfert léger est créé. Il se concentre sur : (a) une description actualisée de l’élément incluant une justification de la nécessité de sauvegarde urgente, (b) un plan de sauvegarde, y compris l’expression éventuelle d’un besoin d’assistance internationale pour soutenir sa mise en œuvre et (c) le consentement de la communauté par le biais de documents écrits ou de contenus audio-visuels.</w:t>
            </w:r>
          </w:p>
        </w:tc>
      </w:tr>
      <w:tr w:rsidR="002803B8" w:rsidRPr="005641C5" w14:paraId="58C069CC" w14:textId="77777777" w:rsidTr="00063F10">
        <w:trPr>
          <w:trHeight w:val="2125"/>
        </w:trPr>
        <w:tc>
          <w:tcPr>
            <w:tcW w:w="1284" w:type="dxa"/>
            <w:vMerge w:val="restart"/>
          </w:tcPr>
          <w:p w14:paraId="4C71FFD4" w14:textId="77777777" w:rsidR="002803B8" w:rsidRPr="00710118" w:rsidRDefault="002803B8" w:rsidP="00063F10">
            <w:pPr>
              <w:pStyle w:val="1GAPara"/>
              <w:ind w:left="0" w:firstLine="0"/>
              <w:jc w:val="both"/>
              <w:rPr>
                <w:b/>
                <w:bCs/>
                <w:lang w:val="fr-FR"/>
              </w:rPr>
            </w:pPr>
            <w:r w:rsidRPr="00710118">
              <w:rPr>
                <w:b/>
                <w:bCs/>
                <w:lang w:val="fr-FR"/>
              </w:rPr>
              <w:lastRenderedPageBreak/>
              <w:t>Étape 2</w:t>
            </w:r>
          </w:p>
        </w:tc>
        <w:tc>
          <w:tcPr>
            <w:tcW w:w="7782" w:type="dxa"/>
          </w:tcPr>
          <w:p w14:paraId="4C7034E4" w14:textId="77777777" w:rsidR="002803B8" w:rsidRPr="00710118" w:rsidRDefault="002803B8" w:rsidP="00063F10">
            <w:pPr>
              <w:pStyle w:val="1GAPara"/>
              <w:ind w:left="0" w:firstLine="0"/>
              <w:jc w:val="both"/>
              <w:rPr>
                <w:b/>
                <w:bCs/>
                <w:lang w:val="fr-FR"/>
              </w:rPr>
            </w:pPr>
            <w:r w:rsidRPr="00710118">
              <w:rPr>
                <w:b/>
                <w:bCs/>
                <w:lang w:val="fr-FR"/>
              </w:rPr>
              <w:t>Évaluation</w:t>
            </w:r>
          </w:p>
          <w:p w14:paraId="07A9F69C" w14:textId="77777777" w:rsidR="002803B8" w:rsidRPr="00710118" w:rsidRDefault="002803B8" w:rsidP="002803B8">
            <w:pPr>
              <w:pStyle w:val="1GAPara"/>
              <w:numPr>
                <w:ilvl w:val="0"/>
                <w:numId w:val="20"/>
              </w:numPr>
              <w:ind w:left="425" w:hanging="425"/>
              <w:jc w:val="both"/>
              <w:rPr>
                <w:lang w:val="fr-FR"/>
              </w:rPr>
            </w:pPr>
            <w:r w:rsidRPr="00710118">
              <w:rPr>
                <w:lang w:val="fr-FR"/>
              </w:rPr>
              <w:t>La demande de transfert est évaluée par trois membres de l’Organe d’évaluation identifiés par l’Organe d’évaluation lui-même (parmi les trois, il y aura au moins un membre de la région concernée, au moins une ONG accréditée et au moins un expert individuel), qui effectuent une évaluation initiale. Cette dernière est ensuite débattue collectivement par tous les membres de l’Organe d’évaluation.</w:t>
            </w:r>
          </w:p>
          <w:p w14:paraId="1E6661BE" w14:textId="77777777" w:rsidR="002803B8" w:rsidRPr="00710118" w:rsidRDefault="002803B8" w:rsidP="002803B8">
            <w:pPr>
              <w:pStyle w:val="1GAPara"/>
              <w:numPr>
                <w:ilvl w:val="0"/>
                <w:numId w:val="20"/>
              </w:numPr>
              <w:ind w:left="425" w:hanging="425"/>
              <w:jc w:val="both"/>
              <w:rPr>
                <w:lang w:val="fr-FR"/>
              </w:rPr>
            </w:pPr>
            <w:r w:rsidRPr="00710118">
              <w:rPr>
                <w:lang w:val="fr-FR"/>
              </w:rPr>
              <w:t xml:space="preserve">Pour chaque type de transfert, l’évaluation de la conformité de la demande de transfert est basée sur un nombre réduit de critères, comme indiqué ci-après : </w:t>
            </w:r>
          </w:p>
        </w:tc>
      </w:tr>
      <w:tr w:rsidR="002803B8" w:rsidRPr="005641C5" w14:paraId="2CF70509" w14:textId="77777777" w:rsidTr="00063F10">
        <w:trPr>
          <w:trHeight w:val="384"/>
        </w:trPr>
        <w:tc>
          <w:tcPr>
            <w:tcW w:w="1284" w:type="dxa"/>
            <w:vMerge/>
          </w:tcPr>
          <w:p w14:paraId="68A7A4A7" w14:textId="77777777" w:rsidR="002803B8" w:rsidRPr="00710118" w:rsidRDefault="002803B8" w:rsidP="00063F10">
            <w:pPr>
              <w:pStyle w:val="1GAPara"/>
              <w:ind w:left="0" w:firstLine="0"/>
              <w:jc w:val="both"/>
              <w:rPr>
                <w:lang w:val="fr-FR"/>
              </w:rPr>
            </w:pPr>
          </w:p>
        </w:tc>
        <w:tc>
          <w:tcPr>
            <w:tcW w:w="7782" w:type="dxa"/>
            <w:shd w:val="clear" w:color="auto" w:fill="DBE5F1" w:themeFill="accent1" w:themeFillTint="33"/>
          </w:tcPr>
          <w:p w14:paraId="026489F1" w14:textId="77777777" w:rsidR="002803B8" w:rsidRPr="00710118" w:rsidRDefault="002803B8" w:rsidP="00063F10">
            <w:pPr>
              <w:pStyle w:val="1GAPara"/>
              <w:spacing w:before="120"/>
              <w:ind w:left="0" w:firstLine="0"/>
              <w:jc w:val="both"/>
              <w:rPr>
                <w:i/>
                <w:iCs/>
                <w:lang w:val="fr-FR"/>
              </w:rPr>
            </w:pPr>
            <w:r w:rsidRPr="00710118">
              <w:rPr>
                <w:i/>
                <w:iCs/>
                <w:lang w:val="fr-FR"/>
              </w:rPr>
              <w:t>Transfert de la Liste de sauvegarde urgente vers la Liste représentative (cycle normal)</w:t>
            </w:r>
          </w:p>
          <w:p w14:paraId="660C8BE9" w14:textId="77777777" w:rsidR="002803B8" w:rsidRPr="00710118" w:rsidRDefault="002803B8" w:rsidP="002803B8">
            <w:pPr>
              <w:pStyle w:val="1GAPara"/>
              <w:numPr>
                <w:ilvl w:val="0"/>
                <w:numId w:val="20"/>
              </w:numPr>
              <w:ind w:left="425" w:hanging="425"/>
              <w:jc w:val="both"/>
              <w:rPr>
                <w:lang w:val="fr-FR"/>
              </w:rPr>
            </w:pPr>
            <w:r w:rsidRPr="00710118">
              <w:rPr>
                <w:lang w:val="fr-FR"/>
              </w:rPr>
              <w:t>Critère R.1 : Description actualisée de l’élément concernant les changements dans la viabilité de l’élément en relation avec le critère d’origine U.2.</w:t>
            </w:r>
          </w:p>
          <w:p w14:paraId="0A604DAE" w14:textId="77777777" w:rsidR="002803B8" w:rsidRPr="00710118" w:rsidRDefault="002803B8" w:rsidP="002803B8">
            <w:pPr>
              <w:pStyle w:val="1GAPara"/>
              <w:numPr>
                <w:ilvl w:val="0"/>
                <w:numId w:val="20"/>
              </w:numPr>
              <w:ind w:left="425" w:hanging="425"/>
              <w:jc w:val="both"/>
              <w:rPr>
                <w:lang w:val="fr-FR"/>
              </w:rPr>
            </w:pPr>
            <w:r w:rsidRPr="00710118">
              <w:rPr>
                <w:lang w:val="fr-FR"/>
              </w:rPr>
              <w:t>Critère R.2 : Démonstration de la contribution des éléments proposés au respect mutuel et au dialogue entre communautés, groupes et, le cas échéant, individus, et indication de la contribution de l’élément au développement durable.</w:t>
            </w:r>
          </w:p>
          <w:p w14:paraId="2B90C323" w14:textId="77777777" w:rsidR="002803B8" w:rsidRPr="00710118" w:rsidRDefault="002803B8" w:rsidP="002803B8">
            <w:pPr>
              <w:pStyle w:val="1GAPara"/>
              <w:numPr>
                <w:ilvl w:val="0"/>
                <w:numId w:val="20"/>
              </w:numPr>
              <w:ind w:left="425" w:hanging="425"/>
              <w:jc w:val="both"/>
              <w:rPr>
                <w:lang w:val="fr-FR"/>
              </w:rPr>
            </w:pPr>
            <w:r w:rsidRPr="00710118">
              <w:rPr>
                <w:lang w:val="fr-FR"/>
              </w:rPr>
              <w:t>Critère R.3 : Évaluation de la mise en œuvre du plan de sauvegarde décrit sous le critère d’origine U.3 et des mesures de sauvegarde prévues pour le futur.</w:t>
            </w:r>
          </w:p>
          <w:p w14:paraId="6B9ACEA8" w14:textId="77777777" w:rsidR="002803B8" w:rsidRPr="00710118" w:rsidRDefault="002803B8" w:rsidP="002803B8">
            <w:pPr>
              <w:pStyle w:val="1GAPara"/>
              <w:numPr>
                <w:ilvl w:val="0"/>
                <w:numId w:val="20"/>
              </w:numPr>
              <w:ind w:left="425" w:hanging="425"/>
              <w:jc w:val="both"/>
              <w:rPr>
                <w:lang w:val="fr-FR"/>
              </w:rPr>
            </w:pPr>
            <w:r w:rsidRPr="00710118">
              <w:rPr>
                <w:lang w:val="fr-FR"/>
              </w:rPr>
              <w:t xml:space="preserve">Critère R.4 : Consentement des communautés, groupes et, le cas échéant, individus concernés ayant accepté l’inscription sur la </w:t>
            </w:r>
            <w:r w:rsidRPr="00710118">
              <w:rPr>
                <w:iCs/>
                <w:lang w:val="fr-FR"/>
              </w:rPr>
              <w:t>Liste de sauvegarde urgente</w:t>
            </w:r>
            <w:r w:rsidRPr="00710118">
              <w:rPr>
                <w:lang w:val="fr-FR"/>
              </w:rPr>
              <w:t>.</w:t>
            </w:r>
          </w:p>
        </w:tc>
      </w:tr>
      <w:tr w:rsidR="002803B8" w:rsidRPr="005641C5" w14:paraId="015DC99D" w14:textId="77777777" w:rsidTr="00063F10">
        <w:trPr>
          <w:trHeight w:val="384"/>
        </w:trPr>
        <w:tc>
          <w:tcPr>
            <w:tcW w:w="1284" w:type="dxa"/>
            <w:vMerge/>
          </w:tcPr>
          <w:p w14:paraId="1B88E371" w14:textId="77777777" w:rsidR="002803B8" w:rsidRPr="00710118" w:rsidRDefault="002803B8" w:rsidP="00063F10">
            <w:pPr>
              <w:pStyle w:val="1GAPara"/>
              <w:ind w:left="0" w:firstLine="0"/>
              <w:jc w:val="both"/>
              <w:rPr>
                <w:lang w:val="fr-FR"/>
              </w:rPr>
            </w:pPr>
          </w:p>
        </w:tc>
        <w:tc>
          <w:tcPr>
            <w:tcW w:w="7782" w:type="dxa"/>
            <w:shd w:val="clear" w:color="auto" w:fill="FDE9D9" w:themeFill="accent6" w:themeFillTint="33"/>
          </w:tcPr>
          <w:p w14:paraId="6D8A303A" w14:textId="77777777" w:rsidR="002803B8" w:rsidRPr="00710118" w:rsidRDefault="002803B8" w:rsidP="00063F10">
            <w:pPr>
              <w:pStyle w:val="1GAPara"/>
              <w:keepNext/>
              <w:spacing w:before="240"/>
              <w:ind w:left="0" w:firstLine="0"/>
              <w:jc w:val="both"/>
              <w:rPr>
                <w:i/>
                <w:iCs/>
                <w:lang w:val="fr-FR"/>
              </w:rPr>
            </w:pPr>
            <w:r w:rsidRPr="00710118">
              <w:rPr>
                <w:i/>
                <w:iCs/>
                <w:lang w:val="fr-FR"/>
              </w:rPr>
              <w:t>Transfert de la Liste représentative vers la Liste de sauvegarde urgente (cycle réduit)</w:t>
            </w:r>
          </w:p>
          <w:p w14:paraId="69691A87" w14:textId="77777777" w:rsidR="002803B8" w:rsidRPr="00710118" w:rsidRDefault="002803B8" w:rsidP="002803B8">
            <w:pPr>
              <w:pStyle w:val="1GAPara"/>
              <w:numPr>
                <w:ilvl w:val="0"/>
                <w:numId w:val="20"/>
              </w:numPr>
              <w:ind w:left="425" w:hanging="425"/>
              <w:jc w:val="both"/>
              <w:rPr>
                <w:lang w:val="fr-FR"/>
              </w:rPr>
            </w:pPr>
            <w:r w:rsidRPr="00710118">
              <w:rPr>
                <w:lang w:val="fr-FR"/>
              </w:rPr>
              <w:t>Critère U.1 : Description actualisée de l’élément incluant une justification de la nécessité d’une sauvegarde urgente.</w:t>
            </w:r>
          </w:p>
          <w:p w14:paraId="002B97D2" w14:textId="77777777" w:rsidR="002803B8" w:rsidRPr="00710118" w:rsidRDefault="002803B8" w:rsidP="002803B8">
            <w:pPr>
              <w:pStyle w:val="1GAPara"/>
              <w:numPr>
                <w:ilvl w:val="0"/>
                <w:numId w:val="20"/>
              </w:numPr>
              <w:ind w:left="425" w:hanging="425"/>
              <w:jc w:val="both"/>
              <w:rPr>
                <w:lang w:val="fr-FR"/>
              </w:rPr>
            </w:pPr>
            <w:r w:rsidRPr="00710118">
              <w:rPr>
                <w:lang w:val="fr-FR"/>
              </w:rPr>
              <w:t>Critère U.3 : Plan de sauvegarde adéquat et conformité aux critères de l’assistance internationale (si une telle assistance est demandée). L’assistance internationale peut mener à la révision du plan de sauvegarde si ce dernier n’est pas jugée entièrement adéquat pour répondre aux menaces identifiées.</w:t>
            </w:r>
          </w:p>
          <w:p w14:paraId="236C008C" w14:textId="77777777" w:rsidR="002803B8" w:rsidRPr="00710118" w:rsidRDefault="002803B8" w:rsidP="002803B8">
            <w:pPr>
              <w:pStyle w:val="1GAPara"/>
              <w:numPr>
                <w:ilvl w:val="0"/>
                <w:numId w:val="20"/>
              </w:numPr>
              <w:ind w:left="425" w:hanging="425"/>
              <w:jc w:val="both"/>
              <w:rPr>
                <w:lang w:val="fr-FR"/>
              </w:rPr>
            </w:pPr>
            <w:r w:rsidRPr="00710118">
              <w:rPr>
                <w:lang w:val="fr-FR"/>
              </w:rPr>
              <w:t xml:space="preserve">Critère U.4 : Consentement des communautés, groupes et, le cas échéant, individus concernés ayant approuvé l’inscription sur la </w:t>
            </w:r>
            <w:r w:rsidRPr="00710118">
              <w:rPr>
                <w:iCs/>
                <w:lang w:val="fr-FR"/>
              </w:rPr>
              <w:t>Liste r</w:t>
            </w:r>
            <w:r w:rsidRPr="00710118">
              <w:rPr>
                <w:lang w:val="fr-FR"/>
              </w:rPr>
              <w:t>eprésentative.</w:t>
            </w:r>
          </w:p>
        </w:tc>
      </w:tr>
      <w:tr w:rsidR="002803B8" w:rsidRPr="005641C5" w14:paraId="5C5BAC4C" w14:textId="77777777" w:rsidTr="00063F10">
        <w:trPr>
          <w:trHeight w:val="384"/>
        </w:trPr>
        <w:tc>
          <w:tcPr>
            <w:tcW w:w="1284" w:type="dxa"/>
            <w:vMerge/>
          </w:tcPr>
          <w:p w14:paraId="060C4A3B" w14:textId="77777777" w:rsidR="002803B8" w:rsidRPr="00710118" w:rsidRDefault="002803B8" w:rsidP="00063F10">
            <w:pPr>
              <w:pStyle w:val="1GAPara"/>
              <w:ind w:left="0" w:firstLine="0"/>
              <w:jc w:val="both"/>
              <w:rPr>
                <w:lang w:val="fr-FR"/>
              </w:rPr>
            </w:pPr>
          </w:p>
        </w:tc>
        <w:tc>
          <w:tcPr>
            <w:tcW w:w="7782" w:type="dxa"/>
            <w:shd w:val="clear" w:color="auto" w:fill="EAF1DD" w:themeFill="accent3" w:themeFillTint="33"/>
          </w:tcPr>
          <w:p w14:paraId="208863C6" w14:textId="77777777" w:rsidR="002803B8" w:rsidRPr="00710118" w:rsidRDefault="002803B8" w:rsidP="00063F10">
            <w:pPr>
              <w:pStyle w:val="1GAPara"/>
              <w:spacing w:before="120"/>
              <w:ind w:left="0" w:firstLine="0"/>
              <w:jc w:val="both"/>
              <w:rPr>
                <w:i/>
                <w:iCs/>
                <w:lang w:val="fr-FR"/>
              </w:rPr>
            </w:pPr>
            <w:r w:rsidRPr="00710118">
              <w:rPr>
                <w:i/>
                <w:iCs/>
                <w:lang w:val="fr-FR"/>
              </w:rPr>
              <w:t>Inclusion dans le Registre de bonnes pratiques de sauvegarde</w:t>
            </w:r>
          </w:p>
          <w:p w14:paraId="2B685398" w14:textId="77777777" w:rsidR="002803B8" w:rsidRPr="00710118" w:rsidRDefault="002803B8" w:rsidP="002803B8">
            <w:pPr>
              <w:pStyle w:val="1GAPara"/>
              <w:numPr>
                <w:ilvl w:val="0"/>
                <w:numId w:val="20"/>
              </w:numPr>
              <w:ind w:left="425" w:hanging="425"/>
              <w:jc w:val="both"/>
              <w:rPr>
                <w:b/>
                <w:bCs/>
                <w:lang w:val="fr-FR"/>
              </w:rPr>
            </w:pPr>
            <w:proofErr w:type="gramStart"/>
            <w:r w:rsidRPr="00710118">
              <w:rPr>
                <w:lang w:val="fr-FR"/>
              </w:rPr>
              <w:t>Suite à</w:t>
            </w:r>
            <w:proofErr w:type="gramEnd"/>
            <w:r w:rsidRPr="00710118">
              <w:rPr>
                <w:lang w:val="fr-FR"/>
              </w:rPr>
              <w:t xml:space="preserve"> son évaluation de la demande de transfert depuis la Liste de sauvegarde urgente vers la Liste représentative, l’Organe d’évaluation peut recommander d’inclure l’expérience de sauvegarde probante décrite </w:t>
            </w:r>
            <w:r w:rsidRPr="00710118">
              <w:rPr>
                <w:lang w:val="fr-FR"/>
              </w:rPr>
              <w:lastRenderedPageBreak/>
              <w:t>dans la demande de transfert, dans le Registre de bonnes pratiques de sauvegarde. Dans ce cas, un membre de l’Organe d’évaluation élabore la justification sur la base des critères, cette justification devant ensuite être confirmée par l’État partie et par les communautés, groupes et, le cas échéant, individus concernés.</w:t>
            </w:r>
          </w:p>
        </w:tc>
      </w:tr>
      <w:tr w:rsidR="002803B8" w:rsidRPr="005641C5" w14:paraId="1735C4CA" w14:textId="77777777" w:rsidTr="00063F10">
        <w:trPr>
          <w:trHeight w:val="756"/>
        </w:trPr>
        <w:tc>
          <w:tcPr>
            <w:tcW w:w="1284" w:type="dxa"/>
            <w:vMerge w:val="restart"/>
          </w:tcPr>
          <w:p w14:paraId="43EDB909" w14:textId="77777777" w:rsidR="002803B8" w:rsidRPr="00710118" w:rsidRDefault="002803B8" w:rsidP="00063F10">
            <w:pPr>
              <w:pStyle w:val="1GAPara"/>
              <w:ind w:left="0" w:firstLine="0"/>
              <w:jc w:val="both"/>
              <w:rPr>
                <w:b/>
                <w:bCs/>
                <w:lang w:val="fr-FR"/>
              </w:rPr>
            </w:pPr>
            <w:r w:rsidRPr="00710118">
              <w:rPr>
                <w:b/>
                <w:bCs/>
                <w:lang w:val="fr-FR"/>
              </w:rPr>
              <w:lastRenderedPageBreak/>
              <w:t>Étape 3</w:t>
            </w:r>
          </w:p>
        </w:tc>
        <w:tc>
          <w:tcPr>
            <w:tcW w:w="7782" w:type="dxa"/>
          </w:tcPr>
          <w:p w14:paraId="11E07320" w14:textId="77777777" w:rsidR="002803B8" w:rsidRPr="00710118" w:rsidRDefault="002803B8" w:rsidP="00063F10">
            <w:pPr>
              <w:pStyle w:val="1GAPara"/>
              <w:ind w:left="0" w:firstLine="0"/>
              <w:jc w:val="both"/>
              <w:rPr>
                <w:b/>
                <w:bCs/>
                <w:lang w:val="fr-FR"/>
              </w:rPr>
            </w:pPr>
            <w:r w:rsidRPr="00710118">
              <w:rPr>
                <w:b/>
                <w:bCs/>
                <w:lang w:val="fr-FR"/>
              </w:rPr>
              <w:t>Examen</w:t>
            </w:r>
          </w:p>
          <w:p w14:paraId="6AAD58D5" w14:textId="77777777" w:rsidR="002803B8" w:rsidRPr="00710118" w:rsidRDefault="002803B8" w:rsidP="002803B8">
            <w:pPr>
              <w:pStyle w:val="1GAPara"/>
              <w:numPr>
                <w:ilvl w:val="0"/>
                <w:numId w:val="9"/>
              </w:numPr>
              <w:ind w:left="0"/>
              <w:jc w:val="both"/>
              <w:rPr>
                <w:b/>
                <w:bCs/>
                <w:lang w:val="fr-FR"/>
              </w:rPr>
            </w:pPr>
            <w:r w:rsidRPr="00710118">
              <w:rPr>
                <w:lang w:val="fr-FR"/>
              </w:rPr>
              <w:t>Le Comité examine la demande sur la base de la recommandation de l’Organe d’évaluation.</w:t>
            </w:r>
          </w:p>
        </w:tc>
      </w:tr>
      <w:tr w:rsidR="002803B8" w:rsidRPr="005641C5" w14:paraId="52CA49B0" w14:textId="77777777" w:rsidTr="00063F10">
        <w:trPr>
          <w:trHeight w:val="756"/>
        </w:trPr>
        <w:tc>
          <w:tcPr>
            <w:tcW w:w="1284" w:type="dxa"/>
            <w:vMerge/>
          </w:tcPr>
          <w:p w14:paraId="04CB31F5" w14:textId="77777777" w:rsidR="002803B8" w:rsidRPr="00710118" w:rsidRDefault="002803B8" w:rsidP="00063F10">
            <w:pPr>
              <w:pStyle w:val="1GAPara"/>
              <w:ind w:left="0" w:firstLine="0"/>
              <w:jc w:val="both"/>
              <w:rPr>
                <w:b/>
                <w:bCs/>
                <w:lang w:val="fr-FR"/>
              </w:rPr>
            </w:pPr>
          </w:p>
        </w:tc>
        <w:tc>
          <w:tcPr>
            <w:tcW w:w="7782" w:type="dxa"/>
            <w:shd w:val="clear" w:color="auto" w:fill="DBE5F1" w:themeFill="accent1" w:themeFillTint="33"/>
          </w:tcPr>
          <w:p w14:paraId="02483CCE" w14:textId="77777777" w:rsidR="002803B8" w:rsidRPr="00710118" w:rsidRDefault="002803B8" w:rsidP="00063F10">
            <w:pPr>
              <w:pStyle w:val="1GAPara"/>
              <w:spacing w:before="120"/>
              <w:ind w:left="0" w:firstLine="0"/>
              <w:jc w:val="both"/>
              <w:rPr>
                <w:i/>
                <w:iCs/>
                <w:lang w:val="fr-FR"/>
              </w:rPr>
            </w:pPr>
            <w:r w:rsidRPr="00710118">
              <w:rPr>
                <w:i/>
                <w:iCs/>
                <w:lang w:val="fr-FR"/>
              </w:rPr>
              <w:t>Transfert de la Liste de sauvegarde urgente vers la Liste représentative (cycle normal)</w:t>
            </w:r>
          </w:p>
          <w:p w14:paraId="2851522D" w14:textId="77777777" w:rsidR="002803B8" w:rsidRPr="00710118" w:rsidRDefault="002803B8" w:rsidP="002803B8">
            <w:pPr>
              <w:pStyle w:val="1GAPara"/>
              <w:numPr>
                <w:ilvl w:val="0"/>
                <w:numId w:val="20"/>
              </w:numPr>
              <w:ind w:left="425" w:hanging="425"/>
              <w:jc w:val="both"/>
              <w:rPr>
                <w:b/>
                <w:bCs/>
                <w:lang w:val="fr-FR"/>
              </w:rPr>
            </w:pPr>
            <w:r w:rsidRPr="00710118">
              <w:rPr>
                <w:lang w:val="fr-FR"/>
              </w:rPr>
              <w:t>La demande de transfert est examinée par le Comité dans le cycle suivant.</w:t>
            </w:r>
          </w:p>
        </w:tc>
      </w:tr>
      <w:tr w:rsidR="002803B8" w:rsidRPr="005641C5" w14:paraId="0020DC7A" w14:textId="77777777" w:rsidTr="00063F10">
        <w:trPr>
          <w:trHeight w:val="756"/>
        </w:trPr>
        <w:tc>
          <w:tcPr>
            <w:tcW w:w="1284" w:type="dxa"/>
            <w:vMerge/>
          </w:tcPr>
          <w:p w14:paraId="3579BE67" w14:textId="77777777" w:rsidR="002803B8" w:rsidRPr="00710118" w:rsidRDefault="002803B8" w:rsidP="00063F10">
            <w:pPr>
              <w:pStyle w:val="1GAPara"/>
              <w:ind w:left="0" w:firstLine="0"/>
              <w:jc w:val="both"/>
              <w:rPr>
                <w:b/>
                <w:bCs/>
                <w:lang w:val="fr-FR"/>
              </w:rPr>
            </w:pPr>
          </w:p>
        </w:tc>
        <w:tc>
          <w:tcPr>
            <w:tcW w:w="7782" w:type="dxa"/>
            <w:shd w:val="clear" w:color="auto" w:fill="F2DBDB" w:themeFill="accent2" w:themeFillTint="33"/>
          </w:tcPr>
          <w:p w14:paraId="1A8A4A9D" w14:textId="77777777" w:rsidR="002803B8" w:rsidRPr="00710118" w:rsidRDefault="002803B8" w:rsidP="00063F10">
            <w:pPr>
              <w:pStyle w:val="1GAPara"/>
              <w:keepNext/>
              <w:spacing w:before="120"/>
              <w:ind w:left="0" w:firstLine="0"/>
              <w:jc w:val="both"/>
              <w:rPr>
                <w:i/>
                <w:iCs/>
                <w:lang w:val="fr-FR"/>
              </w:rPr>
            </w:pPr>
            <w:r w:rsidRPr="00710118">
              <w:rPr>
                <w:i/>
                <w:iCs/>
                <w:lang w:val="fr-FR"/>
              </w:rPr>
              <w:t>Transfert de la Liste représentative vers la Liste de sauvegarde urgente (cycle réduit)</w:t>
            </w:r>
          </w:p>
          <w:p w14:paraId="465D30AB" w14:textId="77777777" w:rsidR="002803B8" w:rsidRPr="00710118" w:rsidRDefault="002803B8" w:rsidP="002803B8">
            <w:pPr>
              <w:pStyle w:val="1GAPara"/>
              <w:numPr>
                <w:ilvl w:val="0"/>
                <w:numId w:val="20"/>
              </w:numPr>
              <w:ind w:left="425" w:hanging="425"/>
              <w:jc w:val="both"/>
              <w:rPr>
                <w:b/>
                <w:bCs/>
                <w:lang w:val="fr-FR"/>
              </w:rPr>
            </w:pPr>
            <w:r w:rsidRPr="00710118">
              <w:rPr>
                <w:lang w:val="fr-FR"/>
              </w:rPr>
              <w:t>La demande de transfert est examinée par le Comité la même année de sa soumission par l’État partie et les communautés, groupes et, le cas échéant, les individus concernés.</w:t>
            </w:r>
          </w:p>
        </w:tc>
      </w:tr>
      <w:tr w:rsidR="002803B8" w:rsidRPr="005641C5" w14:paraId="1C256750" w14:textId="77777777" w:rsidTr="00063F10">
        <w:trPr>
          <w:trHeight w:val="756"/>
        </w:trPr>
        <w:tc>
          <w:tcPr>
            <w:tcW w:w="1284" w:type="dxa"/>
            <w:vMerge/>
          </w:tcPr>
          <w:p w14:paraId="07B6EB52" w14:textId="77777777" w:rsidR="002803B8" w:rsidRPr="00710118" w:rsidRDefault="002803B8" w:rsidP="00063F10">
            <w:pPr>
              <w:pStyle w:val="1GAPara"/>
              <w:ind w:left="0" w:firstLine="0"/>
              <w:jc w:val="both"/>
              <w:rPr>
                <w:b/>
                <w:bCs/>
                <w:lang w:val="fr-FR"/>
              </w:rPr>
            </w:pPr>
          </w:p>
        </w:tc>
        <w:tc>
          <w:tcPr>
            <w:tcW w:w="7782" w:type="dxa"/>
            <w:shd w:val="clear" w:color="auto" w:fill="EAF1DD" w:themeFill="accent3" w:themeFillTint="33"/>
          </w:tcPr>
          <w:p w14:paraId="0F6E68B5" w14:textId="77777777" w:rsidR="002803B8" w:rsidRPr="00710118" w:rsidRDefault="002803B8" w:rsidP="00063F10">
            <w:pPr>
              <w:pStyle w:val="1GAPara"/>
              <w:keepNext/>
              <w:spacing w:before="120"/>
              <w:ind w:left="0" w:firstLine="0"/>
              <w:jc w:val="both"/>
              <w:rPr>
                <w:i/>
                <w:iCs/>
                <w:lang w:val="fr-FR"/>
              </w:rPr>
            </w:pPr>
            <w:r w:rsidRPr="00710118">
              <w:rPr>
                <w:i/>
                <w:iCs/>
                <w:lang w:val="fr-FR"/>
              </w:rPr>
              <w:t>Inclusion dans le Registre de bonnes pratiques de sauvegarde</w:t>
            </w:r>
          </w:p>
          <w:p w14:paraId="19B3A749" w14:textId="77777777" w:rsidR="002803B8" w:rsidRPr="00710118" w:rsidRDefault="002803B8" w:rsidP="002803B8">
            <w:pPr>
              <w:pStyle w:val="1GAPara"/>
              <w:numPr>
                <w:ilvl w:val="0"/>
                <w:numId w:val="20"/>
              </w:numPr>
              <w:ind w:left="425" w:hanging="425"/>
              <w:jc w:val="both"/>
              <w:rPr>
                <w:i/>
                <w:iCs/>
                <w:lang w:val="fr-FR"/>
              </w:rPr>
            </w:pPr>
            <w:r w:rsidRPr="00710118">
              <w:rPr>
                <w:lang w:val="fr-FR"/>
              </w:rPr>
              <w:t>La justification basée sur les critères élaborée par un membre de l’Organe d’évaluation, après approbation par l’État partie concerné, est examinée par le Comité l’année suivant la soumission par l’État partie de la demande de transfert.</w:t>
            </w:r>
          </w:p>
        </w:tc>
      </w:tr>
    </w:tbl>
    <w:p w14:paraId="61F92457" w14:textId="77777777" w:rsidR="002803B8" w:rsidRPr="00710118" w:rsidRDefault="002803B8" w:rsidP="002803B8">
      <w:pPr>
        <w:ind w:left="567"/>
        <w:jc w:val="both"/>
        <w:rPr>
          <w:rFonts w:asciiTheme="minorBidi" w:hAnsiTheme="minorBidi" w:cstheme="minorBidi"/>
          <w:szCs w:val="22"/>
        </w:rPr>
      </w:pPr>
      <w:r w:rsidRPr="00710118">
        <w:rPr>
          <w:rFonts w:asciiTheme="minorBidi" w:hAnsiTheme="minorBidi" w:cstheme="minorBidi"/>
          <w:szCs w:val="22"/>
        </w:rPr>
        <w:t xml:space="preserve">* Prend également note des implications budgétaires telles qu’indiquées dans le document </w:t>
      </w:r>
      <w:hyperlink r:id="rId48" w:history="1">
        <w:r w:rsidRPr="00710118">
          <w:rPr>
            <w:rStyle w:val="Lienhypertexte"/>
            <w:rFonts w:asciiTheme="minorBidi" w:hAnsiTheme="minorBidi" w:cstheme="minorBidi"/>
            <w:szCs w:val="22"/>
          </w:rPr>
          <w:t>LHE/21/16.COM WG/6</w:t>
        </w:r>
      </w:hyperlink>
      <w:r w:rsidRPr="00710118">
        <w:rPr>
          <w:rFonts w:asciiTheme="minorBidi" w:hAnsiTheme="minorBidi" w:cstheme="minorBidi"/>
          <w:szCs w:val="22"/>
        </w:rPr>
        <w:t>.</w:t>
      </w:r>
    </w:p>
    <w:p w14:paraId="2DF40F9C" w14:textId="77777777" w:rsidR="002803B8" w:rsidRPr="00710118" w:rsidRDefault="002803B8" w:rsidP="002803B8">
      <w:pPr>
        <w:numPr>
          <w:ilvl w:val="0"/>
          <w:numId w:val="19"/>
        </w:numPr>
        <w:spacing w:before="240" w:after="120"/>
        <w:ind w:left="567" w:hanging="567"/>
        <w:jc w:val="both"/>
        <w:rPr>
          <w:rFonts w:ascii="Arial" w:hAnsi="Arial" w:cs="Arial"/>
          <w:snapToGrid w:val="0"/>
          <w:szCs w:val="22"/>
        </w:rPr>
      </w:pPr>
      <w:r w:rsidRPr="00710118">
        <w:rPr>
          <w:rFonts w:asciiTheme="minorBidi" w:hAnsiTheme="minorBidi"/>
          <w:szCs w:val="22"/>
        </w:rPr>
        <w:t xml:space="preserve">La procédure </w:t>
      </w:r>
      <w:r w:rsidRPr="00710118">
        <w:rPr>
          <w:rFonts w:asciiTheme="minorBidi" w:hAnsiTheme="minorBidi"/>
          <w:snapToGrid w:val="0"/>
          <w:szCs w:val="22"/>
        </w:rPr>
        <w:t>proposée</w:t>
      </w:r>
      <w:r w:rsidRPr="00710118">
        <w:rPr>
          <w:rFonts w:ascii="Arial" w:hAnsi="Arial"/>
          <w:snapToGrid w:val="0"/>
          <w:szCs w:val="22"/>
        </w:rPr>
        <w:t xml:space="preserve"> pour retirer des éléments des Listes de la Convention est la suivante :</w:t>
      </w:r>
    </w:p>
    <w:tbl>
      <w:tblPr>
        <w:tblStyle w:val="Grilledutableau"/>
        <w:tblW w:w="0" w:type="auto"/>
        <w:tblInd w:w="567" w:type="dxa"/>
        <w:tblLook w:val="04A0" w:firstRow="1" w:lastRow="0" w:firstColumn="1" w:lastColumn="0" w:noHBand="0" w:noVBand="1"/>
      </w:tblPr>
      <w:tblGrid>
        <w:gridCol w:w="1318"/>
        <w:gridCol w:w="3777"/>
        <w:gridCol w:w="3966"/>
      </w:tblGrid>
      <w:tr w:rsidR="002803B8" w:rsidRPr="005641C5" w14:paraId="3C49592B" w14:textId="77777777" w:rsidTr="00063F10">
        <w:tc>
          <w:tcPr>
            <w:tcW w:w="1318" w:type="dxa"/>
          </w:tcPr>
          <w:p w14:paraId="0707A858" w14:textId="77777777" w:rsidR="002803B8" w:rsidRPr="00710118" w:rsidRDefault="002803B8" w:rsidP="00063F10">
            <w:pPr>
              <w:pStyle w:val="1GAPara"/>
              <w:ind w:left="0" w:firstLine="0"/>
              <w:jc w:val="both"/>
              <w:rPr>
                <w:b/>
                <w:bCs/>
                <w:lang w:val="fr-FR"/>
              </w:rPr>
            </w:pPr>
            <w:r w:rsidRPr="00710118">
              <w:rPr>
                <w:b/>
                <w:bCs/>
                <w:lang w:val="fr-FR"/>
              </w:rPr>
              <w:t>Étape 1</w:t>
            </w:r>
          </w:p>
        </w:tc>
        <w:tc>
          <w:tcPr>
            <w:tcW w:w="7743" w:type="dxa"/>
            <w:gridSpan w:val="2"/>
          </w:tcPr>
          <w:p w14:paraId="4BD1F52F" w14:textId="77777777" w:rsidR="002803B8" w:rsidRPr="00710118" w:rsidRDefault="002803B8" w:rsidP="00063F10">
            <w:pPr>
              <w:pStyle w:val="1GAPara"/>
              <w:ind w:left="0" w:firstLine="0"/>
              <w:jc w:val="both"/>
              <w:rPr>
                <w:b/>
                <w:bCs/>
                <w:lang w:val="fr-FR"/>
              </w:rPr>
            </w:pPr>
            <w:r w:rsidRPr="00710118">
              <w:rPr>
                <w:b/>
                <w:bCs/>
                <w:lang w:val="fr-FR"/>
              </w:rPr>
              <w:t>Demande de retrait ou autres informations reçues relatives à des développements affectant la situation d’un élément inscrit</w:t>
            </w:r>
          </w:p>
          <w:p w14:paraId="50B7F546" w14:textId="77777777" w:rsidR="002803B8" w:rsidRPr="00710118" w:rsidRDefault="002803B8" w:rsidP="00063F10">
            <w:pPr>
              <w:pStyle w:val="1GAPara"/>
              <w:ind w:left="0" w:firstLine="0"/>
              <w:jc w:val="both"/>
              <w:rPr>
                <w:lang w:val="fr-FR"/>
              </w:rPr>
            </w:pPr>
            <w:r w:rsidRPr="00710118">
              <w:rPr>
                <w:lang w:val="fr-FR"/>
              </w:rPr>
              <w:t>La correspondance de l’entité à l’origine de l’envoi (par exemple l’/les État(s) partie(s) concerné(s), les communautés, groupes et, le cas échéant, individus concernés ou une tierce partie) est enregistrée par le Secrétariat.</w:t>
            </w:r>
          </w:p>
        </w:tc>
      </w:tr>
      <w:tr w:rsidR="002803B8" w:rsidRPr="005641C5" w14:paraId="72C67BD5" w14:textId="77777777" w:rsidTr="00063F10">
        <w:tc>
          <w:tcPr>
            <w:tcW w:w="1318" w:type="dxa"/>
          </w:tcPr>
          <w:p w14:paraId="64EE9F2F" w14:textId="77777777" w:rsidR="002803B8" w:rsidRPr="00710118" w:rsidRDefault="002803B8" w:rsidP="00063F10">
            <w:pPr>
              <w:pStyle w:val="1GAPara"/>
              <w:ind w:left="0" w:firstLine="0"/>
              <w:jc w:val="both"/>
              <w:rPr>
                <w:b/>
                <w:bCs/>
                <w:lang w:val="fr-FR"/>
              </w:rPr>
            </w:pPr>
            <w:r w:rsidRPr="00710118">
              <w:rPr>
                <w:b/>
                <w:bCs/>
                <w:lang w:val="fr-FR"/>
              </w:rPr>
              <w:t>Étape 2</w:t>
            </w:r>
          </w:p>
        </w:tc>
        <w:tc>
          <w:tcPr>
            <w:tcW w:w="7743" w:type="dxa"/>
            <w:gridSpan w:val="2"/>
          </w:tcPr>
          <w:p w14:paraId="315DC2BD" w14:textId="77777777" w:rsidR="002803B8" w:rsidRPr="00710118" w:rsidRDefault="002803B8" w:rsidP="00063F10">
            <w:pPr>
              <w:pStyle w:val="1GAPara"/>
              <w:ind w:left="0" w:firstLine="0"/>
              <w:jc w:val="both"/>
              <w:rPr>
                <w:b/>
                <w:bCs/>
                <w:lang w:val="fr-FR"/>
              </w:rPr>
            </w:pPr>
            <w:r w:rsidRPr="00710118">
              <w:rPr>
                <w:b/>
                <w:bCs/>
                <w:lang w:val="fr-FR"/>
              </w:rPr>
              <w:t xml:space="preserve">Transmission de l’information </w:t>
            </w:r>
          </w:p>
          <w:p w14:paraId="75049F61" w14:textId="77777777" w:rsidR="002803B8" w:rsidRPr="00710118" w:rsidRDefault="002803B8" w:rsidP="002803B8">
            <w:pPr>
              <w:pStyle w:val="1GAPara"/>
              <w:numPr>
                <w:ilvl w:val="0"/>
                <w:numId w:val="20"/>
              </w:numPr>
              <w:ind w:left="425" w:hanging="425"/>
              <w:jc w:val="both"/>
              <w:rPr>
                <w:lang w:val="fr-FR"/>
              </w:rPr>
            </w:pPr>
            <w:r w:rsidRPr="00710118">
              <w:rPr>
                <w:lang w:val="fr-FR"/>
              </w:rPr>
              <w:t>Le Secrétariat transmet l’information à l’État partie, à la personne de contact pour la candidature et aux représentants des communautés, groupes et, le cas échéant, individus (tels qu’indiqués dans le dossier de candidature), qui peuvent fournir une réponse et des informations complémentaires.</w:t>
            </w:r>
          </w:p>
          <w:p w14:paraId="4D633A75" w14:textId="77777777" w:rsidR="002803B8" w:rsidRPr="00710118" w:rsidRDefault="002803B8" w:rsidP="002803B8">
            <w:pPr>
              <w:pStyle w:val="1GAPara"/>
              <w:numPr>
                <w:ilvl w:val="0"/>
                <w:numId w:val="20"/>
              </w:numPr>
              <w:ind w:left="425" w:hanging="425"/>
              <w:jc w:val="both"/>
              <w:rPr>
                <w:lang w:val="fr-FR"/>
              </w:rPr>
            </w:pPr>
            <w:r w:rsidRPr="00710118">
              <w:rPr>
                <w:lang w:val="fr-FR"/>
              </w:rPr>
              <w:t>Si l’entité à l’origine de la correspondance souhaite rester anonyme, le Secrétariat transmet une version modifiée de la correspondance d’origine.</w:t>
            </w:r>
          </w:p>
        </w:tc>
      </w:tr>
      <w:tr w:rsidR="002803B8" w:rsidRPr="00710118" w14:paraId="6D4F5556" w14:textId="77777777" w:rsidTr="00063F10">
        <w:tc>
          <w:tcPr>
            <w:tcW w:w="1318" w:type="dxa"/>
            <w:vMerge w:val="restart"/>
          </w:tcPr>
          <w:p w14:paraId="438998B5" w14:textId="77777777" w:rsidR="002803B8" w:rsidRPr="00710118" w:rsidRDefault="002803B8" w:rsidP="00063F10">
            <w:pPr>
              <w:pStyle w:val="1GAPara"/>
              <w:keepNext/>
              <w:ind w:left="0" w:firstLine="0"/>
              <w:jc w:val="both"/>
              <w:rPr>
                <w:b/>
                <w:bCs/>
                <w:lang w:val="fr-FR"/>
              </w:rPr>
            </w:pPr>
            <w:r w:rsidRPr="00710118">
              <w:rPr>
                <w:b/>
                <w:bCs/>
                <w:lang w:val="fr-FR"/>
              </w:rPr>
              <w:t>Étape 3</w:t>
            </w:r>
          </w:p>
        </w:tc>
        <w:tc>
          <w:tcPr>
            <w:tcW w:w="7743" w:type="dxa"/>
            <w:gridSpan w:val="2"/>
          </w:tcPr>
          <w:p w14:paraId="10B43B30" w14:textId="77777777" w:rsidR="002803B8" w:rsidRPr="00710118" w:rsidRDefault="002803B8" w:rsidP="00063F10">
            <w:pPr>
              <w:pStyle w:val="1GAPara"/>
              <w:keepNext/>
              <w:ind w:hanging="686"/>
              <w:jc w:val="both"/>
              <w:rPr>
                <w:b/>
                <w:bCs/>
                <w:lang w:val="fr-FR"/>
              </w:rPr>
            </w:pPr>
            <w:r w:rsidRPr="00710118">
              <w:rPr>
                <w:b/>
                <w:bCs/>
                <w:lang w:val="fr-FR"/>
              </w:rPr>
              <w:t>Vérification préliminaire</w:t>
            </w:r>
          </w:p>
        </w:tc>
      </w:tr>
      <w:tr w:rsidR="002803B8" w:rsidRPr="005641C5" w14:paraId="409B17E4" w14:textId="77777777" w:rsidTr="00063F10">
        <w:trPr>
          <w:trHeight w:val="551"/>
        </w:trPr>
        <w:tc>
          <w:tcPr>
            <w:tcW w:w="1318" w:type="dxa"/>
            <w:vMerge/>
          </w:tcPr>
          <w:p w14:paraId="1789A73A" w14:textId="77777777" w:rsidR="002803B8" w:rsidRPr="00710118" w:rsidRDefault="002803B8" w:rsidP="00063F10">
            <w:pPr>
              <w:pStyle w:val="1GAPara"/>
              <w:ind w:left="0" w:firstLine="0"/>
              <w:jc w:val="both"/>
              <w:rPr>
                <w:b/>
                <w:bCs/>
                <w:lang w:val="fr-FR"/>
              </w:rPr>
            </w:pPr>
          </w:p>
        </w:tc>
        <w:tc>
          <w:tcPr>
            <w:tcW w:w="3777" w:type="dxa"/>
          </w:tcPr>
          <w:p w14:paraId="16E10D9A" w14:textId="77777777" w:rsidR="002803B8" w:rsidRPr="00710118" w:rsidRDefault="002803B8" w:rsidP="00063F10">
            <w:pPr>
              <w:jc w:val="both"/>
              <w:rPr>
                <w:sz w:val="22"/>
                <w:szCs w:val="22"/>
              </w:rPr>
            </w:pPr>
            <w:r w:rsidRPr="00710118">
              <w:rPr>
                <w:rFonts w:ascii="Arial" w:hAnsi="Arial" w:cs="Arial"/>
                <w:snapToGrid w:val="0"/>
                <w:sz w:val="22"/>
                <w:szCs w:val="22"/>
                <w:lang w:eastAsia="en-US"/>
              </w:rPr>
              <w:t xml:space="preserve">Si la demande de retrait est soumise par </w:t>
            </w:r>
            <w:r w:rsidRPr="00710118">
              <w:rPr>
                <w:rFonts w:ascii="Arial" w:hAnsi="Arial" w:cs="Arial"/>
                <w:snapToGrid w:val="0"/>
                <w:szCs w:val="22"/>
                <w:lang w:eastAsia="en-US"/>
              </w:rPr>
              <w:t>l’État partie concerné</w:t>
            </w:r>
            <w:r w:rsidRPr="00710118">
              <w:rPr>
                <w:rFonts w:ascii="Arial" w:hAnsi="Arial" w:cs="Arial"/>
                <w:snapToGrid w:val="0"/>
                <w:sz w:val="22"/>
                <w:szCs w:val="22"/>
                <w:lang w:eastAsia="en-US"/>
              </w:rPr>
              <w:t xml:space="preserve"> tel qu’identifié dans le dossier de candidature :</w:t>
            </w:r>
          </w:p>
          <w:p w14:paraId="52D382E5" w14:textId="77777777" w:rsidR="002803B8" w:rsidRPr="00710118" w:rsidRDefault="002803B8" w:rsidP="002803B8">
            <w:pPr>
              <w:pStyle w:val="1GAPara"/>
              <w:numPr>
                <w:ilvl w:val="0"/>
                <w:numId w:val="20"/>
              </w:numPr>
              <w:ind w:left="425" w:hanging="425"/>
              <w:jc w:val="both"/>
              <w:rPr>
                <w:lang w:val="fr-FR"/>
              </w:rPr>
            </w:pPr>
            <w:r w:rsidRPr="00710118">
              <w:rPr>
                <w:lang w:val="fr-FR"/>
              </w:rPr>
              <w:t xml:space="preserve">Le Secrétariat réunit les informations (possiblement par </w:t>
            </w:r>
            <w:r w:rsidRPr="00710118">
              <w:rPr>
                <w:lang w:val="fr-FR"/>
              </w:rPr>
              <w:lastRenderedPageBreak/>
              <w:t xml:space="preserve">l’intermédiaire du Forum des ONG du PCI) en particulier en relation avec l’article 2 de la Convention. </w:t>
            </w:r>
          </w:p>
          <w:p w14:paraId="17515CA4" w14:textId="77777777" w:rsidR="002803B8" w:rsidRPr="00710118" w:rsidRDefault="002803B8" w:rsidP="002803B8">
            <w:pPr>
              <w:pStyle w:val="1GAPara"/>
              <w:numPr>
                <w:ilvl w:val="0"/>
                <w:numId w:val="20"/>
              </w:numPr>
              <w:ind w:left="425" w:hanging="425"/>
              <w:jc w:val="both"/>
              <w:rPr>
                <w:lang w:val="fr-FR"/>
              </w:rPr>
            </w:pPr>
            <w:r w:rsidRPr="00710118">
              <w:rPr>
                <w:lang w:val="fr-FR"/>
              </w:rPr>
              <w:t>La demande de retrait est alors transmise directement au Comité avec la réponse de l’État partie et des communautés, groupes et, le cas échéant, individus concernés, ainsi que toute information provenant du Forum des ONG du PCI.</w:t>
            </w:r>
          </w:p>
        </w:tc>
        <w:tc>
          <w:tcPr>
            <w:tcW w:w="3966" w:type="dxa"/>
          </w:tcPr>
          <w:p w14:paraId="275BC410" w14:textId="77777777" w:rsidR="002803B8" w:rsidRPr="00710118" w:rsidRDefault="002803B8" w:rsidP="00063F10">
            <w:pPr>
              <w:ind w:left="101"/>
              <w:jc w:val="both"/>
              <w:rPr>
                <w:rFonts w:ascii="Arial" w:hAnsi="Arial" w:cs="Arial"/>
                <w:snapToGrid w:val="0"/>
                <w:sz w:val="22"/>
                <w:szCs w:val="22"/>
                <w:lang w:eastAsia="en-US"/>
              </w:rPr>
            </w:pPr>
            <w:r w:rsidRPr="00710118">
              <w:rPr>
                <w:rFonts w:ascii="Arial" w:hAnsi="Arial" w:cs="Arial"/>
                <w:snapToGrid w:val="0"/>
                <w:sz w:val="22"/>
                <w:szCs w:val="22"/>
                <w:lang w:eastAsia="en-US"/>
              </w:rPr>
              <w:lastRenderedPageBreak/>
              <w:t>Dans les autres cas :</w:t>
            </w:r>
          </w:p>
          <w:p w14:paraId="067D7468" w14:textId="77777777" w:rsidR="002803B8" w:rsidRPr="00710118" w:rsidRDefault="002803B8" w:rsidP="002803B8">
            <w:pPr>
              <w:pStyle w:val="1GAPara"/>
              <w:numPr>
                <w:ilvl w:val="0"/>
                <w:numId w:val="20"/>
              </w:numPr>
              <w:ind w:left="425" w:hanging="425"/>
              <w:jc w:val="both"/>
              <w:rPr>
                <w:lang w:val="fr-FR"/>
              </w:rPr>
            </w:pPr>
            <w:r w:rsidRPr="00710118">
              <w:rPr>
                <w:lang w:val="fr-FR"/>
              </w:rPr>
              <w:t xml:space="preserve">Le Secrétariat peut réunir des informations (possiblement par l’intermédiaire du Forum des ONG du PCI) en particulier en relation avec l’article 2 de la Convention, et </w:t>
            </w:r>
            <w:r w:rsidRPr="00710118">
              <w:rPr>
                <w:lang w:val="fr-FR"/>
              </w:rPr>
              <w:lastRenderedPageBreak/>
              <w:t>partager les résultats issus de ces informations avec l’État partie concerné et recueillir sa réponse le cas échéant.</w:t>
            </w:r>
          </w:p>
          <w:p w14:paraId="15E75E0D" w14:textId="77777777" w:rsidR="002803B8" w:rsidRPr="00710118" w:rsidRDefault="002803B8" w:rsidP="002803B8">
            <w:pPr>
              <w:pStyle w:val="1GAPara"/>
              <w:numPr>
                <w:ilvl w:val="0"/>
                <w:numId w:val="20"/>
              </w:numPr>
              <w:ind w:left="425" w:hanging="425"/>
              <w:jc w:val="both"/>
              <w:rPr>
                <w:lang w:val="fr-FR"/>
              </w:rPr>
            </w:pPr>
            <w:r w:rsidRPr="00710118">
              <w:rPr>
                <w:lang w:val="fr-FR"/>
              </w:rPr>
              <w:t>Le Bureau recommande ou non d’inclure le cas à l’ordre du jour de la prochaine session du Comité.</w:t>
            </w:r>
          </w:p>
          <w:p w14:paraId="680FC8E6" w14:textId="77777777" w:rsidR="002803B8" w:rsidRPr="00710118" w:rsidRDefault="002803B8" w:rsidP="00063F10">
            <w:pPr>
              <w:pStyle w:val="Paragraphedeliste"/>
              <w:ind w:left="458"/>
              <w:contextualSpacing w:val="0"/>
              <w:jc w:val="both"/>
              <w:rPr>
                <w:sz w:val="22"/>
                <w:szCs w:val="22"/>
              </w:rPr>
            </w:pPr>
          </w:p>
        </w:tc>
      </w:tr>
      <w:tr w:rsidR="002803B8" w:rsidRPr="005641C5" w14:paraId="349D851A" w14:textId="77777777" w:rsidTr="00063F10">
        <w:tc>
          <w:tcPr>
            <w:tcW w:w="1318" w:type="dxa"/>
            <w:vMerge/>
          </w:tcPr>
          <w:p w14:paraId="18F054BB" w14:textId="77777777" w:rsidR="002803B8" w:rsidRPr="00710118" w:rsidRDefault="002803B8" w:rsidP="00063F10">
            <w:pPr>
              <w:pStyle w:val="1GAPara"/>
              <w:ind w:left="0" w:firstLine="0"/>
              <w:jc w:val="both"/>
              <w:rPr>
                <w:b/>
                <w:bCs/>
                <w:lang w:val="fr-FR"/>
              </w:rPr>
            </w:pPr>
          </w:p>
        </w:tc>
        <w:tc>
          <w:tcPr>
            <w:tcW w:w="7743" w:type="dxa"/>
            <w:gridSpan w:val="2"/>
            <w:shd w:val="clear" w:color="auto" w:fill="auto"/>
          </w:tcPr>
          <w:p w14:paraId="56EF47AC" w14:textId="77777777" w:rsidR="002803B8" w:rsidRPr="00710118" w:rsidRDefault="002803B8" w:rsidP="00063F10">
            <w:pPr>
              <w:pStyle w:val="1GAPara"/>
              <w:ind w:left="0" w:firstLine="0"/>
              <w:jc w:val="both"/>
              <w:rPr>
                <w:lang w:val="fr-FR"/>
              </w:rPr>
            </w:pPr>
            <w:r w:rsidRPr="00710118">
              <w:rPr>
                <w:lang w:val="fr-FR"/>
              </w:rPr>
              <w:t xml:space="preserve">Quelle que soit l’option sélectionnée ci-dessus, tous les cas reçus par le Secrétariat sont portés à l’attention du Comité au sens de la décision </w:t>
            </w:r>
            <w:hyperlink r:id="rId49" w:history="1">
              <w:r w:rsidRPr="00710118">
                <w:rPr>
                  <w:rStyle w:val="Lienhypertexte"/>
                  <w:lang w:val="fr-FR"/>
                </w:rPr>
                <w:t>14.COM 14</w:t>
              </w:r>
            </w:hyperlink>
            <w:r w:rsidRPr="00710118">
              <w:rPr>
                <w:lang w:val="fr-FR"/>
              </w:rPr>
              <w:t xml:space="preserve"> (paragraphe 15).</w:t>
            </w:r>
          </w:p>
        </w:tc>
      </w:tr>
      <w:tr w:rsidR="002803B8" w:rsidRPr="005641C5" w14:paraId="0DCDF45D" w14:textId="77777777" w:rsidTr="00063F10">
        <w:tc>
          <w:tcPr>
            <w:tcW w:w="1318" w:type="dxa"/>
          </w:tcPr>
          <w:p w14:paraId="1A07F457" w14:textId="77777777" w:rsidR="002803B8" w:rsidRPr="00710118" w:rsidRDefault="002803B8" w:rsidP="00063F10">
            <w:pPr>
              <w:pStyle w:val="1GAPara"/>
              <w:ind w:left="0" w:firstLine="0"/>
              <w:jc w:val="both"/>
              <w:rPr>
                <w:b/>
                <w:bCs/>
                <w:lang w:val="fr-FR"/>
              </w:rPr>
            </w:pPr>
            <w:r w:rsidRPr="00710118">
              <w:rPr>
                <w:b/>
                <w:bCs/>
                <w:lang w:val="fr-FR"/>
              </w:rPr>
              <w:t>Étape 4</w:t>
            </w:r>
          </w:p>
        </w:tc>
        <w:tc>
          <w:tcPr>
            <w:tcW w:w="7743" w:type="dxa"/>
            <w:gridSpan w:val="2"/>
          </w:tcPr>
          <w:p w14:paraId="3E35626E" w14:textId="77777777" w:rsidR="002803B8" w:rsidRPr="00710118" w:rsidRDefault="002803B8" w:rsidP="00063F10">
            <w:pPr>
              <w:pStyle w:val="1GAPara"/>
              <w:ind w:left="0" w:firstLine="0"/>
              <w:jc w:val="both"/>
              <w:rPr>
                <w:b/>
                <w:bCs/>
                <w:lang w:val="fr-FR"/>
              </w:rPr>
            </w:pPr>
            <w:r w:rsidRPr="00710118">
              <w:rPr>
                <w:b/>
                <w:bCs/>
                <w:lang w:val="fr-FR"/>
              </w:rPr>
              <w:t>Examen par le Comité</w:t>
            </w:r>
          </w:p>
          <w:p w14:paraId="210DF1FA" w14:textId="77777777" w:rsidR="002803B8" w:rsidRPr="00710118" w:rsidRDefault="002803B8" w:rsidP="00063F10">
            <w:pPr>
              <w:pStyle w:val="1GAPara"/>
              <w:ind w:left="0" w:firstLine="0"/>
              <w:jc w:val="both"/>
              <w:rPr>
                <w:lang w:val="fr-FR"/>
              </w:rPr>
            </w:pPr>
            <w:r w:rsidRPr="00710118">
              <w:rPr>
                <w:lang w:val="fr-FR"/>
              </w:rPr>
              <w:t>Les informations reçues, ainsi que la réponse de l’État partie et des communautés, groupes et, le cas échéant, des individus concernés – de même que toute information provenant du Forum des ONG du PCI et la décision du Bureau (si la demande est passée par le Bureau) – sont portés à l’attention du Comité qui peut alors décider de :</w:t>
            </w:r>
          </w:p>
          <w:p w14:paraId="2F08B965" w14:textId="77777777" w:rsidR="002803B8" w:rsidRPr="00710118" w:rsidRDefault="002803B8" w:rsidP="002803B8">
            <w:pPr>
              <w:pStyle w:val="1GAPara"/>
              <w:numPr>
                <w:ilvl w:val="3"/>
                <w:numId w:val="9"/>
              </w:numPr>
              <w:ind w:left="425" w:hanging="425"/>
              <w:jc w:val="both"/>
              <w:rPr>
                <w:lang w:val="fr-FR"/>
              </w:rPr>
            </w:pPr>
            <w:r w:rsidRPr="00710118">
              <w:rPr>
                <w:lang w:val="fr-FR"/>
              </w:rPr>
              <w:t>Si la demande de retrait est soumise par l’État partie concerné tel qu’identifié dans le dossier de candidature :</w:t>
            </w:r>
          </w:p>
          <w:p w14:paraId="7CBD2CA8" w14:textId="77777777" w:rsidR="002803B8" w:rsidRPr="00710118" w:rsidRDefault="002803B8" w:rsidP="002803B8">
            <w:pPr>
              <w:pStyle w:val="1GAPara"/>
              <w:numPr>
                <w:ilvl w:val="0"/>
                <w:numId w:val="20"/>
              </w:numPr>
              <w:ind w:left="850" w:hanging="425"/>
              <w:jc w:val="both"/>
              <w:rPr>
                <w:lang w:val="fr-FR"/>
              </w:rPr>
            </w:pPr>
            <w:r w:rsidRPr="00710118">
              <w:rPr>
                <w:lang w:val="fr-FR"/>
              </w:rPr>
              <w:t xml:space="preserve">Placer l’élément dans un état de « suivi » à titre de </w:t>
            </w:r>
            <w:r w:rsidRPr="00710118">
              <w:rPr>
                <w:u w:val="single"/>
                <w:lang w:val="fr-FR"/>
              </w:rPr>
              <w:t>mesure intermédiaire</w:t>
            </w:r>
            <w:r w:rsidRPr="00710118">
              <w:rPr>
                <w:lang w:val="fr-FR"/>
              </w:rPr>
              <w:t xml:space="preserve"> s’il considère que des informations supplémentaires sont nécessaires (continuer à l’étape 5).</w:t>
            </w:r>
          </w:p>
          <w:p w14:paraId="0067287D" w14:textId="77777777" w:rsidR="002803B8" w:rsidRPr="00710118" w:rsidRDefault="002803B8" w:rsidP="002803B8">
            <w:pPr>
              <w:pStyle w:val="1GAPara"/>
              <w:numPr>
                <w:ilvl w:val="0"/>
                <w:numId w:val="20"/>
              </w:numPr>
              <w:ind w:left="850" w:hanging="425"/>
              <w:jc w:val="both"/>
              <w:rPr>
                <w:lang w:val="fr-FR"/>
              </w:rPr>
            </w:pPr>
            <w:r w:rsidRPr="00710118">
              <w:rPr>
                <w:lang w:val="fr-FR"/>
              </w:rPr>
              <w:t>Retirer l’élément de la Liste, s’il considère que les informations sont complètes et qu’il existe une raison suffisante motivant un retrait (fin de la procédure).</w:t>
            </w:r>
          </w:p>
          <w:p w14:paraId="1088F5D7" w14:textId="77777777" w:rsidR="002803B8" w:rsidRPr="00710118" w:rsidRDefault="002803B8" w:rsidP="002803B8">
            <w:pPr>
              <w:pStyle w:val="1GAPara"/>
              <w:numPr>
                <w:ilvl w:val="0"/>
                <w:numId w:val="20"/>
              </w:numPr>
              <w:ind w:left="850" w:hanging="425"/>
              <w:jc w:val="both"/>
              <w:rPr>
                <w:lang w:val="fr-FR"/>
              </w:rPr>
            </w:pPr>
            <w:r w:rsidRPr="00710118">
              <w:rPr>
                <w:lang w:val="fr-FR"/>
              </w:rPr>
              <w:t>Retirer l’élément de la Liste, s’il considère que les informations sont complètes et qu’il existe une raison suffisante motivant un retrait, avec la possibilité de le placer dans un Recueil du patrimoine culturel immatériel (fin de la procédure).</w:t>
            </w:r>
          </w:p>
          <w:p w14:paraId="714BF5F2" w14:textId="77777777" w:rsidR="002803B8" w:rsidRPr="00710118" w:rsidRDefault="002803B8" w:rsidP="002803B8">
            <w:pPr>
              <w:pStyle w:val="1GAPara"/>
              <w:numPr>
                <w:ilvl w:val="3"/>
                <w:numId w:val="9"/>
              </w:numPr>
              <w:ind w:left="425" w:hanging="425"/>
              <w:jc w:val="both"/>
              <w:rPr>
                <w:lang w:val="fr-FR"/>
              </w:rPr>
            </w:pPr>
            <w:r w:rsidRPr="00710118">
              <w:rPr>
                <w:lang w:val="fr-FR"/>
              </w:rPr>
              <w:t xml:space="preserve">Dans les autres cas : </w:t>
            </w:r>
          </w:p>
          <w:p w14:paraId="0A274002" w14:textId="77777777" w:rsidR="002803B8" w:rsidRPr="00710118" w:rsidRDefault="002803B8" w:rsidP="002803B8">
            <w:pPr>
              <w:pStyle w:val="1GAPara"/>
              <w:numPr>
                <w:ilvl w:val="0"/>
                <w:numId w:val="20"/>
              </w:numPr>
              <w:ind w:left="850" w:hanging="425"/>
              <w:jc w:val="both"/>
              <w:rPr>
                <w:lang w:val="fr-FR"/>
              </w:rPr>
            </w:pPr>
            <w:r w:rsidRPr="00710118">
              <w:rPr>
                <w:lang w:val="fr-FR"/>
              </w:rPr>
              <w:t>Maintenir l’élément sur la Liste s’il considère que les informations sont complètes et qu’il n’existe pas de raison suffisante motivant un retrait (fin de la procédure).</w:t>
            </w:r>
          </w:p>
          <w:p w14:paraId="1ECF326B" w14:textId="77777777" w:rsidR="002803B8" w:rsidRPr="00710118" w:rsidRDefault="002803B8" w:rsidP="002803B8">
            <w:pPr>
              <w:pStyle w:val="1GAPara"/>
              <w:numPr>
                <w:ilvl w:val="0"/>
                <w:numId w:val="20"/>
              </w:numPr>
              <w:ind w:left="850" w:hanging="425"/>
              <w:jc w:val="both"/>
              <w:rPr>
                <w:lang w:val="fr-FR"/>
              </w:rPr>
            </w:pPr>
            <w:r w:rsidRPr="00710118">
              <w:rPr>
                <w:lang w:val="fr-FR"/>
              </w:rPr>
              <w:t xml:space="preserve">Placer l’élément dans un état de « suivi » à titre de </w:t>
            </w:r>
            <w:r w:rsidRPr="00710118">
              <w:rPr>
                <w:u w:val="single"/>
                <w:lang w:val="fr-FR"/>
              </w:rPr>
              <w:t>mesure intermédiaire</w:t>
            </w:r>
            <w:r w:rsidRPr="00710118">
              <w:rPr>
                <w:lang w:val="fr-FR"/>
              </w:rPr>
              <w:t xml:space="preserve"> s’il considère que des informations supplémentaires sont nécessaires (continuer à l’étape 5).</w:t>
            </w:r>
          </w:p>
        </w:tc>
      </w:tr>
      <w:tr w:rsidR="002803B8" w:rsidRPr="005641C5" w14:paraId="507C33D2" w14:textId="77777777" w:rsidTr="00063F10">
        <w:tc>
          <w:tcPr>
            <w:tcW w:w="1318" w:type="dxa"/>
          </w:tcPr>
          <w:p w14:paraId="31243DD2" w14:textId="77777777" w:rsidR="002803B8" w:rsidRPr="00710118" w:rsidRDefault="002803B8" w:rsidP="00063F10">
            <w:pPr>
              <w:pStyle w:val="1GAPara"/>
              <w:ind w:left="0" w:firstLine="0"/>
              <w:jc w:val="both"/>
              <w:rPr>
                <w:b/>
                <w:bCs/>
                <w:lang w:val="fr-FR"/>
              </w:rPr>
            </w:pPr>
            <w:r w:rsidRPr="00710118">
              <w:rPr>
                <w:b/>
                <w:bCs/>
                <w:lang w:val="fr-FR"/>
              </w:rPr>
              <w:t>Étape 5</w:t>
            </w:r>
          </w:p>
        </w:tc>
        <w:tc>
          <w:tcPr>
            <w:tcW w:w="7743" w:type="dxa"/>
            <w:gridSpan w:val="2"/>
          </w:tcPr>
          <w:p w14:paraId="5664774E" w14:textId="77777777" w:rsidR="002803B8" w:rsidRPr="00710118" w:rsidRDefault="002803B8" w:rsidP="00063F10">
            <w:pPr>
              <w:pStyle w:val="1GAPara"/>
              <w:ind w:left="0" w:firstLine="0"/>
              <w:jc w:val="both"/>
              <w:rPr>
                <w:lang w:val="fr-FR"/>
              </w:rPr>
            </w:pPr>
            <w:r w:rsidRPr="00710118">
              <w:rPr>
                <w:b/>
                <w:bCs/>
                <w:lang w:val="fr-FR"/>
              </w:rPr>
              <w:t>Suivi approfondi (observation, échange et dialogue)</w:t>
            </w:r>
          </w:p>
          <w:p w14:paraId="6741D941" w14:textId="77777777" w:rsidR="002803B8" w:rsidRPr="00710118" w:rsidRDefault="002803B8" w:rsidP="002803B8">
            <w:pPr>
              <w:pStyle w:val="1GAPara"/>
              <w:numPr>
                <w:ilvl w:val="0"/>
                <w:numId w:val="21"/>
              </w:numPr>
              <w:ind w:left="425" w:hanging="425"/>
              <w:jc w:val="both"/>
              <w:rPr>
                <w:b/>
                <w:bCs/>
                <w:lang w:val="fr-FR"/>
              </w:rPr>
            </w:pPr>
            <w:r w:rsidRPr="00710118">
              <w:rPr>
                <w:lang w:val="fr-FR"/>
              </w:rPr>
              <w:t>L’Organe d’évaluation décide si le suivi est exécuté par l’Organe d’évaluation dans son ensemble ou par trois membres de l’Organe d’évaluation (parmi les trois, il y aura au moins un membre de la région concernée, au moins une ONG accréditée et au moins un expert individuel), qui effectuent une évaluation initiale. Cette dernière est ensuite débattue collectivement par tous les membres de l’Organe d’évaluation.</w:t>
            </w:r>
          </w:p>
          <w:p w14:paraId="64387E5C" w14:textId="77777777" w:rsidR="002803B8" w:rsidRPr="00710118" w:rsidRDefault="002803B8" w:rsidP="002803B8">
            <w:pPr>
              <w:pStyle w:val="1GAPara"/>
              <w:numPr>
                <w:ilvl w:val="0"/>
                <w:numId w:val="21"/>
              </w:numPr>
              <w:ind w:left="425" w:hanging="425"/>
              <w:jc w:val="both"/>
              <w:rPr>
                <w:b/>
                <w:bCs/>
                <w:lang w:val="fr-FR"/>
              </w:rPr>
            </w:pPr>
            <w:r w:rsidRPr="00710118">
              <w:rPr>
                <w:lang w:val="fr-FR"/>
              </w:rPr>
              <w:lastRenderedPageBreak/>
              <w:t>Au cas par cas, le suivi peut prendre la forme d’une correspondance écrite et/ou d’une consultation en ligne avec l’État partie, les communautés, groupes et, le cas échéant, individus concernés, et le Forum des ONG du PCI et/ou d’une mission consultative.</w:t>
            </w:r>
          </w:p>
          <w:p w14:paraId="665470E7" w14:textId="77777777" w:rsidR="002803B8" w:rsidRPr="00710118" w:rsidRDefault="002803B8" w:rsidP="002803B8">
            <w:pPr>
              <w:pStyle w:val="1GAPara"/>
              <w:numPr>
                <w:ilvl w:val="0"/>
                <w:numId w:val="21"/>
              </w:numPr>
              <w:ind w:left="425" w:hanging="425"/>
              <w:jc w:val="both"/>
              <w:rPr>
                <w:b/>
                <w:bCs/>
                <w:lang w:val="fr-FR"/>
              </w:rPr>
            </w:pPr>
            <w:r w:rsidRPr="00710118">
              <w:rPr>
                <w:lang w:val="fr-FR"/>
              </w:rPr>
              <w:t>Un rapport de suivi, accordant une attention particulière à l’article 2 de la Convention, est transmis au Secrétariat avec une recommandation au Comité.</w:t>
            </w:r>
          </w:p>
        </w:tc>
      </w:tr>
      <w:tr w:rsidR="002803B8" w:rsidRPr="005641C5" w14:paraId="772AD266" w14:textId="77777777" w:rsidTr="00063F10">
        <w:trPr>
          <w:trHeight w:val="4723"/>
        </w:trPr>
        <w:tc>
          <w:tcPr>
            <w:tcW w:w="1318" w:type="dxa"/>
          </w:tcPr>
          <w:p w14:paraId="47DCDA54" w14:textId="77777777" w:rsidR="002803B8" w:rsidRPr="00710118" w:rsidRDefault="002803B8" w:rsidP="00063F10">
            <w:pPr>
              <w:pStyle w:val="1GAPara"/>
              <w:ind w:left="0" w:firstLine="0"/>
              <w:jc w:val="both"/>
              <w:rPr>
                <w:b/>
                <w:bCs/>
                <w:lang w:val="fr-FR"/>
              </w:rPr>
            </w:pPr>
            <w:r w:rsidRPr="00710118">
              <w:rPr>
                <w:b/>
                <w:bCs/>
                <w:lang w:val="fr-FR"/>
              </w:rPr>
              <w:lastRenderedPageBreak/>
              <w:t>Étape 6</w:t>
            </w:r>
          </w:p>
        </w:tc>
        <w:tc>
          <w:tcPr>
            <w:tcW w:w="7743" w:type="dxa"/>
            <w:gridSpan w:val="2"/>
          </w:tcPr>
          <w:p w14:paraId="7EB09696" w14:textId="77777777" w:rsidR="002803B8" w:rsidRPr="00710118" w:rsidRDefault="002803B8" w:rsidP="00063F10">
            <w:pPr>
              <w:pStyle w:val="1GAPara"/>
              <w:ind w:left="0" w:firstLine="0"/>
              <w:jc w:val="both"/>
              <w:rPr>
                <w:b/>
                <w:bCs/>
                <w:lang w:val="fr-FR"/>
              </w:rPr>
            </w:pPr>
            <w:r w:rsidRPr="00710118">
              <w:rPr>
                <w:b/>
                <w:bCs/>
                <w:lang w:val="fr-FR"/>
              </w:rPr>
              <w:t>Rapport de suivi auprès du Comité et sa décision</w:t>
            </w:r>
          </w:p>
          <w:p w14:paraId="578E0309" w14:textId="77777777" w:rsidR="002803B8" w:rsidRPr="00710118" w:rsidRDefault="002803B8" w:rsidP="00063F10">
            <w:pPr>
              <w:pStyle w:val="1GAPara"/>
              <w:ind w:left="0" w:firstLine="0"/>
              <w:jc w:val="both"/>
              <w:rPr>
                <w:lang w:val="fr-FR"/>
              </w:rPr>
            </w:pPr>
            <w:r w:rsidRPr="00710118">
              <w:rPr>
                <w:lang w:val="fr-FR"/>
              </w:rPr>
              <w:t>Sur la base du rapport de suivi et de la recommandation, en accordant une attention particulière aux critères R.1/U.1 et/ou R.4/U.4, le Comité peut décider de :</w:t>
            </w:r>
          </w:p>
          <w:p w14:paraId="7E17448F" w14:textId="77777777" w:rsidR="002803B8" w:rsidRPr="00710118" w:rsidRDefault="002803B8" w:rsidP="002803B8">
            <w:pPr>
              <w:pStyle w:val="1GAPara"/>
              <w:numPr>
                <w:ilvl w:val="0"/>
                <w:numId w:val="21"/>
              </w:numPr>
              <w:ind w:left="425" w:hanging="425"/>
              <w:jc w:val="both"/>
              <w:rPr>
                <w:lang w:val="fr-FR"/>
              </w:rPr>
            </w:pPr>
            <w:r w:rsidRPr="00710118">
              <w:rPr>
                <w:lang w:val="fr-FR"/>
              </w:rPr>
              <w:t xml:space="preserve">Continuer à laisser l’élément dans un état de « suivi » pendant une période définie, si des problèmes persistent. Le Comité recommande la mise en œuvre de mesures de réconciliation/médiation et désigne une session du Comité pour laquelle l’État partie devra faire rapport en vue d’une décision finale du Comité. </w:t>
            </w:r>
          </w:p>
          <w:p w14:paraId="5DAE2F6A" w14:textId="77777777" w:rsidR="002803B8" w:rsidRPr="00710118" w:rsidRDefault="002803B8" w:rsidP="002803B8">
            <w:pPr>
              <w:pStyle w:val="1GAPara"/>
              <w:numPr>
                <w:ilvl w:val="0"/>
                <w:numId w:val="21"/>
              </w:numPr>
              <w:ind w:left="425" w:hanging="425"/>
              <w:jc w:val="both"/>
              <w:rPr>
                <w:lang w:val="fr-FR"/>
              </w:rPr>
            </w:pPr>
            <w:r w:rsidRPr="00710118">
              <w:rPr>
                <w:lang w:val="fr-FR"/>
              </w:rPr>
              <w:t>Retirer l’élément de la Liste, s’il existe une raison suffisante motivant un retrait (fin de la procédure).</w:t>
            </w:r>
          </w:p>
          <w:p w14:paraId="7E5DCCF2" w14:textId="77777777" w:rsidR="002803B8" w:rsidRPr="00710118" w:rsidRDefault="002803B8" w:rsidP="002803B8">
            <w:pPr>
              <w:pStyle w:val="1GAPara"/>
              <w:numPr>
                <w:ilvl w:val="0"/>
                <w:numId w:val="21"/>
              </w:numPr>
              <w:ind w:left="425" w:hanging="425"/>
              <w:jc w:val="both"/>
              <w:rPr>
                <w:lang w:val="fr-FR"/>
              </w:rPr>
            </w:pPr>
            <w:r w:rsidRPr="00710118">
              <w:rPr>
                <w:lang w:val="fr-FR"/>
              </w:rPr>
              <w:t>Retirer l’élément de la Liste, s’il existe une raison suffisante motivant un retrait, avec la possibilité de le placer dans un Recueil du patrimoine culturel immatériel (fin de la procédure).</w:t>
            </w:r>
          </w:p>
          <w:p w14:paraId="6F8C5F24" w14:textId="77777777" w:rsidR="002803B8" w:rsidRPr="00710118" w:rsidRDefault="002803B8" w:rsidP="002803B8">
            <w:pPr>
              <w:pStyle w:val="1GAPara"/>
              <w:numPr>
                <w:ilvl w:val="0"/>
                <w:numId w:val="21"/>
              </w:numPr>
              <w:ind w:left="425" w:hanging="425"/>
              <w:jc w:val="both"/>
              <w:rPr>
                <w:lang w:val="fr-FR"/>
              </w:rPr>
            </w:pPr>
            <w:r w:rsidRPr="00710118">
              <w:rPr>
                <w:lang w:val="fr-FR"/>
              </w:rPr>
              <w:t>Maintenir l’élément sur la Liste, s’il n’existe pas de raison suffisante motivant un retrait (fin de la procédure).</w:t>
            </w:r>
          </w:p>
        </w:tc>
      </w:tr>
    </w:tbl>
    <w:p w14:paraId="40D689AB" w14:textId="77777777" w:rsidR="002803B8" w:rsidRPr="00710118" w:rsidRDefault="002803B8" w:rsidP="002803B8">
      <w:pPr>
        <w:ind w:left="567"/>
        <w:jc w:val="both"/>
        <w:rPr>
          <w:rFonts w:asciiTheme="minorBidi" w:hAnsiTheme="minorBidi" w:cstheme="minorBidi"/>
          <w:szCs w:val="22"/>
        </w:rPr>
      </w:pPr>
      <w:r w:rsidRPr="00710118">
        <w:rPr>
          <w:rFonts w:asciiTheme="minorBidi" w:hAnsiTheme="minorBidi" w:cstheme="minorBidi"/>
          <w:szCs w:val="22"/>
        </w:rPr>
        <w:t xml:space="preserve">* Prend également note des implications budgétaires telles qu’indiquées dans le document </w:t>
      </w:r>
      <w:hyperlink r:id="rId50" w:history="1">
        <w:r w:rsidRPr="00710118">
          <w:rPr>
            <w:rStyle w:val="Lienhypertexte"/>
            <w:rFonts w:asciiTheme="minorBidi" w:hAnsiTheme="minorBidi" w:cstheme="minorBidi"/>
            <w:szCs w:val="22"/>
          </w:rPr>
          <w:t>LHE/21/16.COM WG/6</w:t>
        </w:r>
      </w:hyperlink>
      <w:r w:rsidRPr="00710118">
        <w:rPr>
          <w:rFonts w:asciiTheme="minorBidi" w:hAnsiTheme="minorBidi" w:cstheme="minorBidi"/>
          <w:szCs w:val="22"/>
        </w:rPr>
        <w:t>.</w:t>
      </w:r>
    </w:p>
    <w:p w14:paraId="016C2D48" w14:textId="77777777" w:rsidR="002803B8" w:rsidRPr="00710118" w:rsidRDefault="002803B8" w:rsidP="002803B8">
      <w:pPr>
        <w:spacing w:before="240"/>
        <w:jc w:val="both"/>
        <w:rPr>
          <w:rFonts w:ascii="Arial" w:hAnsi="Arial" w:cs="Arial"/>
          <w:snapToGrid w:val="0"/>
          <w:szCs w:val="22"/>
          <w:u w:val="single"/>
        </w:rPr>
      </w:pPr>
      <w:r w:rsidRPr="00710118">
        <w:rPr>
          <w:rFonts w:ascii="Arial" w:hAnsi="Arial"/>
          <w:snapToGrid w:val="0"/>
          <w:szCs w:val="22"/>
          <w:u w:val="single"/>
        </w:rPr>
        <w:t>Questions liées à la méthodologie d’évaluation des candidatures</w:t>
      </w:r>
    </w:p>
    <w:p w14:paraId="2E11D390" w14:textId="77777777" w:rsidR="002803B8" w:rsidRPr="00710118" w:rsidRDefault="002803B8" w:rsidP="002803B8">
      <w:pPr>
        <w:numPr>
          <w:ilvl w:val="0"/>
          <w:numId w:val="19"/>
        </w:numPr>
        <w:spacing w:after="120"/>
        <w:ind w:left="567" w:hanging="567"/>
        <w:jc w:val="both"/>
        <w:rPr>
          <w:rFonts w:ascii="Arial" w:hAnsi="Arial" w:cs="Arial"/>
          <w:snapToGrid w:val="0"/>
          <w:szCs w:val="22"/>
        </w:rPr>
      </w:pPr>
      <w:r w:rsidRPr="00710118">
        <w:rPr>
          <w:rFonts w:ascii="Arial" w:hAnsi="Arial"/>
          <w:snapToGrid w:val="0"/>
          <w:szCs w:val="22"/>
        </w:rPr>
        <w:t xml:space="preserve">La </w:t>
      </w:r>
      <w:r w:rsidRPr="00710118">
        <w:rPr>
          <w:rFonts w:asciiTheme="minorBidi" w:hAnsiTheme="minorBidi"/>
          <w:szCs w:val="22"/>
        </w:rPr>
        <w:t>proposition</w:t>
      </w:r>
      <w:r w:rsidRPr="00710118">
        <w:rPr>
          <w:rFonts w:ascii="Arial" w:hAnsi="Arial"/>
          <w:snapToGrid w:val="0"/>
          <w:szCs w:val="22"/>
        </w:rPr>
        <w:t xml:space="preserve"> de procédure révisée pour l’inscription d’éléments sur les Listes et le Registre sur une base élargie est la suivante : </w:t>
      </w:r>
    </w:p>
    <w:tbl>
      <w:tblPr>
        <w:tblStyle w:val="Grilledutableau"/>
        <w:tblW w:w="0" w:type="auto"/>
        <w:tblInd w:w="567" w:type="dxa"/>
        <w:tblLook w:val="04A0" w:firstRow="1" w:lastRow="0" w:firstColumn="1" w:lastColumn="0" w:noHBand="0" w:noVBand="1"/>
      </w:tblPr>
      <w:tblGrid>
        <w:gridCol w:w="1588"/>
        <w:gridCol w:w="7473"/>
      </w:tblGrid>
      <w:tr w:rsidR="002803B8" w:rsidRPr="005641C5" w14:paraId="7A9F35E2" w14:textId="77777777" w:rsidTr="00063F10">
        <w:trPr>
          <w:trHeight w:val="566"/>
        </w:trPr>
        <w:tc>
          <w:tcPr>
            <w:tcW w:w="1588" w:type="dxa"/>
          </w:tcPr>
          <w:p w14:paraId="7CEDFBD3" w14:textId="77777777" w:rsidR="002803B8" w:rsidRPr="00710118" w:rsidRDefault="002803B8" w:rsidP="00063F10">
            <w:pPr>
              <w:pStyle w:val="1GAPara"/>
              <w:ind w:left="0" w:firstLine="0"/>
              <w:jc w:val="both"/>
              <w:rPr>
                <w:b/>
                <w:bCs/>
                <w:lang w:val="fr-FR"/>
              </w:rPr>
            </w:pPr>
            <w:r w:rsidRPr="00710118">
              <w:rPr>
                <w:b/>
                <w:bCs/>
                <w:lang w:val="fr-FR"/>
              </w:rPr>
              <w:t>Étape 0</w:t>
            </w:r>
          </w:p>
        </w:tc>
        <w:tc>
          <w:tcPr>
            <w:tcW w:w="7473" w:type="dxa"/>
          </w:tcPr>
          <w:p w14:paraId="50E2C20E" w14:textId="77777777" w:rsidR="002803B8" w:rsidRPr="00710118" w:rsidRDefault="002803B8" w:rsidP="00063F10">
            <w:pPr>
              <w:pStyle w:val="1GAPara"/>
              <w:ind w:left="0" w:firstLine="0"/>
              <w:jc w:val="both"/>
              <w:rPr>
                <w:b/>
                <w:bCs/>
                <w:lang w:val="fr-FR"/>
              </w:rPr>
            </w:pPr>
            <w:r w:rsidRPr="00710118">
              <w:rPr>
                <w:b/>
                <w:bCs/>
                <w:lang w:val="fr-FR"/>
              </w:rPr>
              <w:t>Actions de pré-soumission (optionnel)</w:t>
            </w:r>
          </w:p>
          <w:p w14:paraId="263B60A3" w14:textId="77777777" w:rsidR="002803B8" w:rsidRPr="00710118" w:rsidRDefault="002803B8" w:rsidP="002803B8">
            <w:pPr>
              <w:pStyle w:val="1GAPara"/>
              <w:numPr>
                <w:ilvl w:val="0"/>
                <w:numId w:val="21"/>
              </w:numPr>
              <w:ind w:left="425" w:hanging="425"/>
              <w:jc w:val="both"/>
              <w:rPr>
                <w:lang w:val="fr-FR"/>
              </w:rPr>
            </w:pPr>
            <w:r w:rsidRPr="00710118">
              <w:rPr>
                <w:lang w:val="fr-FR"/>
              </w:rPr>
              <w:t xml:space="preserve">Les États parties prévoyant d’élargir des candidatures multinationales existantes sont encouragés à annoncer leurs intentions, au sens de la Décision </w:t>
            </w:r>
            <w:hyperlink r:id="rId51" w:history="1">
              <w:r w:rsidRPr="00710118">
                <w:rPr>
                  <w:rStyle w:val="Lienhypertexte"/>
                  <w:lang w:val="fr-FR"/>
                </w:rPr>
                <w:t>7.COM 14</w:t>
              </w:r>
            </w:hyperlink>
            <w:r w:rsidRPr="00710118">
              <w:rPr>
                <w:lang w:val="fr-FR"/>
              </w:rPr>
              <w:t>, de façon anticipée via la page web de la Convention de 2003, à l’aide du formulaire en ligne dédié. Cette démarche permettrait aux autres États d’être informés de l’initiative et d’y adhérer afin de réduire le nombre d’élargissements d’une même candidature.</w:t>
            </w:r>
          </w:p>
          <w:p w14:paraId="4EF726FA" w14:textId="77777777" w:rsidR="002803B8" w:rsidRPr="00710118" w:rsidRDefault="002803B8" w:rsidP="002803B8">
            <w:pPr>
              <w:pStyle w:val="1GAPara"/>
              <w:numPr>
                <w:ilvl w:val="0"/>
                <w:numId w:val="21"/>
              </w:numPr>
              <w:ind w:left="425" w:hanging="425"/>
              <w:jc w:val="both"/>
              <w:rPr>
                <w:lang w:val="fr-FR"/>
              </w:rPr>
            </w:pPr>
            <w:r w:rsidRPr="00710118">
              <w:rPr>
                <w:lang w:val="fr-FR"/>
              </w:rPr>
              <w:t>Si un ou plusieurs États parties et une ou plusieurs communautés, groupes et, le cas échéant, individus concernés en font la demande, l’avis d’un expert peut être sollicité avant la soumission possible d’une demande d’inscription élargie.</w:t>
            </w:r>
          </w:p>
        </w:tc>
      </w:tr>
      <w:tr w:rsidR="002803B8" w:rsidRPr="005641C5" w14:paraId="133406A2" w14:textId="77777777" w:rsidTr="00063F10">
        <w:tc>
          <w:tcPr>
            <w:tcW w:w="1588" w:type="dxa"/>
          </w:tcPr>
          <w:p w14:paraId="48E322FA" w14:textId="77777777" w:rsidR="002803B8" w:rsidRPr="00710118" w:rsidRDefault="002803B8" w:rsidP="00063F10">
            <w:pPr>
              <w:pStyle w:val="1GAPara"/>
              <w:ind w:left="0" w:firstLine="0"/>
              <w:jc w:val="both"/>
              <w:rPr>
                <w:b/>
                <w:bCs/>
                <w:lang w:val="fr-FR"/>
              </w:rPr>
            </w:pPr>
            <w:r w:rsidRPr="00710118">
              <w:rPr>
                <w:b/>
                <w:bCs/>
                <w:lang w:val="fr-FR"/>
              </w:rPr>
              <w:t xml:space="preserve">Étape </w:t>
            </w:r>
            <w:proofErr w:type="gramStart"/>
            <w:r w:rsidRPr="00710118">
              <w:rPr>
                <w:b/>
                <w:bCs/>
                <w:lang w:val="fr-FR"/>
              </w:rPr>
              <w:t>1.a</w:t>
            </w:r>
            <w:proofErr w:type="gramEnd"/>
          </w:p>
        </w:tc>
        <w:tc>
          <w:tcPr>
            <w:tcW w:w="7473" w:type="dxa"/>
          </w:tcPr>
          <w:p w14:paraId="4CC19EAC" w14:textId="77777777" w:rsidR="002803B8" w:rsidRPr="00710118" w:rsidRDefault="002803B8" w:rsidP="00063F10">
            <w:pPr>
              <w:pStyle w:val="1GAPara"/>
              <w:ind w:left="0" w:firstLine="0"/>
              <w:jc w:val="both"/>
              <w:rPr>
                <w:b/>
                <w:bCs/>
                <w:lang w:val="fr-FR"/>
              </w:rPr>
            </w:pPr>
            <w:r w:rsidRPr="00710118">
              <w:rPr>
                <w:b/>
                <w:bCs/>
                <w:lang w:val="fr-FR"/>
              </w:rPr>
              <w:t>Préparation : élargissement de dossiers multinationaux à des communautés, groupes et, le cas échéant, individus concernés dans d’autres États</w:t>
            </w:r>
          </w:p>
          <w:p w14:paraId="3AF0FBC2" w14:textId="77777777" w:rsidR="002803B8" w:rsidRPr="00710118" w:rsidRDefault="002803B8" w:rsidP="002803B8">
            <w:pPr>
              <w:pStyle w:val="1GAPara"/>
              <w:numPr>
                <w:ilvl w:val="0"/>
                <w:numId w:val="21"/>
              </w:numPr>
              <w:ind w:left="425" w:hanging="425"/>
              <w:jc w:val="both"/>
              <w:rPr>
                <w:lang w:val="fr-FR"/>
              </w:rPr>
            </w:pPr>
            <w:r w:rsidRPr="00710118">
              <w:rPr>
                <w:lang w:val="fr-FR"/>
              </w:rPr>
              <w:t>Lancement du processus auprès du Secrétariat par l’État partie à l’origine de la candidature originale.</w:t>
            </w:r>
          </w:p>
          <w:p w14:paraId="49F7220F" w14:textId="77777777" w:rsidR="002803B8" w:rsidRPr="00710118" w:rsidRDefault="002803B8" w:rsidP="002803B8">
            <w:pPr>
              <w:pStyle w:val="1GAPara"/>
              <w:numPr>
                <w:ilvl w:val="0"/>
                <w:numId w:val="21"/>
              </w:numPr>
              <w:ind w:left="425" w:hanging="425"/>
              <w:jc w:val="both"/>
              <w:rPr>
                <w:lang w:val="fr-FR"/>
              </w:rPr>
            </w:pPr>
            <w:r w:rsidRPr="00710118">
              <w:rPr>
                <w:lang w:val="fr-FR"/>
              </w:rPr>
              <w:lastRenderedPageBreak/>
              <w:t>L’/Les États partie(s) rejoignant la candidature doit/doivent démontrer que leur inclusion dans l’élargissement satisfait tous les critères d’inscription requis.</w:t>
            </w:r>
          </w:p>
          <w:p w14:paraId="28E27876" w14:textId="77777777" w:rsidR="002803B8" w:rsidRPr="00710118" w:rsidRDefault="002803B8" w:rsidP="002803B8">
            <w:pPr>
              <w:pStyle w:val="1GAPara"/>
              <w:numPr>
                <w:ilvl w:val="0"/>
                <w:numId w:val="21"/>
              </w:numPr>
              <w:ind w:left="425" w:hanging="425"/>
              <w:jc w:val="both"/>
              <w:rPr>
                <w:lang w:val="fr-FR"/>
              </w:rPr>
            </w:pPr>
            <w:r w:rsidRPr="00710118">
              <w:rPr>
                <w:lang w:val="fr-FR"/>
              </w:rPr>
              <w:t>L’/Les États parties inclus dans l’inscription originale et dans l’/les extension(s) suivante(s) doit/doivent démontrer que la ou les communauté(s), groupes et, le cas échéant, individus concernés ayant donné leur consentement à la soumission de la candidature originale et des élargissements suivants acceptent la proposition d’élargissement, et que les communautés, groupes et, le cas échéant, individus concernés sont volontaires pour participer aux mesures de sauvegarde déjà approuvées, nouvellement proposées ou actualisées, avec les nouvelles communautés, groupes et, le cas échéant, individus concernés et les autorités (au sens de la décision </w:t>
            </w:r>
            <w:hyperlink r:id="rId52" w:history="1">
              <w:r w:rsidRPr="00710118">
                <w:rPr>
                  <w:rStyle w:val="Lienhypertexte"/>
                  <w:lang w:val="fr-FR"/>
                </w:rPr>
                <w:t>10.COM 10</w:t>
              </w:r>
            </w:hyperlink>
            <w:r w:rsidRPr="00710118">
              <w:rPr>
                <w:lang w:val="fr-FR"/>
              </w:rPr>
              <w:t>, paragraphe 15).</w:t>
            </w:r>
          </w:p>
        </w:tc>
      </w:tr>
      <w:tr w:rsidR="002803B8" w:rsidRPr="005641C5" w14:paraId="5051142B" w14:textId="77777777" w:rsidTr="00063F10">
        <w:tc>
          <w:tcPr>
            <w:tcW w:w="1588" w:type="dxa"/>
          </w:tcPr>
          <w:p w14:paraId="4DEF3E6E" w14:textId="77777777" w:rsidR="002803B8" w:rsidRPr="00710118" w:rsidRDefault="002803B8" w:rsidP="00063F10">
            <w:pPr>
              <w:pStyle w:val="1GAPara"/>
              <w:ind w:left="0" w:firstLine="0"/>
              <w:jc w:val="both"/>
              <w:rPr>
                <w:b/>
                <w:bCs/>
                <w:lang w:val="fr-FR"/>
              </w:rPr>
            </w:pPr>
            <w:r w:rsidRPr="00710118">
              <w:rPr>
                <w:b/>
                <w:bCs/>
                <w:lang w:val="fr-FR"/>
              </w:rPr>
              <w:lastRenderedPageBreak/>
              <w:t xml:space="preserve">Étape </w:t>
            </w:r>
            <w:proofErr w:type="gramStart"/>
            <w:r w:rsidRPr="00710118">
              <w:rPr>
                <w:b/>
                <w:bCs/>
                <w:lang w:val="fr-FR"/>
              </w:rPr>
              <w:t>1.b</w:t>
            </w:r>
            <w:proofErr w:type="gramEnd"/>
          </w:p>
        </w:tc>
        <w:tc>
          <w:tcPr>
            <w:tcW w:w="7473" w:type="dxa"/>
          </w:tcPr>
          <w:p w14:paraId="6E3AEA09" w14:textId="77777777" w:rsidR="002803B8" w:rsidRPr="00710118" w:rsidRDefault="002803B8" w:rsidP="00063F10">
            <w:pPr>
              <w:pStyle w:val="1GAPara"/>
              <w:keepNext/>
              <w:ind w:left="0" w:firstLine="0"/>
              <w:jc w:val="both"/>
              <w:rPr>
                <w:b/>
                <w:bCs/>
                <w:lang w:val="fr-FR"/>
              </w:rPr>
            </w:pPr>
            <w:r w:rsidRPr="00710118">
              <w:rPr>
                <w:b/>
                <w:bCs/>
                <w:lang w:val="fr-FR"/>
              </w:rPr>
              <w:t>Préparation : élargissement de dossiers nationaux à d’autres communautés, groupes et, le cas échéant, individus concernés</w:t>
            </w:r>
            <w:r w:rsidRPr="00710118">
              <w:rPr>
                <w:lang w:val="fr-FR"/>
              </w:rPr>
              <w:t xml:space="preserve"> </w:t>
            </w:r>
            <w:r w:rsidRPr="00710118">
              <w:rPr>
                <w:b/>
                <w:bCs/>
                <w:lang w:val="fr-FR"/>
              </w:rPr>
              <w:t>au sein de l’État soumissionnaire</w:t>
            </w:r>
          </w:p>
          <w:p w14:paraId="65314092" w14:textId="77777777" w:rsidR="002803B8" w:rsidRPr="00710118" w:rsidRDefault="002803B8" w:rsidP="002803B8">
            <w:pPr>
              <w:pStyle w:val="1GAPara"/>
              <w:numPr>
                <w:ilvl w:val="0"/>
                <w:numId w:val="21"/>
              </w:numPr>
              <w:ind w:left="425" w:hanging="425"/>
              <w:jc w:val="both"/>
              <w:rPr>
                <w:lang w:val="fr-FR"/>
              </w:rPr>
            </w:pPr>
            <w:r w:rsidRPr="00710118">
              <w:rPr>
                <w:lang w:val="fr-FR"/>
              </w:rPr>
              <w:t>Lancement du processus par l’État partie en consultation avec les communautés, groupes et, le cas échéant, individus concernés ou</w:t>
            </w:r>
            <w:r>
              <w:rPr>
                <w:lang w:val="fr-FR"/>
              </w:rPr>
              <w:t xml:space="preserve"> sinon,</w:t>
            </w:r>
            <w:r w:rsidRPr="00710118">
              <w:rPr>
                <w:lang w:val="fr-FR"/>
              </w:rPr>
              <w:t xml:space="preserve"> par les communautés, groupes et, le cas échéant, individus concernés en coopération avec les autorités compétentes</w:t>
            </w:r>
            <w:r>
              <w:rPr>
                <w:lang w:val="fr-FR"/>
              </w:rPr>
              <w:t xml:space="preserve"> de l’État partie</w:t>
            </w:r>
            <w:r w:rsidRPr="00710118">
              <w:rPr>
                <w:lang w:val="fr-FR"/>
              </w:rPr>
              <w:t>.</w:t>
            </w:r>
          </w:p>
          <w:p w14:paraId="2D87110F" w14:textId="77777777" w:rsidR="002803B8" w:rsidRPr="00710118" w:rsidRDefault="002803B8" w:rsidP="002803B8">
            <w:pPr>
              <w:pStyle w:val="1GAPara"/>
              <w:numPr>
                <w:ilvl w:val="0"/>
                <w:numId w:val="21"/>
              </w:numPr>
              <w:ind w:left="425" w:hanging="425"/>
              <w:jc w:val="both"/>
              <w:rPr>
                <w:lang w:val="fr-FR"/>
              </w:rPr>
            </w:pPr>
            <w:r w:rsidRPr="00710118">
              <w:rPr>
                <w:lang w:val="fr-FR"/>
              </w:rPr>
              <w:t xml:space="preserve">L’État partie concerné doit démontrer que l’ajout de communautés, groupes et, le cas échéant, individus concernés présents sur son territoire et rejoignant une inscription, satisfait les critères requis pour l’inscription en utilisant des formulaires simplifiés. </w:t>
            </w:r>
          </w:p>
          <w:p w14:paraId="31A63522" w14:textId="77777777" w:rsidR="002803B8" w:rsidRPr="00710118" w:rsidRDefault="002803B8" w:rsidP="002803B8">
            <w:pPr>
              <w:pStyle w:val="1GAPara"/>
              <w:numPr>
                <w:ilvl w:val="0"/>
                <w:numId w:val="21"/>
              </w:numPr>
              <w:ind w:left="425" w:hanging="425"/>
              <w:jc w:val="both"/>
              <w:rPr>
                <w:lang w:val="fr-FR"/>
              </w:rPr>
            </w:pPr>
            <w:r w:rsidRPr="00710118">
              <w:rPr>
                <w:lang w:val="fr-FR"/>
              </w:rPr>
              <w:t>L’État partie concerné doit également démontrer que les communautés, groupes et, le cas échéant, individus concernés porteurs de la candidature d’origine donnent leur consentement à l’élargissement de l’élément et acceptent de sauvegarder l’élément avec les communautés, groupes et, le cas échéant, individus concernés rejoignant une inscription.</w:t>
            </w:r>
          </w:p>
        </w:tc>
      </w:tr>
      <w:tr w:rsidR="002803B8" w:rsidRPr="005641C5" w14:paraId="3CBB85F0" w14:textId="77777777" w:rsidTr="00063F10">
        <w:trPr>
          <w:trHeight w:val="1196"/>
        </w:trPr>
        <w:tc>
          <w:tcPr>
            <w:tcW w:w="1588" w:type="dxa"/>
          </w:tcPr>
          <w:p w14:paraId="517FA603" w14:textId="77777777" w:rsidR="002803B8" w:rsidRPr="00710118" w:rsidRDefault="002803B8" w:rsidP="00063F10">
            <w:pPr>
              <w:pStyle w:val="1GAPara"/>
              <w:ind w:left="0" w:firstLine="0"/>
              <w:jc w:val="both"/>
              <w:rPr>
                <w:b/>
                <w:bCs/>
                <w:lang w:val="fr-FR"/>
              </w:rPr>
            </w:pPr>
            <w:r w:rsidRPr="00710118">
              <w:rPr>
                <w:b/>
                <w:bCs/>
                <w:lang w:val="fr-FR"/>
              </w:rPr>
              <w:t>Étape 2</w:t>
            </w:r>
          </w:p>
        </w:tc>
        <w:tc>
          <w:tcPr>
            <w:tcW w:w="7473" w:type="dxa"/>
          </w:tcPr>
          <w:p w14:paraId="2910AC9D" w14:textId="77777777" w:rsidR="002803B8" w:rsidRPr="00710118" w:rsidRDefault="002803B8" w:rsidP="00063F10">
            <w:pPr>
              <w:pStyle w:val="1GAPara"/>
              <w:keepNext/>
              <w:ind w:left="0" w:firstLine="0"/>
              <w:jc w:val="both"/>
              <w:rPr>
                <w:b/>
                <w:bCs/>
                <w:lang w:val="fr-FR"/>
              </w:rPr>
            </w:pPr>
            <w:r w:rsidRPr="00710118">
              <w:rPr>
                <w:b/>
                <w:bCs/>
                <w:lang w:val="fr-FR"/>
              </w:rPr>
              <w:t xml:space="preserve">Évaluation et examen </w:t>
            </w:r>
          </w:p>
          <w:p w14:paraId="7FBACF9C" w14:textId="77777777" w:rsidR="002803B8" w:rsidRPr="00710118" w:rsidRDefault="002803B8" w:rsidP="00063F10">
            <w:pPr>
              <w:pStyle w:val="1GAPara"/>
              <w:keepNext/>
              <w:ind w:left="0" w:firstLine="0"/>
              <w:jc w:val="both"/>
              <w:rPr>
                <w:b/>
                <w:bCs/>
                <w:lang w:val="fr-FR"/>
              </w:rPr>
            </w:pPr>
            <w:r w:rsidRPr="00710118">
              <w:rPr>
                <w:lang w:val="fr-FR"/>
              </w:rPr>
              <w:t>La candidature est évaluée par l’Organe d’évaluation et examinée par le Comité conformément à la procédure d’évaluation et au calendrier réguliers décrits au paragraphe 54 des Directives opérationnelles.</w:t>
            </w:r>
          </w:p>
        </w:tc>
      </w:tr>
    </w:tbl>
    <w:p w14:paraId="010E222E" w14:textId="77777777" w:rsidR="002803B8" w:rsidRPr="00710118" w:rsidRDefault="002803B8" w:rsidP="002803B8">
      <w:pPr>
        <w:ind w:left="567"/>
        <w:jc w:val="both"/>
        <w:rPr>
          <w:rFonts w:asciiTheme="minorBidi" w:hAnsiTheme="minorBidi" w:cstheme="minorBidi"/>
          <w:szCs w:val="22"/>
        </w:rPr>
      </w:pPr>
      <w:r w:rsidRPr="00710118">
        <w:rPr>
          <w:rFonts w:asciiTheme="minorBidi" w:hAnsiTheme="minorBidi" w:cstheme="minorBidi"/>
          <w:szCs w:val="22"/>
        </w:rPr>
        <w:t xml:space="preserve">* Prend également note des implications budgétaires telles qu’indiquées dans le document </w:t>
      </w:r>
      <w:hyperlink r:id="rId53" w:history="1">
        <w:r w:rsidRPr="00710118">
          <w:rPr>
            <w:rStyle w:val="Lienhypertexte"/>
            <w:rFonts w:asciiTheme="minorBidi" w:hAnsiTheme="minorBidi" w:cstheme="minorBidi"/>
            <w:szCs w:val="22"/>
          </w:rPr>
          <w:t>LHE/21/16.COM WG/6</w:t>
        </w:r>
      </w:hyperlink>
      <w:r w:rsidRPr="00710118">
        <w:rPr>
          <w:rFonts w:asciiTheme="minorBidi" w:hAnsiTheme="minorBidi" w:cstheme="minorBidi"/>
          <w:szCs w:val="22"/>
        </w:rPr>
        <w:t>.</w:t>
      </w:r>
    </w:p>
    <w:p w14:paraId="1641F7F6" w14:textId="77777777" w:rsidR="002803B8" w:rsidRPr="00710118" w:rsidRDefault="002803B8" w:rsidP="002803B8">
      <w:pPr>
        <w:numPr>
          <w:ilvl w:val="0"/>
          <w:numId w:val="19"/>
        </w:numPr>
        <w:spacing w:before="240" w:after="120"/>
        <w:ind w:left="567" w:hanging="567"/>
        <w:jc w:val="both"/>
        <w:rPr>
          <w:rFonts w:asciiTheme="minorBidi" w:hAnsiTheme="minorBidi" w:cstheme="minorBidi"/>
          <w:szCs w:val="22"/>
        </w:rPr>
      </w:pPr>
      <w:r w:rsidRPr="00710118">
        <w:rPr>
          <w:rFonts w:asciiTheme="minorBidi" w:hAnsiTheme="minorBidi"/>
          <w:szCs w:val="22"/>
        </w:rPr>
        <w:t>Outre la procédure décrite ci-dessus, la recommandation suivante peut être formulée :</w:t>
      </w:r>
    </w:p>
    <w:p w14:paraId="7BD24326" w14:textId="77777777" w:rsidR="002803B8" w:rsidRPr="00710118" w:rsidRDefault="002803B8" w:rsidP="00212E43">
      <w:pPr>
        <w:pStyle w:val="Paragraphedeliste"/>
        <w:keepNext/>
        <w:numPr>
          <w:ilvl w:val="0"/>
          <w:numId w:val="25"/>
        </w:numPr>
        <w:spacing w:after="120"/>
        <w:ind w:left="992" w:hanging="425"/>
        <w:contextualSpacing w:val="0"/>
        <w:jc w:val="both"/>
        <w:rPr>
          <w:rFonts w:ascii="Arial" w:hAnsi="Arial" w:cs="Arial"/>
          <w:i/>
          <w:iCs/>
          <w:szCs w:val="22"/>
        </w:rPr>
      </w:pPr>
      <w:r w:rsidRPr="00710118">
        <w:rPr>
          <w:rFonts w:ascii="Arial" w:hAnsi="Arial" w:cs="Arial"/>
          <w:i/>
          <w:iCs/>
          <w:szCs w:val="22"/>
        </w:rPr>
        <w:t xml:space="preserve">Le groupe de travail demande au Secrétariat de proposer à la seizième session du Comité intergouvernemental une procédure – et par conséquent des projets d’amendements aux Directives opérationnelles – pour les inscriptions réduites, de manière similaire aux recommandations émises par le groupe de travail pour les inscriptions élargies. </w:t>
      </w:r>
    </w:p>
    <w:p w14:paraId="4C6709A5" w14:textId="77777777" w:rsidR="002803B8" w:rsidRPr="00710118" w:rsidRDefault="002803B8" w:rsidP="002803B8">
      <w:pPr>
        <w:spacing w:before="240"/>
        <w:jc w:val="both"/>
        <w:rPr>
          <w:rFonts w:asciiTheme="minorBidi" w:hAnsiTheme="minorBidi" w:cstheme="minorBidi"/>
          <w:szCs w:val="22"/>
          <w:u w:val="single"/>
        </w:rPr>
      </w:pPr>
      <w:r w:rsidRPr="00710118">
        <w:rPr>
          <w:rFonts w:asciiTheme="minorBidi" w:hAnsiTheme="minorBidi"/>
          <w:szCs w:val="22"/>
          <w:u w:val="single"/>
        </w:rPr>
        <w:t>Article 18 de la Convention</w:t>
      </w:r>
    </w:p>
    <w:p w14:paraId="27E9D257" w14:textId="77777777" w:rsidR="002803B8" w:rsidRPr="00710118" w:rsidRDefault="002803B8" w:rsidP="002803B8">
      <w:pPr>
        <w:numPr>
          <w:ilvl w:val="0"/>
          <w:numId w:val="19"/>
        </w:numPr>
        <w:spacing w:after="120"/>
        <w:ind w:left="567" w:hanging="567"/>
        <w:jc w:val="both"/>
        <w:rPr>
          <w:rFonts w:asciiTheme="minorBidi" w:hAnsiTheme="minorBidi" w:cstheme="minorBidi"/>
          <w:szCs w:val="22"/>
          <w:u w:val="single"/>
        </w:rPr>
      </w:pPr>
      <w:r w:rsidRPr="00710118">
        <w:rPr>
          <w:rFonts w:asciiTheme="minorBidi" w:hAnsiTheme="minorBidi"/>
          <w:szCs w:val="22"/>
        </w:rPr>
        <w:t xml:space="preserve">Le </w:t>
      </w:r>
      <w:r w:rsidRPr="00710118">
        <w:rPr>
          <w:rFonts w:asciiTheme="minorBidi" w:hAnsiTheme="minorBidi"/>
          <w:snapToGrid w:val="0"/>
          <w:szCs w:val="22"/>
        </w:rPr>
        <w:t xml:space="preserve">groupe de travail recommande de lancer une réflexion sur la mise en œuvre plus large de </w:t>
      </w:r>
      <w:r w:rsidRPr="00710118">
        <w:rPr>
          <w:rFonts w:asciiTheme="minorBidi" w:hAnsiTheme="minorBidi"/>
          <w:szCs w:val="22"/>
        </w:rPr>
        <w:t xml:space="preserve">l’article 18 de la Convention </w:t>
      </w:r>
      <w:r w:rsidRPr="00710118">
        <w:rPr>
          <w:rFonts w:ascii="Arial" w:hAnsi="Arial"/>
          <w:snapToGrid w:val="0"/>
          <w:szCs w:val="22"/>
        </w:rPr>
        <w:t>et apprécie l’offre émise par la Suède en soutien de cette initiative.</w:t>
      </w:r>
    </w:p>
    <w:p w14:paraId="50370D73" w14:textId="77777777" w:rsidR="002803B8" w:rsidRPr="00710118" w:rsidRDefault="002803B8" w:rsidP="00212E43">
      <w:pPr>
        <w:keepNext/>
        <w:spacing w:before="240"/>
        <w:jc w:val="both"/>
        <w:rPr>
          <w:rFonts w:asciiTheme="minorBidi" w:hAnsiTheme="minorBidi" w:cstheme="minorBidi"/>
          <w:szCs w:val="22"/>
          <w:u w:val="single"/>
        </w:rPr>
      </w:pPr>
      <w:r w:rsidRPr="00710118">
        <w:rPr>
          <w:rFonts w:asciiTheme="minorBidi" w:hAnsiTheme="minorBidi"/>
          <w:szCs w:val="22"/>
          <w:u w:val="single"/>
        </w:rPr>
        <w:lastRenderedPageBreak/>
        <w:t>Autres questions</w:t>
      </w:r>
    </w:p>
    <w:p w14:paraId="6B0BD74E" w14:textId="77777777" w:rsidR="002803B8" w:rsidRPr="00710118" w:rsidRDefault="002803B8" w:rsidP="002803B8">
      <w:pPr>
        <w:numPr>
          <w:ilvl w:val="0"/>
          <w:numId w:val="19"/>
        </w:numPr>
        <w:spacing w:after="120"/>
        <w:ind w:left="567" w:hanging="567"/>
        <w:jc w:val="both"/>
        <w:rPr>
          <w:rFonts w:asciiTheme="minorBidi" w:hAnsiTheme="minorBidi" w:cstheme="minorBidi"/>
          <w:szCs w:val="22"/>
        </w:rPr>
      </w:pPr>
      <w:r w:rsidRPr="00710118">
        <w:rPr>
          <w:rFonts w:asciiTheme="minorBidi" w:hAnsiTheme="minorBidi"/>
          <w:szCs w:val="22"/>
        </w:rPr>
        <w:t>S’agissant des propositions visant à assurer une participation plus large des communautés, des groupes et, le cas échéant, des individus au système d’inscription, le groupe de travail recommande par ailleurs ce qui suit</w:t>
      </w:r>
      <w:r w:rsidRPr="00710118">
        <w:rPr>
          <w:rFonts w:ascii="Arial" w:hAnsi="Arial"/>
          <w:snapToGrid w:val="0"/>
          <w:szCs w:val="22"/>
        </w:rPr>
        <w:t> </w:t>
      </w:r>
      <w:r w:rsidRPr="00710118">
        <w:rPr>
          <w:rFonts w:asciiTheme="minorBidi" w:hAnsiTheme="minorBidi"/>
          <w:szCs w:val="22"/>
        </w:rPr>
        <w:t>:</w:t>
      </w:r>
    </w:p>
    <w:p w14:paraId="404FC612" w14:textId="77777777" w:rsidR="002803B8" w:rsidRPr="00710118" w:rsidRDefault="002803B8" w:rsidP="002803B8">
      <w:pPr>
        <w:pStyle w:val="Paragraphedeliste"/>
        <w:numPr>
          <w:ilvl w:val="0"/>
          <w:numId w:val="26"/>
        </w:numPr>
        <w:spacing w:after="120"/>
        <w:ind w:left="992" w:hanging="425"/>
        <w:contextualSpacing w:val="0"/>
        <w:jc w:val="both"/>
        <w:rPr>
          <w:rFonts w:ascii="Arial" w:hAnsi="Arial" w:cs="Arial"/>
          <w:i/>
          <w:iCs/>
          <w:szCs w:val="22"/>
        </w:rPr>
      </w:pPr>
      <w:proofErr w:type="gramStart"/>
      <w:r w:rsidRPr="00710118">
        <w:rPr>
          <w:rFonts w:ascii="Arial" w:hAnsi="Arial" w:cs="Arial"/>
          <w:i/>
          <w:iCs/>
          <w:szCs w:val="22"/>
        </w:rPr>
        <w:t>l’utilisation</w:t>
      </w:r>
      <w:proofErr w:type="gramEnd"/>
      <w:r w:rsidRPr="00710118">
        <w:rPr>
          <w:rFonts w:ascii="Arial" w:hAnsi="Arial" w:cs="Arial"/>
          <w:i/>
          <w:iCs/>
          <w:szCs w:val="22"/>
        </w:rPr>
        <w:t xml:space="preserve"> de la langue des communautés (ou une ou des langues qui leur soit accessible(s)) lors de la préparation et de la soumission des candidatures ;</w:t>
      </w:r>
    </w:p>
    <w:p w14:paraId="4F6E6865" w14:textId="77777777" w:rsidR="002803B8" w:rsidRPr="00710118" w:rsidRDefault="002803B8" w:rsidP="002803B8">
      <w:pPr>
        <w:pStyle w:val="Paragraphedeliste"/>
        <w:numPr>
          <w:ilvl w:val="0"/>
          <w:numId w:val="26"/>
        </w:numPr>
        <w:spacing w:after="120"/>
        <w:ind w:left="992" w:hanging="425"/>
        <w:contextualSpacing w:val="0"/>
        <w:jc w:val="both"/>
        <w:rPr>
          <w:rFonts w:asciiTheme="minorBidi" w:hAnsiTheme="minorBidi" w:cstheme="minorBidi"/>
          <w:i/>
          <w:iCs/>
          <w:szCs w:val="22"/>
        </w:rPr>
      </w:pPr>
      <w:proofErr w:type="gramStart"/>
      <w:r w:rsidRPr="00710118">
        <w:rPr>
          <w:rFonts w:ascii="Arial" w:hAnsi="Arial" w:cs="Arial"/>
          <w:i/>
          <w:iCs/>
          <w:szCs w:val="22"/>
        </w:rPr>
        <w:t>l’utilisation</w:t>
      </w:r>
      <w:proofErr w:type="gramEnd"/>
      <w:r w:rsidRPr="00710118">
        <w:rPr>
          <w:rFonts w:ascii="Arial" w:hAnsi="Arial" w:cs="Arial"/>
          <w:i/>
          <w:iCs/>
          <w:szCs w:val="22"/>
        </w:rPr>
        <w:t xml:space="preserve"> de technologies telles que des outils audiovisuels, lorsque cela est possible, pour la mise à disposition des informations requises dans les formulaires de candidature et la communication de préoccupations</w:t>
      </w:r>
      <w:r w:rsidRPr="00710118">
        <w:rPr>
          <w:rFonts w:asciiTheme="minorBidi" w:hAnsiTheme="minorBidi"/>
          <w:i/>
          <w:iCs/>
          <w:szCs w:val="22"/>
        </w:rPr>
        <w:t xml:space="preserve">. </w:t>
      </w:r>
    </w:p>
    <w:p w14:paraId="59A7CBF2" w14:textId="77777777" w:rsidR="002803B8" w:rsidRPr="00710118" w:rsidRDefault="002803B8" w:rsidP="002803B8">
      <w:pPr>
        <w:widowControl w:val="0"/>
        <w:numPr>
          <w:ilvl w:val="0"/>
          <w:numId w:val="19"/>
        </w:numPr>
        <w:spacing w:after="120"/>
        <w:ind w:left="567" w:hanging="567"/>
        <w:jc w:val="both"/>
        <w:rPr>
          <w:rFonts w:asciiTheme="minorBidi" w:hAnsiTheme="minorBidi" w:cstheme="minorBidi"/>
          <w:i/>
          <w:iCs/>
          <w:szCs w:val="22"/>
        </w:rPr>
      </w:pPr>
      <w:r w:rsidRPr="00710118">
        <w:rPr>
          <w:rFonts w:asciiTheme="minorBidi" w:hAnsiTheme="minorBidi"/>
          <w:szCs w:val="22"/>
        </w:rPr>
        <w:t xml:space="preserve">Le groupe de travail recommande d’utiliser un langage inclusif et neutre en termes de genre dans tous les aspects de la mise en œuvre de la Convention, y compris notamment d’éviter l’utilisation de termes tels que « </w:t>
      </w:r>
      <w:proofErr w:type="spellStart"/>
      <w:r w:rsidRPr="00710118">
        <w:rPr>
          <w:rFonts w:asciiTheme="minorBidi" w:hAnsiTheme="minorBidi"/>
          <w:szCs w:val="22"/>
        </w:rPr>
        <w:t>gentleman’s</w:t>
      </w:r>
      <w:proofErr w:type="spellEnd"/>
      <w:r w:rsidRPr="00710118">
        <w:rPr>
          <w:rFonts w:asciiTheme="minorBidi" w:hAnsiTheme="minorBidi"/>
          <w:szCs w:val="22"/>
        </w:rPr>
        <w:t xml:space="preserve"> agreement ».</w:t>
      </w:r>
    </w:p>
    <w:p w14:paraId="1547FA47" w14:textId="77777777" w:rsidR="002803B8" w:rsidRPr="00710118" w:rsidRDefault="002803B8" w:rsidP="002803B8">
      <w:pPr>
        <w:widowControl w:val="0"/>
        <w:numPr>
          <w:ilvl w:val="0"/>
          <w:numId w:val="19"/>
        </w:numPr>
        <w:spacing w:after="120"/>
        <w:ind w:left="567" w:hanging="567"/>
        <w:jc w:val="both"/>
        <w:rPr>
          <w:rFonts w:ascii="Arial" w:hAnsi="Arial" w:cs="Arial"/>
          <w:szCs w:val="22"/>
        </w:rPr>
      </w:pPr>
      <w:r w:rsidRPr="00710118">
        <w:rPr>
          <w:rFonts w:asciiTheme="minorBidi" w:hAnsiTheme="minorBidi"/>
          <w:szCs w:val="22"/>
        </w:rPr>
        <w:t>Le</w:t>
      </w:r>
      <w:r w:rsidRPr="00710118">
        <w:rPr>
          <w:rFonts w:ascii="Arial" w:hAnsi="Arial" w:cs="Arial"/>
          <w:szCs w:val="22"/>
        </w:rPr>
        <w:t xml:space="preserve"> groupe de travail recommande que l’initiative soutenue financièrement par la Suède sur les implications plus larges de l’article 18 de la Convention comprenne la poursuite des débats sur la manière d’améliorer le dialogue et la communication entre les parties prenantes de la Convention de 2003, y compris les communautés, groupes et, le cas échéant, les individus concernés.</w:t>
      </w:r>
    </w:p>
    <w:p w14:paraId="055936D6" w14:textId="77777777" w:rsidR="002803B8" w:rsidRPr="00710118" w:rsidRDefault="002803B8" w:rsidP="002803B8">
      <w:pPr>
        <w:spacing w:before="240"/>
        <w:jc w:val="both"/>
        <w:rPr>
          <w:rFonts w:asciiTheme="minorBidi" w:hAnsiTheme="minorBidi"/>
          <w:szCs w:val="22"/>
          <w:u w:val="single"/>
        </w:rPr>
      </w:pPr>
      <w:proofErr w:type="gramStart"/>
      <w:r w:rsidRPr="00710118">
        <w:rPr>
          <w:rFonts w:asciiTheme="minorBidi" w:hAnsiTheme="minorBidi"/>
          <w:szCs w:val="22"/>
          <w:u w:val="single"/>
        </w:rPr>
        <w:t>Perspectives futures</w:t>
      </w:r>
      <w:proofErr w:type="gramEnd"/>
    </w:p>
    <w:p w14:paraId="4A995654" w14:textId="77777777" w:rsidR="002803B8" w:rsidRPr="00710118" w:rsidRDefault="002803B8" w:rsidP="002803B8">
      <w:pPr>
        <w:numPr>
          <w:ilvl w:val="0"/>
          <w:numId w:val="19"/>
        </w:numPr>
        <w:spacing w:after="120"/>
        <w:ind w:left="567" w:hanging="567"/>
        <w:jc w:val="both"/>
        <w:rPr>
          <w:rFonts w:ascii="Arial" w:hAnsi="Arial"/>
          <w:szCs w:val="22"/>
        </w:rPr>
      </w:pPr>
      <w:r w:rsidRPr="00710118">
        <w:rPr>
          <w:rFonts w:ascii="Arial" w:hAnsi="Arial"/>
          <w:szCs w:val="22"/>
        </w:rPr>
        <w:t>Le groupe de travail demande au Secrétariat de préparer une série de projets d’amendements aux Directives opérationnelles sur la base des recommandations du groupe de travail, pour examen par le Comité lors de sa seizième session.</w:t>
      </w:r>
    </w:p>
    <w:p w14:paraId="7791C342" w14:textId="77777777" w:rsidR="002803B8" w:rsidRPr="00710118" w:rsidRDefault="002803B8" w:rsidP="002803B8">
      <w:pPr>
        <w:numPr>
          <w:ilvl w:val="0"/>
          <w:numId w:val="19"/>
        </w:numPr>
        <w:spacing w:after="120"/>
        <w:ind w:left="567" w:hanging="567"/>
        <w:jc w:val="both"/>
        <w:rPr>
          <w:rFonts w:ascii="Arial" w:hAnsi="Arial"/>
          <w:szCs w:val="22"/>
        </w:rPr>
      </w:pPr>
      <w:r w:rsidRPr="00710118">
        <w:rPr>
          <w:rFonts w:ascii="Arial" w:hAnsi="Arial"/>
          <w:szCs w:val="22"/>
        </w:rPr>
        <w:t>Le groupe de travail recommande au Comité lors de sa seizième session de prolonger son mandat afin d’achever la discussion des questions suivantes en convoquant une réunion en ligne supplémentaire au début de 2022, de sorte que les résultats puissent être examinés par une session extraordinaire du Comité sous la forme de Directives opérationnelles révisées pour examen par la neuvième session de l’Assemblée générale à la mi-2022 :</w:t>
      </w:r>
    </w:p>
    <w:p w14:paraId="2DFCA6A6" w14:textId="77777777" w:rsidR="002803B8" w:rsidRPr="00710118" w:rsidRDefault="002803B8" w:rsidP="002803B8">
      <w:pPr>
        <w:pStyle w:val="Paragraphedeliste"/>
        <w:numPr>
          <w:ilvl w:val="0"/>
          <w:numId w:val="27"/>
        </w:numPr>
        <w:spacing w:after="120"/>
        <w:ind w:left="992" w:hanging="425"/>
        <w:contextualSpacing w:val="0"/>
        <w:jc w:val="both"/>
        <w:rPr>
          <w:rFonts w:ascii="Arial" w:hAnsi="Arial" w:cs="Arial"/>
          <w:i/>
          <w:iCs/>
          <w:szCs w:val="22"/>
        </w:rPr>
      </w:pPr>
      <w:r w:rsidRPr="00710118">
        <w:rPr>
          <w:rFonts w:ascii="Arial" w:hAnsi="Arial" w:cs="Arial"/>
          <w:i/>
          <w:iCs/>
          <w:szCs w:val="22"/>
        </w:rPr>
        <w:t>Réviser la priorité pour l’examen des dossiers de candidature des États parties qui n’ont pas rempli leurs obligations de rapport concernant la mise en œuvre de la Convention et le statut des éléments inscrits sur la Liste représentative ou sur la Liste de sauvegarde urgente ;</w:t>
      </w:r>
    </w:p>
    <w:p w14:paraId="509208E4" w14:textId="77777777" w:rsidR="002803B8" w:rsidRPr="00710118" w:rsidRDefault="002803B8" w:rsidP="002803B8">
      <w:pPr>
        <w:pStyle w:val="Paragraphedeliste"/>
        <w:numPr>
          <w:ilvl w:val="0"/>
          <w:numId w:val="27"/>
        </w:numPr>
        <w:spacing w:after="120"/>
        <w:ind w:left="992" w:hanging="425"/>
        <w:contextualSpacing w:val="0"/>
        <w:jc w:val="both"/>
        <w:rPr>
          <w:rFonts w:ascii="Arial" w:hAnsi="Arial" w:cs="Arial"/>
          <w:i/>
          <w:iCs/>
          <w:szCs w:val="22"/>
        </w:rPr>
      </w:pPr>
      <w:r w:rsidRPr="00710118">
        <w:rPr>
          <w:rFonts w:ascii="Arial" w:hAnsi="Arial" w:cs="Arial"/>
          <w:i/>
          <w:iCs/>
          <w:szCs w:val="22"/>
        </w:rPr>
        <w:t>Considérer la possibilité d’obtenir des informations supplémentaires concernant les candidatures en utilisant un processus de dialogue avec les ONG accréditées et les communautés, les groupes et, le cas échéant, les individus concernés ;</w:t>
      </w:r>
    </w:p>
    <w:p w14:paraId="0D6C03D3" w14:textId="77777777" w:rsidR="002803B8" w:rsidRPr="00710118" w:rsidRDefault="002803B8" w:rsidP="002803B8">
      <w:pPr>
        <w:pStyle w:val="Paragraphedeliste"/>
        <w:numPr>
          <w:ilvl w:val="0"/>
          <w:numId w:val="27"/>
        </w:numPr>
        <w:spacing w:after="120"/>
        <w:ind w:left="992" w:hanging="425"/>
        <w:contextualSpacing w:val="0"/>
        <w:jc w:val="both"/>
        <w:rPr>
          <w:rFonts w:ascii="Arial" w:hAnsi="Arial" w:cs="Arial"/>
          <w:i/>
          <w:iCs/>
          <w:szCs w:val="22"/>
        </w:rPr>
      </w:pPr>
      <w:r w:rsidRPr="00710118">
        <w:rPr>
          <w:rFonts w:ascii="Arial" w:hAnsi="Arial" w:cs="Arial"/>
          <w:i/>
          <w:iCs/>
          <w:szCs w:val="22"/>
        </w:rPr>
        <w:t>Conclure sur les questions suivantes liées au nombre de dossiers par cycle :</w:t>
      </w:r>
    </w:p>
    <w:p w14:paraId="03DB65D6" w14:textId="77777777" w:rsidR="002803B8" w:rsidRPr="00710118" w:rsidRDefault="002803B8" w:rsidP="002803B8">
      <w:pPr>
        <w:pStyle w:val="Paragraphedeliste"/>
        <w:numPr>
          <w:ilvl w:val="0"/>
          <w:numId w:val="28"/>
        </w:numPr>
        <w:spacing w:after="120"/>
        <w:ind w:left="1417" w:hanging="425"/>
        <w:contextualSpacing w:val="0"/>
        <w:jc w:val="both"/>
        <w:rPr>
          <w:rFonts w:ascii="Arial" w:hAnsi="Arial" w:cs="Arial"/>
          <w:i/>
          <w:iCs/>
          <w:szCs w:val="22"/>
        </w:rPr>
      </w:pPr>
      <w:r w:rsidRPr="00710118">
        <w:rPr>
          <w:rFonts w:ascii="Arial" w:hAnsi="Arial" w:cs="Arial"/>
          <w:i/>
          <w:iCs/>
          <w:szCs w:val="22"/>
        </w:rPr>
        <w:t>Revoir l’adaptabilité de la composition et des méthodes de travail de l’Organe d’évaluation afin de permettre l’évaluation d’un plus grand nombre de dossiers par cycle, en gardant à l’esprit la représentation géographique ;</w:t>
      </w:r>
    </w:p>
    <w:p w14:paraId="12DE6E5B" w14:textId="77777777" w:rsidR="002803B8" w:rsidRPr="00710118" w:rsidRDefault="002803B8" w:rsidP="002803B8">
      <w:pPr>
        <w:pStyle w:val="Paragraphedeliste"/>
        <w:numPr>
          <w:ilvl w:val="0"/>
          <w:numId w:val="28"/>
        </w:numPr>
        <w:spacing w:after="120"/>
        <w:ind w:left="1417" w:hanging="425"/>
        <w:contextualSpacing w:val="0"/>
        <w:jc w:val="both"/>
        <w:rPr>
          <w:rFonts w:ascii="Arial" w:hAnsi="Arial" w:cs="Arial"/>
          <w:i/>
          <w:iCs/>
          <w:szCs w:val="22"/>
        </w:rPr>
      </w:pPr>
      <w:r w:rsidRPr="00710118">
        <w:rPr>
          <w:rFonts w:ascii="Arial" w:hAnsi="Arial" w:cs="Arial"/>
          <w:i/>
          <w:iCs/>
          <w:szCs w:val="22"/>
        </w:rPr>
        <w:t>Examiner deux dossiers par État par cycle de trois ans avec une alternance entre une candidature à la Liste représentative et à la Liste de sauvegarde urgente ou au Registre de bonnes pratiques de sauvegarde ;</w:t>
      </w:r>
    </w:p>
    <w:p w14:paraId="7A3C4197" w14:textId="77777777" w:rsidR="002803B8" w:rsidRPr="00710118" w:rsidRDefault="002803B8" w:rsidP="002803B8">
      <w:pPr>
        <w:pStyle w:val="Paragraphedeliste"/>
        <w:numPr>
          <w:ilvl w:val="0"/>
          <w:numId w:val="28"/>
        </w:numPr>
        <w:spacing w:after="120"/>
        <w:ind w:left="1417" w:hanging="425"/>
        <w:contextualSpacing w:val="0"/>
        <w:jc w:val="both"/>
        <w:rPr>
          <w:rFonts w:ascii="Arial" w:hAnsi="Arial" w:cs="Arial"/>
          <w:i/>
          <w:iCs/>
          <w:szCs w:val="22"/>
        </w:rPr>
      </w:pPr>
      <w:r w:rsidRPr="00710118">
        <w:rPr>
          <w:rFonts w:ascii="Arial" w:hAnsi="Arial" w:cs="Arial"/>
          <w:i/>
          <w:iCs/>
          <w:szCs w:val="22"/>
        </w:rPr>
        <w:t>Déplacer toutes les demandes d’assistance internationale au Bureau du Comité intergouvernemental de sauvegarde du patrimoine culturel immatériel ;</w:t>
      </w:r>
    </w:p>
    <w:p w14:paraId="74AD4852" w14:textId="77777777" w:rsidR="002803B8" w:rsidRPr="00710118" w:rsidRDefault="002803B8" w:rsidP="002803B8">
      <w:pPr>
        <w:pStyle w:val="Paragraphedeliste"/>
        <w:numPr>
          <w:ilvl w:val="0"/>
          <w:numId w:val="28"/>
        </w:numPr>
        <w:spacing w:after="120"/>
        <w:ind w:left="1417" w:hanging="425"/>
        <w:contextualSpacing w:val="0"/>
        <w:jc w:val="both"/>
        <w:rPr>
          <w:rFonts w:ascii="Arial" w:hAnsi="Arial" w:cs="Arial"/>
          <w:i/>
          <w:iCs/>
          <w:szCs w:val="22"/>
        </w:rPr>
      </w:pPr>
      <w:r w:rsidRPr="00710118">
        <w:rPr>
          <w:rFonts w:ascii="Arial" w:hAnsi="Arial" w:cs="Arial"/>
          <w:i/>
          <w:iCs/>
          <w:szCs w:val="22"/>
        </w:rPr>
        <w:lastRenderedPageBreak/>
        <w:t>Si les demandes de transfert depuis la Liste de sauvegarde urgente vers la Liste représentative doivent être traitées comme faisant partie du plafond annuel approuvé par le Comité ;</w:t>
      </w:r>
    </w:p>
    <w:p w14:paraId="426E6338" w14:textId="77777777" w:rsidR="00F7285B" w:rsidRDefault="002803B8" w:rsidP="00635807">
      <w:pPr>
        <w:pStyle w:val="Paragraphedeliste"/>
        <w:numPr>
          <w:ilvl w:val="0"/>
          <w:numId w:val="28"/>
        </w:numPr>
        <w:spacing w:after="120"/>
        <w:ind w:left="1417" w:hanging="425"/>
        <w:contextualSpacing w:val="0"/>
        <w:jc w:val="both"/>
        <w:rPr>
          <w:rFonts w:ascii="Arial" w:hAnsi="Arial" w:cs="Arial"/>
          <w:i/>
          <w:iCs/>
          <w:szCs w:val="22"/>
        </w:rPr>
        <w:sectPr w:rsidR="00F7285B" w:rsidSect="00655736">
          <w:headerReference w:type="even" r:id="rId54"/>
          <w:headerReference w:type="default" r:id="rId55"/>
          <w:headerReference w:type="first" r:id="rId56"/>
          <w:pgSz w:w="11906" w:h="16838" w:code="9"/>
          <w:pgMar w:top="1418" w:right="1134" w:bottom="1134" w:left="1134" w:header="397" w:footer="284" w:gutter="0"/>
          <w:cols w:space="708"/>
          <w:titlePg/>
          <w:docGrid w:linePitch="360"/>
        </w:sectPr>
      </w:pPr>
      <w:r w:rsidRPr="00710118">
        <w:rPr>
          <w:rFonts w:ascii="Arial" w:hAnsi="Arial" w:cs="Arial"/>
          <w:i/>
          <w:iCs/>
          <w:szCs w:val="22"/>
        </w:rPr>
        <w:t>Si les demandes d’extension seront traitées comme faisant partie du plafond annuel des dossiers à examiner et dans le cadre des priorités définies par le paragraphe 34 des Directives opérationnelles.</w:t>
      </w:r>
    </w:p>
    <w:p w14:paraId="662AD7F3" w14:textId="480FA7A1" w:rsidR="007C354B" w:rsidRPr="005E0731" w:rsidRDefault="00063F10" w:rsidP="00063F10">
      <w:pPr>
        <w:pStyle w:val="Titre4"/>
        <w:numPr>
          <w:ilvl w:val="0"/>
          <w:numId w:val="0"/>
        </w:numPr>
        <w:ind w:left="720" w:hanging="720"/>
      </w:pPr>
      <w:bookmarkStart w:id="3" w:name="_Annexe_II"/>
      <w:bookmarkEnd w:id="3"/>
      <w:r w:rsidRPr="005E0731">
        <w:lastRenderedPageBreak/>
        <w:t>Annexe II</w:t>
      </w:r>
    </w:p>
    <w:p w14:paraId="7ED4ED18" w14:textId="77777777" w:rsidR="00063F10" w:rsidRPr="00063F10" w:rsidRDefault="00063F10" w:rsidP="00063F10">
      <w:pPr>
        <w:jc w:val="center"/>
        <w:rPr>
          <w:rFonts w:ascii="Calibri" w:eastAsia="Yu Mincho" w:hAnsi="Calibri" w:cs="Arial"/>
          <w:b/>
          <w:bCs/>
          <w:sz w:val="22"/>
          <w:szCs w:val="22"/>
          <w:lang w:eastAsia="ja-JP"/>
        </w:rPr>
      </w:pPr>
      <w:r w:rsidRPr="00063F10">
        <w:rPr>
          <w:rFonts w:ascii="Calibri" w:eastAsia="Yu Mincho" w:hAnsi="Calibri" w:cs="Arial"/>
          <w:b/>
          <w:bCs/>
          <w:sz w:val="22"/>
          <w:szCs w:val="22"/>
          <w:lang w:eastAsia="ja-JP"/>
        </w:rPr>
        <w:t>Annexe (version 11 novembre avec derniers commentaires LA)</w:t>
      </w:r>
    </w:p>
    <w:p w14:paraId="49989E4A" w14:textId="77777777" w:rsidR="00063F10" w:rsidRPr="00063F10" w:rsidRDefault="00063F10" w:rsidP="00063F10">
      <w:pPr>
        <w:spacing w:after="360"/>
        <w:jc w:val="center"/>
        <w:rPr>
          <w:rFonts w:ascii="Calibri" w:eastAsia="Yu Mincho" w:hAnsi="Calibri" w:cs="Arial"/>
          <w:b/>
          <w:bCs/>
          <w:sz w:val="22"/>
          <w:szCs w:val="22"/>
          <w:lang w:eastAsia="ja-JP"/>
        </w:rPr>
      </w:pPr>
      <w:r w:rsidRPr="00063F10">
        <w:rPr>
          <w:rFonts w:ascii="Calibri" w:eastAsia="Yu Mincho" w:hAnsi="Calibri" w:cs="Arial"/>
          <w:b/>
          <w:bCs/>
          <w:sz w:val="22"/>
          <w:szCs w:val="22"/>
          <w:lang w:eastAsia="ja-JP"/>
        </w:rPr>
        <w:t>Propositions d’amendements aux Directives opérationnelles pour la mise en œuvre de la Convention</w:t>
      </w:r>
    </w:p>
    <w:tbl>
      <w:tblPr>
        <w:tblStyle w:val="Grilledutableau1"/>
        <w:tblW w:w="14279" w:type="dxa"/>
        <w:tblLook w:val="04A0" w:firstRow="1" w:lastRow="0" w:firstColumn="1" w:lastColumn="0" w:noHBand="0" w:noVBand="1"/>
      </w:tblPr>
      <w:tblGrid>
        <w:gridCol w:w="741"/>
        <w:gridCol w:w="1948"/>
        <w:gridCol w:w="4458"/>
        <w:gridCol w:w="779"/>
        <w:gridCol w:w="1748"/>
        <w:gridCol w:w="4605"/>
      </w:tblGrid>
      <w:tr w:rsidR="00063F10" w:rsidRPr="00063F10" w14:paraId="54D969F9" w14:textId="77777777" w:rsidTr="00063F10">
        <w:tc>
          <w:tcPr>
            <w:tcW w:w="7147" w:type="dxa"/>
            <w:gridSpan w:val="3"/>
            <w:shd w:val="clear" w:color="auto" w:fill="E2EFD9"/>
          </w:tcPr>
          <w:p w14:paraId="7EFD5E5C" w14:textId="77777777" w:rsidR="00063F10" w:rsidRPr="00063F10" w:rsidRDefault="00063F10" w:rsidP="00063F10">
            <w:pPr>
              <w:spacing w:before="120" w:after="120"/>
              <w:jc w:val="center"/>
              <w:rPr>
                <w:rFonts w:ascii="Calibri" w:eastAsia="Yu Mincho" w:hAnsi="Calibri"/>
                <w:b/>
                <w:bCs/>
                <w:sz w:val="22"/>
                <w:szCs w:val="22"/>
              </w:rPr>
            </w:pPr>
            <w:r w:rsidRPr="00063F10">
              <w:rPr>
                <w:rFonts w:ascii="Calibri" w:eastAsia="Yu Mincho" w:hAnsi="Calibri"/>
                <w:b/>
                <w:bCs/>
                <w:sz w:val="22"/>
                <w:szCs w:val="22"/>
              </w:rPr>
              <w:t>Directives opérationnelles (édition 2020)</w:t>
            </w:r>
          </w:p>
        </w:tc>
        <w:tc>
          <w:tcPr>
            <w:tcW w:w="7132" w:type="dxa"/>
            <w:gridSpan w:val="3"/>
            <w:shd w:val="clear" w:color="auto" w:fill="DEEAF6"/>
          </w:tcPr>
          <w:p w14:paraId="5919FBB0" w14:textId="77777777" w:rsidR="00063F10" w:rsidRPr="00063F10" w:rsidRDefault="00063F10" w:rsidP="00063F10">
            <w:pPr>
              <w:spacing w:before="120" w:after="120"/>
              <w:jc w:val="center"/>
              <w:rPr>
                <w:rFonts w:ascii="Calibri" w:eastAsia="Yu Mincho" w:hAnsi="Calibri"/>
                <w:b/>
                <w:bCs/>
                <w:sz w:val="22"/>
                <w:szCs w:val="22"/>
              </w:rPr>
            </w:pPr>
            <w:r w:rsidRPr="00063F10">
              <w:rPr>
                <w:rFonts w:ascii="Calibri" w:eastAsia="Yu Mincho" w:hAnsi="Calibri"/>
                <w:b/>
                <w:bCs/>
                <w:sz w:val="22"/>
                <w:szCs w:val="22"/>
              </w:rPr>
              <w:t>Amendements proposés</w:t>
            </w:r>
          </w:p>
        </w:tc>
      </w:tr>
      <w:tr w:rsidR="00063F10" w:rsidRPr="00063F10" w14:paraId="583A47BD" w14:textId="77777777" w:rsidTr="00063F10">
        <w:tc>
          <w:tcPr>
            <w:tcW w:w="741" w:type="dxa"/>
            <w:shd w:val="clear" w:color="auto" w:fill="F2F2F2"/>
          </w:tcPr>
          <w:p w14:paraId="33C369E6" w14:textId="77777777" w:rsidR="00063F10" w:rsidRPr="00063F10" w:rsidRDefault="00063F10" w:rsidP="00063F10">
            <w:pPr>
              <w:keepNext/>
              <w:keepLines/>
              <w:spacing w:before="120" w:after="120"/>
              <w:rPr>
                <w:rFonts w:ascii="Calibri" w:eastAsia="Yu Mincho" w:hAnsi="Calibri"/>
                <w:b/>
                <w:bCs/>
                <w:color w:val="1F4E79"/>
                <w:sz w:val="22"/>
                <w:szCs w:val="22"/>
              </w:rPr>
            </w:pPr>
            <w:r w:rsidRPr="00063F10">
              <w:rPr>
                <w:rFonts w:ascii="Calibri" w:eastAsia="Yu Mincho" w:hAnsi="Calibri"/>
                <w:b/>
                <w:bCs/>
                <w:color w:val="1F4E79"/>
                <w:sz w:val="22"/>
                <w:szCs w:val="22"/>
              </w:rPr>
              <w:t>I.3</w:t>
            </w:r>
          </w:p>
        </w:tc>
        <w:tc>
          <w:tcPr>
            <w:tcW w:w="6406" w:type="dxa"/>
            <w:gridSpan w:val="2"/>
            <w:shd w:val="clear" w:color="auto" w:fill="F2F2F2"/>
          </w:tcPr>
          <w:p w14:paraId="6AC25A5E" w14:textId="77777777" w:rsidR="00063F10" w:rsidRPr="00063F10" w:rsidRDefault="00063F10" w:rsidP="00063F10">
            <w:pPr>
              <w:keepNext/>
              <w:keepLines/>
              <w:spacing w:before="120" w:after="120"/>
              <w:rPr>
                <w:rFonts w:ascii="Calibri" w:eastAsia="Yu Mincho" w:hAnsi="Calibri"/>
                <w:b/>
                <w:bCs/>
                <w:color w:val="1F4E79"/>
                <w:sz w:val="22"/>
                <w:szCs w:val="22"/>
              </w:rPr>
            </w:pPr>
            <w:r w:rsidRPr="00063F10">
              <w:rPr>
                <w:rFonts w:ascii="Calibri" w:eastAsia="Yu Mincho" w:hAnsi="Calibri"/>
                <w:b/>
                <w:bCs/>
                <w:color w:val="1F4E79"/>
                <w:sz w:val="22"/>
                <w:szCs w:val="22"/>
              </w:rPr>
              <w:t>Critères pour la sélection des programmes, projets et activités reflétant le mieux les principes et objectifs de la Convention</w:t>
            </w:r>
          </w:p>
        </w:tc>
        <w:tc>
          <w:tcPr>
            <w:tcW w:w="779" w:type="dxa"/>
            <w:shd w:val="clear" w:color="auto" w:fill="F2F2F2"/>
          </w:tcPr>
          <w:p w14:paraId="3D11C2BB" w14:textId="77777777" w:rsidR="00063F10" w:rsidRPr="00063F10" w:rsidRDefault="00063F10" w:rsidP="00063F10">
            <w:pPr>
              <w:keepNext/>
              <w:keepLines/>
              <w:spacing w:before="120" w:after="120"/>
              <w:rPr>
                <w:rFonts w:ascii="Calibri" w:eastAsia="Yu Mincho" w:hAnsi="Calibri"/>
                <w:b/>
                <w:bCs/>
                <w:sz w:val="22"/>
                <w:szCs w:val="22"/>
              </w:rPr>
            </w:pPr>
            <w:r w:rsidRPr="00063F10">
              <w:rPr>
                <w:rFonts w:ascii="Calibri" w:eastAsia="Yu Mincho" w:hAnsi="Calibri"/>
                <w:b/>
                <w:bCs/>
                <w:color w:val="1F4E79"/>
                <w:sz w:val="22"/>
                <w:szCs w:val="22"/>
              </w:rPr>
              <w:t>I.3</w:t>
            </w:r>
          </w:p>
        </w:tc>
        <w:tc>
          <w:tcPr>
            <w:tcW w:w="6353" w:type="dxa"/>
            <w:gridSpan w:val="2"/>
            <w:shd w:val="clear" w:color="auto" w:fill="F2F2F2"/>
          </w:tcPr>
          <w:p w14:paraId="6D686010" w14:textId="77777777" w:rsidR="00063F10" w:rsidRPr="00063F10" w:rsidRDefault="00063F10" w:rsidP="00063F10">
            <w:pPr>
              <w:keepNext/>
              <w:keepLines/>
              <w:spacing w:before="120" w:after="120"/>
              <w:rPr>
                <w:rFonts w:ascii="Calibri" w:eastAsia="Yu Mincho" w:hAnsi="Calibri"/>
                <w:sz w:val="22"/>
                <w:szCs w:val="22"/>
              </w:rPr>
            </w:pPr>
            <w:r w:rsidRPr="00063F10">
              <w:rPr>
                <w:rFonts w:ascii="Calibri" w:eastAsia="Yu Mincho" w:hAnsi="Calibri"/>
                <w:sz w:val="22"/>
                <w:szCs w:val="22"/>
              </w:rPr>
              <w:t>[Sans changement.]</w:t>
            </w:r>
          </w:p>
        </w:tc>
      </w:tr>
      <w:tr w:rsidR="00063F10" w:rsidRPr="00063F10" w14:paraId="6CE5316C" w14:textId="77777777" w:rsidTr="00063F10">
        <w:tc>
          <w:tcPr>
            <w:tcW w:w="741" w:type="dxa"/>
          </w:tcPr>
          <w:p w14:paraId="4EDEF64D" w14:textId="77777777" w:rsidR="00063F10" w:rsidRPr="00063F10" w:rsidRDefault="00063F10" w:rsidP="00063F10">
            <w:pPr>
              <w:spacing w:before="60" w:after="60"/>
              <w:rPr>
                <w:rFonts w:ascii="Calibri" w:eastAsia="Yu Mincho" w:hAnsi="Calibri"/>
                <w:sz w:val="22"/>
                <w:szCs w:val="22"/>
              </w:rPr>
            </w:pPr>
            <w:r w:rsidRPr="00063F10">
              <w:rPr>
                <w:rFonts w:ascii="Calibri" w:eastAsia="Yu Mincho" w:hAnsi="Calibri"/>
                <w:sz w:val="22"/>
                <w:szCs w:val="22"/>
              </w:rPr>
              <w:t>7.</w:t>
            </w:r>
          </w:p>
        </w:tc>
        <w:tc>
          <w:tcPr>
            <w:tcW w:w="6406" w:type="dxa"/>
            <w:gridSpan w:val="2"/>
          </w:tcPr>
          <w:p w14:paraId="5A9BBD3D" w14:textId="77777777" w:rsidR="00063F10" w:rsidRPr="00063F10" w:rsidRDefault="00063F10" w:rsidP="00063F10">
            <w:pPr>
              <w:widowControl w:val="0"/>
              <w:tabs>
                <w:tab w:val="left" w:pos="2127"/>
                <w:tab w:val="left" w:pos="2176"/>
              </w:tabs>
              <w:autoSpaceDE w:val="0"/>
              <w:autoSpaceDN w:val="0"/>
              <w:spacing w:before="60" w:after="60"/>
              <w:rPr>
                <w:rFonts w:ascii="Calibri" w:eastAsia="Calibri" w:hAnsi="Calibri" w:cs="Calibri"/>
                <w:color w:val="231F20"/>
                <w:sz w:val="20"/>
                <w:szCs w:val="22"/>
                <w:lang w:eastAsia="en-US"/>
              </w:rPr>
            </w:pPr>
            <w:r w:rsidRPr="00063F10">
              <w:rPr>
                <w:rFonts w:ascii="Calibri" w:eastAsia="Calibri" w:hAnsi="Calibri" w:cs="Calibri"/>
                <w:color w:val="231F20"/>
                <w:sz w:val="20"/>
                <w:szCs w:val="22"/>
                <w:lang w:eastAsia="en-US"/>
              </w:rPr>
              <w:t>[…]</w:t>
            </w:r>
          </w:p>
          <w:p w14:paraId="23B7C220" w14:textId="77777777" w:rsidR="00063F10" w:rsidRPr="00063F10" w:rsidRDefault="00063F10" w:rsidP="00063F10">
            <w:pPr>
              <w:widowControl w:val="0"/>
              <w:tabs>
                <w:tab w:val="left" w:pos="2127"/>
                <w:tab w:val="left" w:pos="2176"/>
              </w:tabs>
              <w:autoSpaceDE w:val="0"/>
              <w:autoSpaceDN w:val="0"/>
              <w:spacing w:before="60" w:after="60"/>
              <w:rPr>
                <w:rFonts w:ascii="Calibri" w:eastAsia="Calibri" w:hAnsi="Calibri" w:cs="Calibri"/>
                <w:sz w:val="20"/>
                <w:szCs w:val="22"/>
                <w:lang w:eastAsia="en-US"/>
              </w:rPr>
            </w:pPr>
            <w:r w:rsidRPr="00063F10">
              <w:rPr>
                <w:rFonts w:ascii="Calibri" w:eastAsia="Calibri" w:hAnsi="Calibri" w:cs="Calibri"/>
                <w:color w:val="231F20"/>
                <w:sz w:val="20"/>
                <w:szCs w:val="22"/>
                <w:lang w:eastAsia="en-US"/>
              </w:rPr>
              <w:t xml:space="preserve">P.9 </w:t>
            </w:r>
            <w:r w:rsidRPr="00063F10">
              <w:rPr>
                <w:rFonts w:ascii="Calibri" w:eastAsia="Calibri" w:hAnsi="Calibri" w:cs="Calibri"/>
                <w:sz w:val="20"/>
                <w:szCs w:val="20"/>
                <w:lang w:eastAsia="en-US"/>
              </w:rPr>
              <w:t>Le programme, le projet ou l’activité répond essentiellement aux besoins particuliers des pays en développement.</w:t>
            </w:r>
          </w:p>
        </w:tc>
        <w:tc>
          <w:tcPr>
            <w:tcW w:w="779" w:type="dxa"/>
          </w:tcPr>
          <w:p w14:paraId="5B9F0DDB" w14:textId="77777777" w:rsidR="00063F10" w:rsidRPr="00063F10" w:rsidRDefault="00063F10" w:rsidP="00063F10">
            <w:pPr>
              <w:spacing w:before="60" w:after="60"/>
              <w:rPr>
                <w:rFonts w:ascii="Calibri" w:eastAsia="Yu Mincho" w:hAnsi="Calibri"/>
                <w:sz w:val="22"/>
                <w:szCs w:val="22"/>
              </w:rPr>
            </w:pPr>
            <w:r w:rsidRPr="005E0731">
              <w:rPr>
                <w:rFonts w:ascii="Calibri" w:eastAsia="Yu Mincho" w:hAnsi="Calibri"/>
                <w:sz w:val="22"/>
                <w:szCs w:val="22"/>
              </w:rPr>
              <w:t>7.</w:t>
            </w:r>
          </w:p>
        </w:tc>
        <w:tc>
          <w:tcPr>
            <w:tcW w:w="6353" w:type="dxa"/>
            <w:gridSpan w:val="2"/>
          </w:tcPr>
          <w:p w14:paraId="7FE3684A" w14:textId="77777777" w:rsidR="00063F10" w:rsidRPr="00063F10" w:rsidRDefault="00063F10" w:rsidP="00063F10">
            <w:pPr>
              <w:spacing w:before="60" w:after="60"/>
              <w:rPr>
                <w:rFonts w:ascii="Calibri" w:eastAsia="Yu Mincho" w:hAnsi="Calibri"/>
                <w:sz w:val="22"/>
                <w:szCs w:val="22"/>
              </w:rPr>
            </w:pPr>
            <w:r w:rsidRPr="00063F10">
              <w:rPr>
                <w:rFonts w:ascii="Calibri" w:eastAsia="Yu Mincho" w:hAnsi="Calibri"/>
                <w:sz w:val="22"/>
                <w:szCs w:val="22"/>
              </w:rPr>
              <w:t>[…]</w:t>
            </w:r>
          </w:p>
          <w:p w14:paraId="5224E800" w14:textId="77777777" w:rsidR="00063F10" w:rsidRPr="00063F10" w:rsidRDefault="00063F10" w:rsidP="00063F10">
            <w:pPr>
              <w:widowControl w:val="0"/>
              <w:tabs>
                <w:tab w:val="left" w:pos="2127"/>
                <w:tab w:val="left" w:pos="2176"/>
              </w:tabs>
              <w:autoSpaceDE w:val="0"/>
              <w:autoSpaceDN w:val="0"/>
              <w:spacing w:before="60" w:after="60"/>
              <w:rPr>
                <w:rFonts w:ascii="Calibri" w:eastAsia="Calibri" w:hAnsi="Calibri" w:cs="Calibri"/>
                <w:strike/>
                <w:sz w:val="20"/>
                <w:szCs w:val="22"/>
                <w:lang w:eastAsia="en-US"/>
              </w:rPr>
            </w:pPr>
            <w:r w:rsidRPr="00063F10">
              <w:rPr>
                <w:rFonts w:ascii="Calibri" w:eastAsia="Calibri" w:hAnsi="Calibri" w:cs="Calibri"/>
                <w:strike/>
                <w:color w:val="231F20"/>
                <w:sz w:val="20"/>
                <w:szCs w:val="22"/>
                <w:lang w:eastAsia="en-US"/>
              </w:rPr>
              <w:t xml:space="preserve">P.9 </w:t>
            </w:r>
            <w:r w:rsidRPr="00063F10">
              <w:rPr>
                <w:rFonts w:ascii="Calibri" w:eastAsia="Calibri" w:hAnsi="Calibri" w:cs="Calibri"/>
                <w:strike/>
                <w:sz w:val="20"/>
                <w:szCs w:val="20"/>
                <w:lang w:eastAsia="en-US"/>
              </w:rPr>
              <w:t>Le programme, le projet ou l’activité répond essentiellement aux besoins particuliers des pays en développement.</w:t>
            </w:r>
            <w:r w:rsidRPr="00063F10">
              <w:rPr>
                <w:rFonts w:ascii="Calibri" w:eastAsia="Calibri" w:hAnsi="Calibri" w:cs="Calibri"/>
                <w:color w:val="231F20"/>
                <w:sz w:val="20"/>
                <w:szCs w:val="22"/>
                <w:lang w:eastAsia="en-US"/>
              </w:rPr>
              <w:t xml:space="preserve"> </w:t>
            </w:r>
            <w:r w:rsidRPr="00063F10">
              <w:rPr>
                <w:rFonts w:ascii="Calibri" w:eastAsia="Calibri" w:hAnsi="Calibri" w:cs="Calibri"/>
                <w:color w:val="231F20"/>
                <w:sz w:val="20"/>
                <w:szCs w:val="22"/>
                <w:vertAlign w:val="superscript"/>
                <w:lang w:eastAsia="en-US"/>
              </w:rPr>
              <w:footnoteReference w:id="5"/>
            </w:r>
          </w:p>
        </w:tc>
      </w:tr>
      <w:tr w:rsidR="00063F10" w:rsidRPr="00063F10" w14:paraId="632729FE" w14:textId="77777777" w:rsidTr="00063F10">
        <w:tc>
          <w:tcPr>
            <w:tcW w:w="741" w:type="dxa"/>
            <w:shd w:val="clear" w:color="auto" w:fill="F2F2F2"/>
          </w:tcPr>
          <w:p w14:paraId="2FA5EBE1" w14:textId="77777777" w:rsidR="00063F10" w:rsidRPr="00063F10" w:rsidRDefault="00063F10" w:rsidP="00063F10">
            <w:pPr>
              <w:keepNext/>
              <w:keepLines/>
              <w:spacing w:before="120" w:after="120"/>
              <w:rPr>
                <w:rFonts w:ascii="Calibri" w:eastAsia="Yu Mincho" w:hAnsi="Calibri"/>
                <w:b/>
                <w:bCs/>
                <w:color w:val="1F4E79"/>
                <w:sz w:val="22"/>
                <w:szCs w:val="22"/>
              </w:rPr>
            </w:pPr>
            <w:r w:rsidRPr="00063F10">
              <w:rPr>
                <w:rFonts w:ascii="Calibri" w:eastAsia="Yu Mincho" w:hAnsi="Calibri"/>
                <w:b/>
                <w:bCs/>
                <w:color w:val="1F4E79"/>
                <w:sz w:val="22"/>
                <w:szCs w:val="22"/>
              </w:rPr>
              <w:t>I.6</w:t>
            </w:r>
          </w:p>
        </w:tc>
        <w:tc>
          <w:tcPr>
            <w:tcW w:w="6406" w:type="dxa"/>
            <w:gridSpan w:val="2"/>
            <w:shd w:val="clear" w:color="auto" w:fill="F2F2F2"/>
          </w:tcPr>
          <w:p w14:paraId="0B56E318" w14:textId="77777777" w:rsidR="00063F10" w:rsidRPr="00063F10" w:rsidRDefault="00063F10" w:rsidP="00063F10">
            <w:pPr>
              <w:keepNext/>
              <w:keepLines/>
              <w:spacing w:before="120" w:after="120"/>
              <w:rPr>
                <w:rFonts w:ascii="Calibri" w:eastAsia="Yu Mincho" w:hAnsi="Calibri"/>
                <w:b/>
                <w:bCs/>
                <w:color w:val="1F4E79"/>
                <w:sz w:val="22"/>
                <w:szCs w:val="22"/>
              </w:rPr>
            </w:pPr>
            <w:r w:rsidRPr="00063F10">
              <w:rPr>
                <w:rFonts w:ascii="Calibri" w:eastAsia="Yu Mincho" w:hAnsi="Calibri"/>
                <w:b/>
                <w:bCs/>
                <w:color w:val="1F4E79"/>
                <w:sz w:val="22"/>
                <w:szCs w:val="22"/>
              </w:rPr>
              <w:t>Inscription élargie ou réduite</w:t>
            </w:r>
          </w:p>
        </w:tc>
        <w:tc>
          <w:tcPr>
            <w:tcW w:w="779" w:type="dxa"/>
            <w:shd w:val="clear" w:color="auto" w:fill="F2F2F2"/>
          </w:tcPr>
          <w:p w14:paraId="1F52C6B8" w14:textId="77777777" w:rsidR="00063F10" w:rsidRPr="00063F10" w:rsidRDefault="00063F10" w:rsidP="00063F10">
            <w:pPr>
              <w:keepNext/>
              <w:keepLines/>
              <w:spacing w:before="120" w:after="120"/>
              <w:rPr>
                <w:rFonts w:ascii="Calibri" w:eastAsia="Yu Mincho" w:hAnsi="Calibri"/>
                <w:b/>
                <w:bCs/>
                <w:color w:val="1F4E79"/>
                <w:sz w:val="22"/>
                <w:szCs w:val="22"/>
              </w:rPr>
            </w:pPr>
            <w:r w:rsidRPr="00063F10">
              <w:rPr>
                <w:rFonts w:ascii="Calibri" w:eastAsia="Yu Mincho" w:hAnsi="Calibri"/>
                <w:b/>
                <w:bCs/>
                <w:color w:val="1F4E79"/>
                <w:sz w:val="22"/>
                <w:szCs w:val="22"/>
              </w:rPr>
              <w:t>I.6</w:t>
            </w:r>
          </w:p>
        </w:tc>
        <w:tc>
          <w:tcPr>
            <w:tcW w:w="6353" w:type="dxa"/>
            <w:gridSpan w:val="2"/>
            <w:shd w:val="clear" w:color="auto" w:fill="F2F2F2"/>
          </w:tcPr>
          <w:p w14:paraId="459E40C2" w14:textId="77777777" w:rsidR="00063F10" w:rsidRPr="00063F10" w:rsidRDefault="00063F10" w:rsidP="00063F10">
            <w:pPr>
              <w:keepNext/>
              <w:keepLines/>
              <w:spacing w:before="120" w:after="120"/>
              <w:rPr>
                <w:rFonts w:ascii="Calibri" w:eastAsia="Yu Mincho" w:hAnsi="Calibri"/>
                <w:color w:val="1F4E79"/>
                <w:sz w:val="22"/>
                <w:szCs w:val="22"/>
              </w:rPr>
            </w:pPr>
            <w:r w:rsidRPr="00063F10">
              <w:rPr>
                <w:rFonts w:ascii="Calibri" w:eastAsia="Yu Mincho" w:hAnsi="Calibri"/>
                <w:color w:val="1F4E79"/>
                <w:sz w:val="22"/>
                <w:szCs w:val="22"/>
              </w:rPr>
              <w:t>[</w:t>
            </w:r>
            <w:r w:rsidRPr="00063F10">
              <w:rPr>
                <w:rFonts w:ascii="Calibri" w:eastAsia="Yu Mincho" w:hAnsi="Calibri"/>
                <w:sz w:val="22"/>
                <w:szCs w:val="22"/>
              </w:rPr>
              <w:t>Sans changement.]</w:t>
            </w:r>
          </w:p>
        </w:tc>
      </w:tr>
      <w:tr w:rsidR="00063F10" w:rsidRPr="00063F10" w14:paraId="356431AD" w14:textId="77777777" w:rsidTr="00063F10">
        <w:tc>
          <w:tcPr>
            <w:tcW w:w="741" w:type="dxa"/>
          </w:tcPr>
          <w:p w14:paraId="7082D51B" w14:textId="77777777" w:rsidR="00063F10" w:rsidRPr="00063F10" w:rsidRDefault="00063F10" w:rsidP="00063F10">
            <w:pPr>
              <w:spacing w:before="60" w:after="60"/>
              <w:rPr>
                <w:rFonts w:ascii="Calibri" w:eastAsia="Yu Mincho" w:hAnsi="Calibri"/>
                <w:sz w:val="20"/>
                <w:szCs w:val="20"/>
              </w:rPr>
            </w:pPr>
            <w:r w:rsidRPr="00063F10">
              <w:rPr>
                <w:rFonts w:ascii="Calibri" w:eastAsia="Yu Mincho" w:hAnsi="Calibri"/>
                <w:sz w:val="20"/>
                <w:szCs w:val="20"/>
              </w:rPr>
              <w:t>16.</w:t>
            </w:r>
          </w:p>
        </w:tc>
        <w:tc>
          <w:tcPr>
            <w:tcW w:w="6406" w:type="dxa"/>
            <w:gridSpan w:val="2"/>
          </w:tcPr>
          <w:p w14:paraId="663652DC" w14:textId="77777777" w:rsidR="00063F10" w:rsidRPr="00063F10" w:rsidRDefault="00063F10" w:rsidP="00063F10">
            <w:pPr>
              <w:spacing w:before="60" w:after="60"/>
              <w:rPr>
                <w:rFonts w:ascii="Calibri" w:eastAsia="Yu Mincho" w:hAnsi="Calibri"/>
                <w:sz w:val="20"/>
                <w:szCs w:val="20"/>
              </w:rPr>
            </w:pPr>
            <w:r w:rsidRPr="00063F10">
              <w:rPr>
                <w:rFonts w:ascii="Calibri" w:eastAsia="Yu Mincho" w:hAnsi="Calibri"/>
                <w:sz w:val="20"/>
                <w:szCs w:val="20"/>
              </w:rPr>
              <w:t>L’inscription d’un élément sur la Liste du patrimoine culturel immatériel nécessitant une sauvegarde urgente ou sur la Liste représentative du patrimoine culturel immatériel de l’humanité peut être élargie à d’autres communautés, groupes et, le cas échéant, individus, au niveau national et/ou international, à la demande de(s) (l’)État(s) partie(s) sur le(s) territoire(s) duquel (desquels) l’élément est présent, avec le consentement des communautés, groupes et, le cas échéant, individus concernés.</w:t>
            </w:r>
          </w:p>
        </w:tc>
        <w:tc>
          <w:tcPr>
            <w:tcW w:w="779" w:type="dxa"/>
          </w:tcPr>
          <w:p w14:paraId="4D15AB0C" w14:textId="77777777" w:rsidR="00063F10" w:rsidRPr="00063F10" w:rsidRDefault="00063F10" w:rsidP="00063F10">
            <w:pPr>
              <w:spacing w:before="60" w:after="60"/>
              <w:rPr>
                <w:rFonts w:ascii="Calibri" w:eastAsia="Yu Mincho" w:hAnsi="Calibri"/>
                <w:sz w:val="20"/>
                <w:szCs w:val="20"/>
              </w:rPr>
            </w:pPr>
            <w:r w:rsidRPr="00063F10">
              <w:rPr>
                <w:rFonts w:ascii="Calibri" w:eastAsia="Yu Mincho" w:hAnsi="Calibri"/>
                <w:sz w:val="20"/>
                <w:szCs w:val="20"/>
              </w:rPr>
              <w:t>16.</w:t>
            </w:r>
            <w:r w:rsidRPr="00063F10">
              <w:rPr>
                <w:rFonts w:ascii="Calibri" w:eastAsia="Yu Mincho" w:hAnsi="Calibri"/>
                <w:sz w:val="20"/>
                <w:szCs w:val="20"/>
                <w:u w:val="single"/>
              </w:rPr>
              <w:t>1</w:t>
            </w:r>
          </w:p>
        </w:tc>
        <w:tc>
          <w:tcPr>
            <w:tcW w:w="6353" w:type="dxa"/>
            <w:gridSpan w:val="2"/>
          </w:tcPr>
          <w:p w14:paraId="534FBF21" w14:textId="77777777" w:rsidR="00063F10" w:rsidRPr="00063F10" w:rsidRDefault="00063F10" w:rsidP="00063F10">
            <w:pPr>
              <w:spacing w:before="60" w:after="60"/>
              <w:rPr>
                <w:rFonts w:ascii="Calibri" w:eastAsia="Yu Mincho" w:hAnsi="Calibri"/>
                <w:sz w:val="20"/>
                <w:szCs w:val="20"/>
              </w:rPr>
            </w:pPr>
            <w:r w:rsidRPr="00063F10">
              <w:rPr>
                <w:rFonts w:ascii="Calibri" w:eastAsia="Yu Mincho" w:hAnsi="Calibri"/>
                <w:sz w:val="20"/>
                <w:szCs w:val="20"/>
              </w:rPr>
              <w:t>L’inscription d’un élément sur la Liste du patrimoine culturel immatériel nécessitant une sauvegarde urgente ou sur la Liste représentative du patrimoine culturel immatériel de l’humanité peut être élargie à d’autres communautés, groupes et, le cas échéant, individus, au niveau national et/ou international, à la demande de(s) (l’)État(s) partie(s) sur le(s) territoire(s) duquel (desquels) l’élément est présent</w:t>
            </w:r>
            <w:r w:rsidRPr="00063F10">
              <w:rPr>
                <w:rFonts w:ascii="Calibri" w:eastAsia="Yu Mincho" w:hAnsi="Calibri"/>
                <w:strike/>
                <w:sz w:val="20"/>
                <w:szCs w:val="20"/>
              </w:rPr>
              <w:t>, avec le consentement des communautés, groupes et, le cas échéant, individus concernés</w:t>
            </w:r>
            <w:r w:rsidRPr="00063F10">
              <w:rPr>
                <w:rFonts w:ascii="Calibri" w:eastAsia="Yu Mincho" w:hAnsi="Calibri"/>
                <w:sz w:val="20"/>
                <w:szCs w:val="20"/>
              </w:rPr>
              <w:t>.</w:t>
            </w:r>
            <w:r w:rsidRPr="00063F10">
              <w:rPr>
                <w:rFonts w:ascii="Calibri" w:eastAsia="Yu Mincho" w:hAnsi="Calibri"/>
                <w:sz w:val="20"/>
                <w:szCs w:val="20"/>
                <w:vertAlign w:val="superscript"/>
              </w:rPr>
              <w:footnoteReference w:id="6"/>
            </w:r>
          </w:p>
        </w:tc>
      </w:tr>
      <w:tr w:rsidR="00063F10" w:rsidRPr="00063F10" w14:paraId="44C4EDB7" w14:textId="77777777" w:rsidTr="00063F10">
        <w:tc>
          <w:tcPr>
            <w:tcW w:w="741" w:type="dxa"/>
          </w:tcPr>
          <w:p w14:paraId="5FD287C5" w14:textId="77777777" w:rsidR="00063F10" w:rsidRPr="00063F10" w:rsidRDefault="00063F10" w:rsidP="00063F10">
            <w:pPr>
              <w:spacing w:before="60" w:after="60"/>
              <w:rPr>
                <w:rFonts w:ascii="Calibri" w:eastAsia="Yu Mincho" w:hAnsi="Calibri"/>
                <w:sz w:val="20"/>
                <w:szCs w:val="20"/>
              </w:rPr>
            </w:pPr>
            <w:r w:rsidRPr="00063F10">
              <w:rPr>
                <w:rFonts w:ascii="Calibri" w:eastAsia="Yu Mincho" w:hAnsi="Calibri"/>
                <w:sz w:val="20"/>
                <w:szCs w:val="20"/>
              </w:rPr>
              <w:t>-</w:t>
            </w:r>
          </w:p>
        </w:tc>
        <w:tc>
          <w:tcPr>
            <w:tcW w:w="6406" w:type="dxa"/>
            <w:gridSpan w:val="2"/>
          </w:tcPr>
          <w:p w14:paraId="2AAF8D2C" w14:textId="77777777" w:rsidR="00063F10" w:rsidRPr="00063F10" w:rsidRDefault="00063F10" w:rsidP="0052358B">
            <w:pPr>
              <w:spacing w:before="60" w:after="60"/>
              <w:rPr>
                <w:rFonts w:ascii="Calibri" w:eastAsia="Yu Mincho" w:hAnsi="Calibri"/>
                <w:sz w:val="20"/>
                <w:szCs w:val="20"/>
              </w:rPr>
            </w:pPr>
            <w:r w:rsidRPr="00063F10">
              <w:rPr>
                <w:rFonts w:ascii="Calibri" w:eastAsia="Yu Mincho" w:hAnsi="Calibri"/>
                <w:sz w:val="20"/>
                <w:szCs w:val="20"/>
              </w:rPr>
              <w:t>-</w:t>
            </w:r>
          </w:p>
        </w:tc>
        <w:tc>
          <w:tcPr>
            <w:tcW w:w="779" w:type="dxa"/>
          </w:tcPr>
          <w:p w14:paraId="2BC7AD73" w14:textId="77777777" w:rsidR="00063F10" w:rsidRPr="00063F10" w:rsidRDefault="00063F10" w:rsidP="00063F10">
            <w:pPr>
              <w:spacing w:before="60" w:after="60"/>
              <w:rPr>
                <w:rFonts w:ascii="Calibri" w:eastAsia="Yu Mincho" w:hAnsi="Calibri"/>
                <w:sz w:val="20"/>
                <w:szCs w:val="20"/>
                <w:u w:val="single"/>
              </w:rPr>
            </w:pPr>
            <w:r w:rsidRPr="00063F10">
              <w:rPr>
                <w:rFonts w:ascii="Calibri" w:eastAsia="Yu Mincho" w:hAnsi="Calibri"/>
                <w:sz w:val="20"/>
                <w:szCs w:val="20"/>
                <w:u w:val="single"/>
              </w:rPr>
              <w:t>16.2</w:t>
            </w:r>
          </w:p>
        </w:tc>
        <w:tc>
          <w:tcPr>
            <w:tcW w:w="6353" w:type="dxa"/>
            <w:gridSpan w:val="2"/>
          </w:tcPr>
          <w:p w14:paraId="2655CDCD" w14:textId="77777777" w:rsidR="00063F10" w:rsidRPr="00063F10" w:rsidRDefault="00063F10" w:rsidP="00063F10">
            <w:pPr>
              <w:spacing w:before="60" w:after="60"/>
              <w:rPr>
                <w:rFonts w:ascii="Calibri" w:eastAsia="Yu Mincho" w:hAnsi="Calibri"/>
                <w:sz w:val="20"/>
                <w:szCs w:val="20"/>
              </w:rPr>
            </w:pPr>
            <w:r w:rsidRPr="00063F10">
              <w:rPr>
                <w:rFonts w:ascii="Calibri" w:eastAsia="Yu Mincho" w:hAnsi="Calibri"/>
                <w:color w:val="231F20"/>
                <w:sz w:val="20"/>
                <w:szCs w:val="22"/>
                <w:u w:val="single"/>
              </w:rPr>
              <w:t>Le/les État(s) partie(s) sont encouragés à annoncer en temps opportun leurs intentions de rejoindre des éléments déjà inscrits sur une base élargie à travers le site de la Convention, en utilisant le formulaire en ligne dédié.</w:t>
            </w:r>
            <w:r w:rsidRPr="00063F10">
              <w:rPr>
                <w:rFonts w:ascii="Calibri" w:eastAsia="Yu Mincho" w:hAnsi="Calibri"/>
                <w:sz w:val="20"/>
                <w:szCs w:val="20"/>
                <w:vertAlign w:val="superscript"/>
              </w:rPr>
              <w:footnoteReference w:id="7"/>
            </w:r>
          </w:p>
        </w:tc>
      </w:tr>
      <w:tr w:rsidR="00063F10" w:rsidRPr="00063F10" w14:paraId="06ACF207" w14:textId="77777777" w:rsidTr="00063F10">
        <w:tc>
          <w:tcPr>
            <w:tcW w:w="741" w:type="dxa"/>
          </w:tcPr>
          <w:p w14:paraId="51E060D1"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rPr>
              <w:lastRenderedPageBreak/>
              <w:t>-</w:t>
            </w:r>
          </w:p>
        </w:tc>
        <w:tc>
          <w:tcPr>
            <w:tcW w:w="6406" w:type="dxa"/>
            <w:gridSpan w:val="2"/>
          </w:tcPr>
          <w:p w14:paraId="27EF1BE0"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rPr>
              <w:t>-</w:t>
            </w:r>
          </w:p>
        </w:tc>
        <w:tc>
          <w:tcPr>
            <w:tcW w:w="779" w:type="dxa"/>
          </w:tcPr>
          <w:p w14:paraId="1B0D3413" w14:textId="77777777" w:rsidR="00063F10" w:rsidRPr="00063F10" w:rsidRDefault="00063F10" w:rsidP="00063F10">
            <w:pPr>
              <w:keepLines/>
              <w:spacing w:before="60" w:after="60"/>
              <w:rPr>
                <w:rFonts w:ascii="Calibri" w:eastAsia="Yu Mincho" w:hAnsi="Calibri"/>
                <w:sz w:val="20"/>
                <w:szCs w:val="20"/>
                <w:u w:val="single"/>
              </w:rPr>
            </w:pPr>
            <w:r w:rsidRPr="00063F10">
              <w:rPr>
                <w:rFonts w:ascii="Calibri" w:eastAsia="Yu Mincho" w:hAnsi="Calibri"/>
                <w:sz w:val="20"/>
                <w:szCs w:val="20"/>
                <w:u w:val="single"/>
              </w:rPr>
              <w:t>16.3</w:t>
            </w:r>
          </w:p>
        </w:tc>
        <w:tc>
          <w:tcPr>
            <w:tcW w:w="6353" w:type="dxa"/>
            <w:gridSpan w:val="2"/>
          </w:tcPr>
          <w:p w14:paraId="64936C41" w14:textId="77777777" w:rsidR="00063F10" w:rsidRPr="00063F10" w:rsidRDefault="00063F10" w:rsidP="00063F10">
            <w:pPr>
              <w:keepLines/>
              <w:spacing w:before="60" w:after="60"/>
              <w:rPr>
                <w:rFonts w:ascii="Calibri" w:eastAsia="Yu Mincho" w:hAnsi="Calibri"/>
                <w:sz w:val="20"/>
                <w:szCs w:val="20"/>
                <w:u w:val="single"/>
              </w:rPr>
            </w:pPr>
            <w:r w:rsidRPr="00063F10">
              <w:rPr>
                <w:rFonts w:ascii="Calibri" w:eastAsia="Yu Mincho" w:hAnsi="Calibri"/>
                <w:color w:val="231F20"/>
                <w:sz w:val="20"/>
                <w:szCs w:val="22"/>
                <w:u w:val="single"/>
              </w:rPr>
              <w:t>Au niveau international, le(s) nouvel(</w:t>
            </w:r>
            <w:proofErr w:type="gramStart"/>
            <w:r w:rsidRPr="00063F10">
              <w:rPr>
                <w:rFonts w:ascii="Calibri" w:eastAsia="Yu Mincho" w:hAnsi="Calibri"/>
                <w:color w:val="231F20"/>
                <w:sz w:val="20"/>
                <w:szCs w:val="22"/>
                <w:u w:val="single"/>
              </w:rPr>
              <w:t>aux)  État</w:t>
            </w:r>
            <w:proofErr w:type="gramEnd"/>
            <w:r w:rsidRPr="00063F10">
              <w:rPr>
                <w:rFonts w:ascii="Calibri" w:eastAsia="Yu Mincho" w:hAnsi="Calibri"/>
                <w:color w:val="231F20"/>
                <w:sz w:val="20"/>
                <w:szCs w:val="22"/>
                <w:u w:val="single"/>
              </w:rPr>
              <w:t xml:space="preserve">(s) rejoignant la candidature </w:t>
            </w:r>
            <w:proofErr w:type="spellStart"/>
            <w:r w:rsidRPr="00063F10">
              <w:rPr>
                <w:rFonts w:ascii="Calibri" w:eastAsia="Yu Mincho" w:hAnsi="Calibri"/>
                <w:color w:val="231F20"/>
                <w:sz w:val="20"/>
                <w:szCs w:val="22"/>
                <w:u w:val="single"/>
              </w:rPr>
              <w:t>doi</w:t>
            </w:r>
            <w:proofErr w:type="spellEnd"/>
            <w:r w:rsidRPr="00063F10">
              <w:rPr>
                <w:rFonts w:ascii="Calibri" w:eastAsia="Yu Mincho" w:hAnsi="Calibri"/>
                <w:color w:val="231F20"/>
                <w:sz w:val="20"/>
                <w:szCs w:val="22"/>
                <w:u w:val="single"/>
              </w:rPr>
              <w:t>(</w:t>
            </w:r>
            <w:proofErr w:type="spellStart"/>
            <w:r w:rsidRPr="00063F10">
              <w:rPr>
                <w:rFonts w:ascii="Calibri" w:eastAsia="Yu Mincho" w:hAnsi="Calibri"/>
                <w:color w:val="231F20"/>
                <w:sz w:val="20"/>
                <w:szCs w:val="22"/>
                <w:u w:val="single"/>
              </w:rPr>
              <w:t>ven</w:t>
            </w:r>
            <w:proofErr w:type="spellEnd"/>
            <w:r w:rsidRPr="00063F10">
              <w:rPr>
                <w:rFonts w:ascii="Calibri" w:eastAsia="Yu Mincho" w:hAnsi="Calibri"/>
                <w:color w:val="231F20"/>
                <w:sz w:val="20"/>
                <w:szCs w:val="22"/>
                <w:u w:val="single"/>
              </w:rPr>
              <w:t>)t démontrer que son/leur inclusion dans la candidature élargie satisfait à tous les critères requis pour l’inscription. Les communautés, groupes et, le cas échéant, individus concernés ayant donné leur consentement à la candidature d’origine et aux élargissements suivants doivent exprimer leur accord à la proposition d’élargissement et ainsi qu’à leur participation aux mesures de sauvegarde déjà approuvées, nouvellement proposées ou actualisées, avec les nouvelles communautés, groupes et, le cas échéant, individus concernés et les autorités.</w:t>
            </w:r>
            <w:r w:rsidRPr="00063F10">
              <w:rPr>
                <w:rFonts w:ascii="Calibri" w:eastAsia="Yu Mincho" w:hAnsi="Calibri"/>
                <w:sz w:val="20"/>
                <w:szCs w:val="20"/>
                <w:vertAlign w:val="superscript"/>
              </w:rPr>
              <w:footnoteReference w:id="8"/>
            </w:r>
          </w:p>
        </w:tc>
      </w:tr>
      <w:tr w:rsidR="00063F10" w:rsidRPr="00063F10" w14:paraId="0677894D" w14:textId="77777777" w:rsidTr="00063F10">
        <w:tc>
          <w:tcPr>
            <w:tcW w:w="741" w:type="dxa"/>
          </w:tcPr>
          <w:p w14:paraId="33CDA60C" w14:textId="77777777" w:rsidR="00063F10" w:rsidRPr="00063F10" w:rsidRDefault="00063F10" w:rsidP="00063F10">
            <w:pPr>
              <w:keepLines/>
              <w:spacing w:before="60" w:after="60"/>
              <w:rPr>
                <w:rFonts w:ascii="Calibri" w:eastAsia="Yu Mincho" w:hAnsi="Calibri"/>
                <w:sz w:val="20"/>
                <w:szCs w:val="20"/>
              </w:rPr>
            </w:pPr>
          </w:p>
        </w:tc>
        <w:tc>
          <w:tcPr>
            <w:tcW w:w="6406" w:type="dxa"/>
            <w:gridSpan w:val="2"/>
          </w:tcPr>
          <w:p w14:paraId="7367FA57" w14:textId="77777777" w:rsidR="00063F10" w:rsidRPr="00063F10" w:rsidRDefault="00063F10" w:rsidP="00063F10">
            <w:pPr>
              <w:keepLines/>
              <w:spacing w:before="60" w:after="60"/>
              <w:rPr>
                <w:rFonts w:ascii="Calibri" w:eastAsia="Yu Mincho" w:hAnsi="Calibri"/>
                <w:sz w:val="20"/>
                <w:szCs w:val="20"/>
              </w:rPr>
            </w:pPr>
          </w:p>
        </w:tc>
        <w:tc>
          <w:tcPr>
            <w:tcW w:w="779" w:type="dxa"/>
          </w:tcPr>
          <w:p w14:paraId="76FBCF97"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u w:val="single"/>
              </w:rPr>
              <w:t>16.4</w:t>
            </w:r>
          </w:p>
        </w:tc>
        <w:tc>
          <w:tcPr>
            <w:tcW w:w="6353" w:type="dxa"/>
            <w:gridSpan w:val="2"/>
          </w:tcPr>
          <w:p w14:paraId="3557DAF4"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color w:val="231F20"/>
                <w:sz w:val="20"/>
                <w:szCs w:val="22"/>
                <w:u w:val="single"/>
              </w:rPr>
              <w:t>Au niveau national, l’État partie doit démontrer que la candidature élargie satisfait aux critères requis pour l’inscription, compte tenu des critères déjà satisfaits dans la candidature d’origine. Les communautés, groupes et, le cas échéant, individus concernés ayant donné leur consentement à la candidature d’origine et aux élargissements suivants doivent exprimer leur accord à la proposition d’élargissement et ainsi qu’à leur participation aux mesures de sauvegarde déjà approuvées, nouvellement proposées ou actualisées, avec les nouvelles communautés, groupes et, le cas échéant, individus concernés et les autorités.</w:t>
            </w:r>
            <w:r w:rsidRPr="00063F10">
              <w:rPr>
                <w:rFonts w:ascii="Calibri" w:eastAsia="Yu Mincho" w:hAnsi="Calibri"/>
                <w:sz w:val="20"/>
                <w:szCs w:val="20"/>
                <w:vertAlign w:val="superscript"/>
              </w:rPr>
              <w:footnoteReference w:id="9"/>
            </w:r>
          </w:p>
        </w:tc>
      </w:tr>
      <w:tr w:rsidR="00063F10" w:rsidRPr="00063F10" w14:paraId="61593ED3" w14:textId="77777777" w:rsidTr="00063F10">
        <w:tc>
          <w:tcPr>
            <w:tcW w:w="741" w:type="dxa"/>
            <w:shd w:val="clear" w:color="auto" w:fill="FFFFFF"/>
          </w:tcPr>
          <w:p w14:paraId="32DB0D77" w14:textId="77777777" w:rsidR="00063F10" w:rsidRPr="00063F10" w:rsidRDefault="00063F10" w:rsidP="00063F10">
            <w:pPr>
              <w:keepLines/>
              <w:spacing w:before="60" w:after="60"/>
              <w:rPr>
                <w:rFonts w:ascii="Calibri" w:eastAsia="Yu Mincho" w:hAnsi="Calibri"/>
                <w:sz w:val="22"/>
                <w:szCs w:val="22"/>
              </w:rPr>
            </w:pPr>
            <w:r w:rsidRPr="00063F10">
              <w:rPr>
                <w:rFonts w:ascii="Calibri" w:eastAsia="Yu Mincho" w:hAnsi="Calibri"/>
                <w:sz w:val="20"/>
                <w:szCs w:val="20"/>
              </w:rPr>
              <w:t>17.</w:t>
            </w:r>
          </w:p>
        </w:tc>
        <w:tc>
          <w:tcPr>
            <w:tcW w:w="6406" w:type="dxa"/>
            <w:gridSpan w:val="2"/>
            <w:shd w:val="clear" w:color="auto" w:fill="FFFFFF"/>
          </w:tcPr>
          <w:p w14:paraId="18A05471" w14:textId="77777777" w:rsidR="00063F10" w:rsidRPr="00063F10" w:rsidRDefault="00063F10" w:rsidP="00063F10">
            <w:pPr>
              <w:keepLines/>
              <w:spacing w:before="60" w:after="60"/>
              <w:rPr>
                <w:rFonts w:ascii="Calibri" w:eastAsia="Yu Mincho" w:hAnsi="Calibri"/>
                <w:sz w:val="22"/>
                <w:szCs w:val="22"/>
              </w:rPr>
            </w:pPr>
            <w:r w:rsidRPr="00063F10">
              <w:rPr>
                <w:rFonts w:ascii="Calibri" w:eastAsia="Yu Mincho" w:hAnsi="Calibri"/>
                <w:sz w:val="20"/>
                <w:szCs w:val="20"/>
              </w:rPr>
              <w:t>L’inscription d’un élément sur la Liste du patrimoine culturel immatériel nécessitant une sauvegarde urgente ou sur la Liste représentative du patrimoine culturel immatériel de l’humanité peut être réduite, au niveau national et/ou international, si l’(es) État(s) partie(s) sur le(s) territoire(s) duquel (desquels) l’élément est présent en fait (font) la demande, avec le consentement des communautés, groupes et, le cas échéant, individus concernés.</w:t>
            </w:r>
          </w:p>
        </w:tc>
        <w:tc>
          <w:tcPr>
            <w:tcW w:w="779" w:type="dxa"/>
            <w:shd w:val="clear" w:color="auto" w:fill="FFFFFF"/>
          </w:tcPr>
          <w:p w14:paraId="59D42E18" w14:textId="77777777" w:rsidR="00063F10" w:rsidRPr="00063F10" w:rsidRDefault="00063F10" w:rsidP="00063F10">
            <w:pPr>
              <w:keepLines/>
              <w:spacing w:before="60" w:after="60"/>
              <w:rPr>
                <w:rFonts w:ascii="Calibri" w:eastAsia="Yu Mincho" w:hAnsi="Calibri"/>
                <w:sz w:val="22"/>
                <w:szCs w:val="22"/>
              </w:rPr>
            </w:pPr>
            <w:r w:rsidRPr="00063F10">
              <w:rPr>
                <w:rFonts w:ascii="Calibri" w:eastAsia="Yu Mincho" w:hAnsi="Calibri"/>
                <w:sz w:val="20"/>
                <w:szCs w:val="20"/>
              </w:rPr>
              <w:t>17</w:t>
            </w:r>
            <w:r w:rsidRPr="00063F10">
              <w:rPr>
                <w:rFonts w:ascii="Calibri" w:eastAsia="Yu Mincho" w:hAnsi="Calibri"/>
                <w:sz w:val="20"/>
                <w:szCs w:val="20"/>
                <w:u w:val="single"/>
              </w:rPr>
              <w:t>.1</w:t>
            </w:r>
          </w:p>
        </w:tc>
        <w:tc>
          <w:tcPr>
            <w:tcW w:w="6353" w:type="dxa"/>
            <w:gridSpan w:val="2"/>
            <w:shd w:val="clear" w:color="auto" w:fill="FFFFFF"/>
          </w:tcPr>
          <w:p w14:paraId="3BF92DA7" w14:textId="77777777" w:rsidR="00063F10" w:rsidRPr="00063F10" w:rsidRDefault="00063F10" w:rsidP="00063F10">
            <w:pPr>
              <w:keepLines/>
              <w:spacing w:before="60" w:after="60"/>
              <w:rPr>
                <w:rFonts w:ascii="Calibri" w:eastAsia="Yu Mincho" w:hAnsi="Calibri"/>
                <w:color w:val="231F20"/>
                <w:sz w:val="20"/>
                <w:szCs w:val="22"/>
              </w:rPr>
            </w:pPr>
            <w:r w:rsidRPr="00063F10">
              <w:rPr>
                <w:rFonts w:ascii="Calibri" w:eastAsia="Yu Mincho" w:hAnsi="Calibri"/>
                <w:sz w:val="20"/>
                <w:szCs w:val="20"/>
              </w:rPr>
              <w:t xml:space="preserve">L’inscription d’un élément sur la Liste du patrimoine culturel immatériel nécessitant une sauvegarde urgente ou sur la Liste représentative du patrimoine culturel immatériel de l’humanité peut être réduite </w:t>
            </w:r>
            <w:r w:rsidRPr="00063F10">
              <w:rPr>
                <w:rFonts w:ascii="Calibri" w:eastAsia="Yu Mincho" w:hAnsi="Calibri"/>
                <w:color w:val="231F20"/>
                <w:sz w:val="20"/>
                <w:szCs w:val="22"/>
              </w:rPr>
              <w:t xml:space="preserve">au niveau </w:t>
            </w:r>
            <w:r w:rsidRPr="0052358B">
              <w:rPr>
                <w:rFonts w:ascii="Calibri" w:eastAsia="Yu Mincho" w:hAnsi="Calibri"/>
                <w:color w:val="231F20"/>
                <w:sz w:val="20"/>
                <w:szCs w:val="22"/>
              </w:rPr>
              <w:t>national</w:t>
            </w:r>
            <w:r w:rsidRPr="0052358B">
              <w:rPr>
                <w:rFonts w:ascii="Calibri" w:eastAsia="Yu Mincho" w:hAnsi="Calibri"/>
                <w:color w:val="231F20"/>
                <w:spacing w:val="-16"/>
                <w:sz w:val="20"/>
                <w:szCs w:val="22"/>
              </w:rPr>
              <w:t xml:space="preserve"> </w:t>
            </w:r>
            <w:r w:rsidRPr="005E0731">
              <w:rPr>
                <w:rFonts w:ascii="Calibri" w:eastAsia="Yu Mincho" w:hAnsi="Calibri" w:cs="Arial (Corps CS)"/>
                <w:color w:val="231F20"/>
                <w:sz w:val="20"/>
                <w:szCs w:val="22"/>
              </w:rPr>
              <w:t>et/ou international</w:t>
            </w:r>
            <w:r w:rsidRPr="00063F10">
              <w:rPr>
                <w:rFonts w:ascii="Calibri" w:eastAsia="Yu Mincho" w:hAnsi="Calibri" w:cs="Arial (Corps CS)"/>
                <w:color w:val="231F20"/>
                <w:sz w:val="20"/>
                <w:szCs w:val="22"/>
              </w:rPr>
              <w:t xml:space="preserve"> si l’</w:t>
            </w:r>
            <w:r w:rsidRPr="00063F10">
              <w:rPr>
                <w:rFonts w:ascii="Calibri" w:eastAsia="Yu Mincho" w:hAnsi="Calibri" w:cs="Arial (Corps CS)"/>
                <w:strike/>
                <w:color w:val="231F20"/>
                <w:sz w:val="20"/>
                <w:szCs w:val="22"/>
              </w:rPr>
              <w:t xml:space="preserve">(es) </w:t>
            </w:r>
            <w:r w:rsidRPr="00063F10">
              <w:rPr>
                <w:rFonts w:ascii="Calibri" w:eastAsia="Yu Mincho" w:hAnsi="Calibri" w:cs="Arial (Corps CS)"/>
                <w:color w:val="231F20"/>
                <w:sz w:val="20"/>
                <w:szCs w:val="22"/>
              </w:rPr>
              <w:t>État</w:t>
            </w:r>
            <w:r w:rsidRPr="00063F10">
              <w:rPr>
                <w:rFonts w:ascii="Calibri" w:eastAsia="Yu Mincho" w:hAnsi="Calibri" w:cs="Arial (Corps CS)"/>
                <w:strike/>
                <w:color w:val="231F20"/>
                <w:sz w:val="20"/>
                <w:szCs w:val="22"/>
              </w:rPr>
              <w:t>(s)</w:t>
            </w:r>
            <w:r w:rsidRPr="00063F10">
              <w:rPr>
                <w:rFonts w:ascii="Calibri" w:eastAsia="Yu Mincho" w:hAnsi="Calibri" w:cs="Arial (Corps CS)"/>
                <w:color w:val="231F20"/>
                <w:sz w:val="20"/>
                <w:szCs w:val="22"/>
              </w:rPr>
              <w:t xml:space="preserve"> partie</w:t>
            </w:r>
            <w:r w:rsidRPr="00063F10">
              <w:rPr>
                <w:rFonts w:ascii="Calibri" w:eastAsia="Yu Mincho" w:hAnsi="Calibri" w:cs="Arial (Corps CS)"/>
                <w:strike/>
                <w:color w:val="231F20"/>
                <w:sz w:val="20"/>
                <w:szCs w:val="22"/>
              </w:rPr>
              <w:t>(s)</w:t>
            </w:r>
            <w:r w:rsidRPr="00063F10">
              <w:rPr>
                <w:rFonts w:ascii="Calibri" w:eastAsia="Yu Mincho" w:hAnsi="Calibri" w:cs="Arial (Corps CS)"/>
                <w:color w:val="231F20"/>
                <w:sz w:val="20"/>
                <w:szCs w:val="22"/>
              </w:rPr>
              <w:t xml:space="preserve"> sur le</w:t>
            </w:r>
            <w:r w:rsidRPr="00063F10">
              <w:rPr>
                <w:rFonts w:ascii="Calibri" w:eastAsia="Yu Mincho" w:hAnsi="Calibri" w:cs="Arial (Corps CS)"/>
                <w:strike/>
                <w:color w:val="231F20"/>
                <w:sz w:val="20"/>
                <w:szCs w:val="22"/>
              </w:rPr>
              <w:t>(s)</w:t>
            </w:r>
            <w:r w:rsidRPr="00063F10">
              <w:rPr>
                <w:rFonts w:ascii="Calibri" w:eastAsia="Yu Mincho" w:hAnsi="Calibri" w:cs="Arial (Corps CS)"/>
                <w:color w:val="231F20"/>
                <w:sz w:val="20"/>
                <w:szCs w:val="22"/>
              </w:rPr>
              <w:t xml:space="preserve"> territoire</w:t>
            </w:r>
            <w:r w:rsidRPr="00063F10">
              <w:rPr>
                <w:rFonts w:ascii="Calibri" w:eastAsia="Yu Mincho" w:hAnsi="Calibri" w:cs="Arial (Corps CS)"/>
                <w:strike/>
                <w:color w:val="231F20"/>
                <w:sz w:val="20"/>
                <w:szCs w:val="22"/>
              </w:rPr>
              <w:t>(s)</w:t>
            </w:r>
            <w:r w:rsidRPr="00063F10">
              <w:rPr>
                <w:rFonts w:ascii="Calibri" w:eastAsia="Yu Mincho" w:hAnsi="Calibri" w:cs="Arial (Corps CS)"/>
                <w:color w:val="231F20"/>
                <w:sz w:val="20"/>
                <w:szCs w:val="22"/>
              </w:rPr>
              <w:t xml:space="preserve"> duquel </w:t>
            </w:r>
            <w:r w:rsidRPr="00063F10">
              <w:rPr>
                <w:rFonts w:ascii="Calibri" w:eastAsia="Yu Mincho" w:hAnsi="Calibri" w:cs="Arial (Corps CS)"/>
                <w:strike/>
                <w:color w:val="231F20"/>
                <w:sz w:val="20"/>
                <w:szCs w:val="22"/>
              </w:rPr>
              <w:t>(desquels)</w:t>
            </w:r>
            <w:r w:rsidRPr="00063F10">
              <w:rPr>
                <w:rFonts w:ascii="Calibri" w:eastAsia="Yu Mincho" w:hAnsi="Calibri" w:cs="Arial (Corps CS)"/>
                <w:color w:val="231F20"/>
                <w:sz w:val="20"/>
                <w:szCs w:val="22"/>
              </w:rPr>
              <w:t xml:space="preserve"> </w:t>
            </w:r>
            <w:r w:rsidRPr="00063F10">
              <w:rPr>
                <w:rFonts w:ascii="Calibri" w:eastAsia="Yu Mincho" w:hAnsi="Calibri" w:cs="Arial (Corps CS)"/>
                <w:sz w:val="20"/>
                <w:szCs w:val="20"/>
              </w:rPr>
              <w:t xml:space="preserve">l’élément est présent en fait </w:t>
            </w:r>
            <w:r w:rsidRPr="00063F10">
              <w:rPr>
                <w:rFonts w:ascii="Calibri" w:eastAsia="Yu Mincho" w:hAnsi="Calibri" w:cs="Arial (Corps CS)"/>
                <w:strike/>
                <w:sz w:val="20"/>
                <w:szCs w:val="20"/>
              </w:rPr>
              <w:t>(font)</w:t>
            </w:r>
            <w:r w:rsidRPr="00063F10">
              <w:rPr>
                <w:rFonts w:ascii="Calibri" w:eastAsia="Yu Mincho" w:hAnsi="Calibri" w:cs="Arial (Corps CS)"/>
                <w:sz w:val="20"/>
                <w:szCs w:val="20"/>
              </w:rPr>
              <w:t xml:space="preserve"> la demande</w:t>
            </w:r>
            <w:r w:rsidRPr="00063F10">
              <w:rPr>
                <w:rFonts w:ascii="Calibri" w:eastAsia="Yu Mincho" w:hAnsi="Calibri" w:cs="Arial (Corps CS)"/>
                <w:strike/>
                <w:sz w:val="20"/>
                <w:szCs w:val="20"/>
              </w:rPr>
              <w:t>, avec le consentement des communautés, groupes et, le cas échéant, individus concernés</w:t>
            </w:r>
            <w:r w:rsidRPr="00063F10">
              <w:rPr>
                <w:rFonts w:ascii="Calibri" w:eastAsia="Yu Mincho" w:hAnsi="Calibri" w:cs="Arial (Corps CS)"/>
                <w:color w:val="231F20"/>
                <w:sz w:val="20"/>
                <w:szCs w:val="22"/>
              </w:rPr>
              <w:t>.</w:t>
            </w:r>
            <w:r w:rsidRPr="00063F10">
              <w:rPr>
                <w:rFonts w:ascii="Calibri" w:eastAsia="Yu Mincho" w:hAnsi="Calibri" w:cs="Arial (Corps CS)"/>
                <w:color w:val="231F20"/>
                <w:sz w:val="20"/>
                <w:szCs w:val="22"/>
                <w:vertAlign w:val="superscript"/>
              </w:rPr>
              <w:footnoteReference w:id="10"/>
            </w:r>
            <w:r w:rsidRPr="00063F10">
              <w:rPr>
                <w:rFonts w:ascii="Calibri" w:eastAsia="Yu Mincho" w:hAnsi="Calibri"/>
                <w:color w:val="231F20"/>
                <w:sz w:val="20"/>
                <w:szCs w:val="22"/>
              </w:rPr>
              <w:t xml:space="preserve"> </w:t>
            </w:r>
          </w:p>
        </w:tc>
      </w:tr>
      <w:tr w:rsidR="00063F10" w:rsidRPr="00063F10" w14:paraId="2FEA38B7" w14:textId="77777777" w:rsidTr="00063F10">
        <w:tc>
          <w:tcPr>
            <w:tcW w:w="741" w:type="dxa"/>
            <w:shd w:val="clear" w:color="auto" w:fill="FFFFFF"/>
          </w:tcPr>
          <w:p w14:paraId="37CC18B8" w14:textId="77777777" w:rsidR="00063F10" w:rsidRPr="00063F10" w:rsidRDefault="00063F10" w:rsidP="00063F10">
            <w:pPr>
              <w:rPr>
                <w:rFonts w:ascii="Calibri" w:eastAsia="Yu Mincho" w:hAnsi="Calibri"/>
                <w:sz w:val="22"/>
                <w:szCs w:val="22"/>
              </w:rPr>
            </w:pPr>
          </w:p>
        </w:tc>
        <w:tc>
          <w:tcPr>
            <w:tcW w:w="6406" w:type="dxa"/>
            <w:gridSpan w:val="2"/>
            <w:shd w:val="clear" w:color="auto" w:fill="FFFFFF"/>
          </w:tcPr>
          <w:p w14:paraId="2BDD0C2F" w14:textId="77777777" w:rsidR="00063F10" w:rsidRPr="00063F10" w:rsidRDefault="00063F10" w:rsidP="00063F10">
            <w:pPr>
              <w:rPr>
                <w:rFonts w:ascii="Calibri" w:eastAsia="Yu Mincho" w:hAnsi="Calibri"/>
                <w:color w:val="231F20"/>
                <w:sz w:val="20"/>
                <w:szCs w:val="22"/>
              </w:rPr>
            </w:pPr>
          </w:p>
        </w:tc>
        <w:tc>
          <w:tcPr>
            <w:tcW w:w="779" w:type="dxa"/>
            <w:shd w:val="clear" w:color="auto" w:fill="FFFFFF"/>
          </w:tcPr>
          <w:p w14:paraId="5A292989" w14:textId="77777777" w:rsidR="00063F10" w:rsidRPr="00063F10" w:rsidRDefault="00063F10" w:rsidP="00063F10">
            <w:pPr>
              <w:keepLines/>
              <w:spacing w:before="60" w:after="60"/>
              <w:rPr>
                <w:rFonts w:ascii="Calibri" w:eastAsia="Yu Mincho" w:hAnsi="Calibri"/>
                <w:sz w:val="22"/>
                <w:szCs w:val="22"/>
                <w:u w:val="single"/>
              </w:rPr>
            </w:pPr>
            <w:r w:rsidRPr="00063F10">
              <w:rPr>
                <w:rFonts w:ascii="Calibri" w:eastAsia="Yu Mincho" w:hAnsi="Calibri"/>
                <w:sz w:val="20"/>
                <w:szCs w:val="20"/>
                <w:u w:val="single"/>
              </w:rPr>
              <w:t>17.2.</w:t>
            </w:r>
          </w:p>
        </w:tc>
        <w:tc>
          <w:tcPr>
            <w:tcW w:w="6353" w:type="dxa"/>
            <w:gridSpan w:val="2"/>
            <w:shd w:val="clear" w:color="auto" w:fill="FFFFFF"/>
          </w:tcPr>
          <w:p w14:paraId="782B4B07" w14:textId="77777777" w:rsidR="00063F10" w:rsidRPr="00063F10" w:rsidRDefault="00063F10" w:rsidP="00063F10">
            <w:pPr>
              <w:keepLines/>
              <w:spacing w:before="60" w:after="60"/>
              <w:rPr>
                <w:rFonts w:ascii="Calibri" w:eastAsia="Yu Mincho" w:hAnsi="Calibri"/>
                <w:color w:val="231F20"/>
                <w:sz w:val="20"/>
                <w:szCs w:val="22"/>
                <w:u w:val="single"/>
              </w:rPr>
            </w:pPr>
            <w:r w:rsidRPr="00063F10">
              <w:rPr>
                <w:rFonts w:ascii="Calibri" w:eastAsia="Yu Mincho" w:hAnsi="Calibri"/>
                <w:color w:val="231F20"/>
                <w:sz w:val="20"/>
                <w:szCs w:val="22"/>
                <w:u w:val="single"/>
              </w:rPr>
              <w:t xml:space="preserve">L’(les) État(s) partie(s) </w:t>
            </w:r>
            <w:proofErr w:type="spellStart"/>
            <w:r w:rsidRPr="00063F10">
              <w:rPr>
                <w:rFonts w:ascii="Calibri" w:eastAsia="Yu Mincho" w:hAnsi="Calibri"/>
                <w:color w:val="231F20"/>
                <w:sz w:val="20"/>
                <w:szCs w:val="22"/>
                <w:u w:val="single"/>
              </w:rPr>
              <w:t>doi</w:t>
            </w:r>
            <w:proofErr w:type="spellEnd"/>
            <w:r w:rsidRPr="00063F10">
              <w:rPr>
                <w:rFonts w:ascii="Calibri" w:eastAsia="Yu Mincho" w:hAnsi="Calibri"/>
                <w:color w:val="231F20"/>
                <w:sz w:val="20"/>
                <w:szCs w:val="22"/>
                <w:u w:val="single"/>
              </w:rPr>
              <w:t>(</w:t>
            </w:r>
            <w:proofErr w:type="spellStart"/>
            <w:r w:rsidRPr="00063F10">
              <w:rPr>
                <w:rFonts w:ascii="Calibri" w:eastAsia="Yu Mincho" w:hAnsi="Calibri"/>
                <w:color w:val="231F20"/>
                <w:sz w:val="20"/>
                <w:szCs w:val="22"/>
                <w:u w:val="single"/>
              </w:rPr>
              <w:t>ven</w:t>
            </w:r>
            <w:proofErr w:type="spellEnd"/>
            <w:r w:rsidRPr="00063F10">
              <w:rPr>
                <w:rFonts w:ascii="Calibri" w:eastAsia="Yu Mincho" w:hAnsi="Calibri"/>
                <w:color w:val="231F20"/>
                <w:sz w:val="20"/>
                <w:szCs w:val="22"/>
                <w:u w:val="single"/>
              </w:rPr>
              <w:t>)t démontrer que les communautés, groupes et, le cas échéant, individus concernés qu’il est proposé de retirer de l’élément inscrit, donnent leur consentement libre, préalable et éclairé à la réduction de l’élément.</w:t>
            </w:r>
            <w:r w:rsidRPr="00063F10">
              <w:rPr>
                <w:rFonts w:ascii="Calibri" w:eastAsia="Yu Mincho" w:hAnsi="Calibri"/>
                <w:color w:val="231F20"/>
                <w:sz w:val="20"/>
                <w:szCs w:val="22"/>
                <w:u w:val="single"/>
                <w:vertAlign w:val="superscript"/>
              </w:rPr>
              <w:footnoteReference w:id="11"/>
            </w:r>
          </w:p>
        </w:tc>
      </w:tr>
      <w:tr w:rsidR="00063F10" w:rsidRPr="00063F10" w14:paraId="74E0CDF6" w14:textId="77777777" w:rsidTr="00063F10">
        <w:tc>
          <w:tcPr>
            <w:tcW w:w="741" w:type="dxa"/>
            <w:shd w:val="clear" w:color="auto" w:fill="F2F2F2"/>
          </w:tcPr>
          <w:p w14:paraId="478E90FB" w14:textId="77777777" w:rsidR="00063F10" w:rsidRPr="00063F10" w:rsidRDefault="00063F10" w:rsidP="00063F10">
            <w:pPr>
              <w:keepNext/>
              <w:keepLines/>
              <w:spacing w:before="120" w:after="120"/>
              <w:rPr>
                <w:rFonts w:ascii="Calibri" w:eastAsia="Yu Mincho" w:hAnsi="Calibri"/>
                <w:sz w:val="22"/>
                <w:szCs w:val="22"/>
              </w:rPr>
            </w:pPr>
            <w:r w:rsidRPr="00063F10">
              <w:rPr>
                <w:rFonts w:ascii="Calibri" w:eastAsia="Yu Mincho" w:hAnsi="Calibri"/>
                <w:b/>
                <w:bCs/>
                <w:color w:val="1F4E79"/>
                <w:sz w:val="22"/>
                <w:szCs w:val="22"/>
              </w:rPr>
              <w:lastRenderedPageBreak/>
              <w:t>I.7</w:t>
            </w:r>
          </w:p>
        </w:tc>
        <w:tc>
          <w:tcPr>
            <w:tcW w:w="6406" w:type="dxa"/>
            <w:gridSpan w:val="2"/>
            <w:shd w:val="clear" w:color="auto" w:fill="F2F2F2"/>
          </w:tcPr>
          <w:p w14:paraId="435CD87B" w14:textId="77777777" w:rsidR="00063F10" w:rsidRPr="00063F10" w:rsidRDefault="00063F10" w:rsidP="00063F10">
            <w:pPr>
              <w:keepNext/>
              <w:keepLines/>
              <w:spacing w:before="120" w:after="120"/>
              <w:rPr>
                <w:rFonts w:ascii="Calibri" w:eastAsia="Yu Mincho" w:hAnsi="Calibri"/>
                <w:sz w:val="22"/>
                <w:szCs w:val="22"/>
              </w:rPr>
            </w:pPr>
            <w:r w:rsidRPr="00063F10">
              <w:rPr>
                <w:rFonts w:ascii="Calibri" w:eastAsia="Yu Mincho" w:hAnsi="Calibri"/>
                <w:b/>
                <w:bCs/>
                <w:color w:val="1F4E79"/>
                <w:sz w:val="22"/>
                <w:szCs w:val="22"/>
              </w:rPr>
              <w:t>Soumission des dossiers</w:t>
            </w:r>
          </w:p>
        </w:tc>
        <w:tc>
          <w:tcPr>
            <w:tcW w:w="779" w:type="dxa"/>
            <w:shd w:val="clear" w:color="auto" w:fill="F2F2F2"/>
          </w:tcPr>
          <w:p w14:paraId="5BE9C4B8" w14:textId="77777777" w:rsidR="00063F10" w:rsidRPr="00063F10" w:rsidRDefault="00063F10" w:rsidP="00063F10">
            <w:pPr>
              <w:keepNext/>
              <w:keepLines/>
              <w:spacing w:before="120" w:after="120"/>
              <w:rPr>
                <w:rFonts w:ascii="Calibri" w:eastAsia="Yu Mincho" w:hAnsi="Calibri"/>
                <w:b/>
                <w:bCs/>
                <w:sz w:val="22"/>
                <w:szCs w:val="22"/>
              </w:rPr>
            </w:pPr>
            <w:r w:rsidRPr="00063F10">
              <w:rPr>
                <w:rFonts w:ascii="Calibri" w:eastAsia="Yu Mincho" w:hAnsi="Calibri"/>
                <w:b/>
                <w:bCs/>
                <w:color w:val="1F4E79"/>
                <w:sz w:val="22"/>
                <w:szCs w:val="22"/>
              </w:rPr>
              <w:t>I.7</w:t>
            </w:r>
          </w:p>
        </w:tc>
        <w:tc>
          <w:tcPr>
            <w:tcW w:w="6353" w:type="dxa"/>
            <w:gridSpan w:val="2"/>
            <w:shd w:val="clear" w:color="auto" w:fill="F2F2F2"/>
          </w:tcPr>
          <w:p w14:paraId="322C9F1C" w14:textId="77777777" w:rsidR="00063F10" w:rsidRPr="00063F10" w:rsidRDefault="00063F10" w:rsidP="00063F10">
            <w:pPr>
              <w:keepNext/>
              <w:keepLines/>
              <w:spacing w:before="120" w:after="120"/>
              <w:rPr>
                <w:rFonts w:ascii="Calibri" w:eastAsia="Yu Mincho" w:hAnsi="Calibri"/>
                <w:sz w:val="22"/>
                <w:szCs w:val="22"/>
              </w:rPr>
            </w:pPr>
            <w:r w:rsidRPr="00063F10">
              <w:rPr>
                <w:rFonts w:ascii="Calibri" w:eastAsia="Yu Mincho" w:hAnsi="Calibri"/>
                <w:sz w:val="22"/>
                <w:szCs w:val="22"/>
              </w:rPr>
              <w:t>[Sans changement.]</w:t>
            </w:r>
          </w:p>
        </w:tc>
      </w:tr>
      <w:tr w:rsidR="00063F10" w:rsidRPr="00063F10" w14:paraId="38887819" w14:textId="77777777" w:rsidTr="00063F10">
        <w:tc>
          <w:tcPr>
            <w:tcW w:w="741" w:type="dxa"/>
          </w:tcPr>
          <w:p w14:paraId="6F4A3992"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rPr>
              <w:t>20.</w:t>
            </w:r>
          </w:p>
        </w:tc>
        <w:tc>
          <w:tcPr>
            <w:tcW w:w="6406" w:type="dxa"/>
            <w:gridSpan w:val="2"/>
          </w:tcPr>
          <w:p w14:paraId="0D8F82C3" w14:textId="77777777" w:rsidR="00063F10" w:rsidRPr="00063F10" w:rsidRDefault="00063F10" w:rsidP="00063F10">
            <w:pPr>
              <w:keepLines/>
              <w:spacing w:before="60" w:after="60"/>
              <w:rPr>
                <w:rFonts w:ascii="Calibri" w:eastAsia="Yu Mincho" w:hAnsi="Calibri"/>
                <w:sz w:val="22"/>
                <w:szCs w:val="22"/>
              </w:rPr>
            </w:pPr>
            <w:r w:rsidRPr="00063F10">
              <w:rPr>
                <w:rFonts w:ascii="Calibri" w:eastAsia="Yu Mincho" w:hAnsi="Calibri"/>
                <w:sz w:val="20"/>
                <w:szCs w:val="20"/>
              </w:rPr>
              <w:t>Le formulaire ICH-01 est utilisé pour les candidatures pour la Liste du patrimoine culturel immatériel nécessitant une sauvegarde urgente, ICH-02 pour la Liste représentative du patrimoine culturel immatériel de l’humanité, ICH-03 pour les propositions de programmes, projets et activités reflétant le mieux les principes et objectifs de la Convention.</w:t>
            </w:r>
          </w:p>
        </w:tc>
        <w:tc>
          <w:tcPr>
            <w:tcW w:w="779" w:type="dxa"/>
          </w:tcPr>
          <w:p w14:paraId="55983BE5"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rPr>
              <w:t>20</w:t>
            </w:r>
            <w:r w:rsidRPr="00063F10">
              <w:rPr>
                <w:rFonts w:ascii="Calibri" w:eastAsia="Yu Mincho" w:hAnsi="Calibri"/>
                <w:sz w:val="20"/>
                <w:szCs w:val="20"/>
                <w:u w:val="single"/>
              </w:rPr>
              <w:t>.1</w:t>
            </w:r>
          </w:p>
        </w:tc>
        <w:tc>
          <w:tcPr>
            <w:tcW w:w="6353" w:type="dxa"/>
            <w:gridSpan w:val="2"/>
          </w:tcPr>
          <w:p w14:paraId="4C3E9DDA" w14:textId="77777777" w:rsidR="00063F10" w:rsidRPr="00063F10" w:rsidRDefault="00063F10" w:rsidP="00063F10">
            <w:pPr>
              <w:rPr>
                <w:rFonts w:ascii="Calibri" w:eastAsia="Yu Mincho" w:hAnsi="Calibri"/>
                <w:color w:val="231F20"/>
                <w:sz w:val="20"/>
                <w:szCs w:val="20"/>
              </w:rPr>
            </w:pPr>
            <w:r w:rsidRPr="00063F10">
              <w:rPr>
                <w:rFonts w:ascii="Calibri" w:eastAsia="Yu Mincho" w:hAnsi="Calibri"/>
                <w:sz w:val="20"/>
                <w:szCs w:val="20"/>
              </w:rPr>
              <w:t>Le formulaire ICH-01 est utilisé pour les candidatures pour la Liste du patrimoine culturel immatériel nécessitant une sauvegarde urgente</w:t>
            </w:r>
            <w:r w:rsidRPr="00063F10">
              <w:rPr>
                <w:rFonts w:ascii="Calibri" w:eastAsia="Yu Mincho" w:hAnsi="Calibri"/>
                <w:color w:val="231F20"/>
                <w:sz w:val="20"/>
                <w:szCs w:val="20"/>
              </w:rPr>
              <w:t xml:space="preserve">, </w:t>
            </w:r>
            <w:r w:rsidRPr="00063F10">
              <w:rPr>
                <w:rFonts w:ascii="Calibri" w:eastAsia="Yu Mincho" w:hAnsi="Calibri"/>
                <w:sz w:val="20"/>
                <w:szCs w:val="20"/>
                <w:u w:val="single"/>
              </w:rPr>
              <w:t>et comprend une possibilité de demande simultanée d’assistance internationale ; ce formulaire est également utilisé pour les candidatures à cette même liste sur une base élargie ou réduite au niveau national et/ou international</w:t>
            </w:r>
            <w:r w:rsidRPr="00063F10">
              <w:rPr>
                <w:rFonts w:ascii="Calibri" w:eastAsia="Yu Mincho" w:hAnsi="Calibri"/>
                <w:sz w:val="20"/>
                <w:szCs w:val="20"/>
              </w:rPr>
              <w:t>.</w:t>
            </w:r>
          </w:p>
          <w:p w14:paraId="193A8FFC"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color w:val="231F20"/>
                <w:sz w:val="20"/>
                <w:szCs w:val="20"/>
              </w:rPr>
              <w:t xml:space="preserve">Le formulaire </w:t>
            </w:r>
            <w:r w:rsidRPr="00063F10">
              <w:rPr>
                <w:rFonts w:ascii="Calibri" w:eastAsia="Yu Mincho" w:hAnsi="Calibri"/>
                <w:sz w:val="20"/>
                <w:szCs w:val="20"/>
              </w:rPr>
              <w:t xml:space="preserve">ICH-02 </w:t>
            </w:r>
            <w:r w:rsidRPr="00063F10">
              <w:rPr>
                <w:rFonts w:ascii="Calibri" w:eastAsia="Yu Mincho" w:hAnsi="Calibri"/>
                <w:sz w:val="20"/>
                <w:szCs w:val="20"/>
                <w:u w:val="single"/>
              </w:rPr>
              <w:t>est utilisé pour les candidatures à</w:t>
            </w:r>
            <w:r w:rsidRPr="00063F10">
              <w:rPr>
                <w:rFonts w:ascii="Calibri" w:eastAsia="Yu Mincho" w:hAnsi="Calibri"/>
                <w:sz w:val="20"/>
                <w:szCs w:val="20"/>
              </w:rPr>
              <w:t xml:space="preserve"> la Liste représentative du patrimoine culturel immatériel de l’humanité </w:t>
            </w:r>
            <w:r w:rsidRPr="00063F10">
              <w:rPr>
                <w:rFonts w:ascii="Calibri" w:eastAsia="Yu Mincho" w:hAnsi="Calibri"/>
                <w:sz w:val="20"/>
                <w:szCs w:val="20"/>
                <w:u w:val="single"/>
              </w:rPr>
              <w:t>; ce formulaire est également utilisé pour les candidatures à cette même liste sur une base élargie ou réduite au niveau national et/ou international</w:t>
            </w:r>
            <w:r w:rsidRPr="00063F10">
              <w:rPr>
                <w:rFonts w:ascii="Calibri" w:eastAsia="Yu Mincho" w:hAnsi="Calibri"/>
                <w:color w:val="231F20"/>
                <w:sz w:val="20"/>
                <w:szCs w:val="20"/>
              </w:rPr>
              <w:t>.</w:t>
            </w:r>
          </w:p>
          <w:p w14:paraId="76B27D93"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color w:val="231F20"/>
                <w:sz w:val="20"/>
                <w:szCs w:val="20"/>
              </w:rPr>
              <w:t xml:space="preserve">Le formulaire </w:t>
            </w:r>
            <w:r w:rsidRPr="00063F10">
              <w:rPr>
                <w:rFonts w:ascii="Calibri" w:eastAsia="Yu Mincho" w:hAnsi="Calibri"/>
                <w:sz w:val="20"/>
                <w:szCs w:val="20"/>
              </w:rPr>
              <w:t xml:space="preserve">ICH-03 </w:t>
            </w:r>
            <w:r w:rsidRPr="00063F10">
              <w:rPr>
                <w:rFonts w:ascii="Calibri" w:eastAsia="Yu Mincho" w:hAnsi="Calibri"/>
                <w:sz w:val="20"/>
                <w:szCs w:val="20"/>
                <w:u w:val="single"/>
              </w:rPr>
              <w:t>est utilisé</w:t>
            </w:r>
            <w:r w:rsidRPr="00063F10">
              <w:rPr>
                <w:rFonts w:ascii="Calibri" w:eastAsia="Yu Mincho" w:hAnsi="Calibri"/>
                <w:sz w:val="20"/>
                <w:szCs w:val="20"/>
              </w:rPr>
              <w:t xml:space="preserve"> pour les propositions de programmes, projets et activités reflétant le mieux les principes et objectifs de la Convention</w:t>
            </w:r>
            <w:r w:rsidRPr="00063F10">
              <w:rPr>
                <w:rFonts w:ascii="Calibri" w:eastAsia="Yu Mincho" w:hAnsi="Calibri"/>
                <w:color w:val="231F20"/>
                <w:sz w:val="20"/>
                <w:szCs w:val="20"/>
              </w:rPr>
              <w:t>.</w:t>
            </w:r>
          </w:p>
        </w:tc>
      </w:tr>
      <w:tr w:rsidR="00063F10" w:rsidRPr="00063F10" w14:paraId="6DAC49BB" w14:textId="77777777" w:rsidTr="00063F10">
        <w:tc>
          <w:tcPr>
            <w:tcW w:w="741" w:type="dxa"/>
          </w:tcPr>
          <w:p w14:paraId="66742F1F" w14:textId="77777777" w:rsidR="00063F10" w:rsidRPr="00063F10" w:rsidRDefault="00063F10" w:rsidP="00063F10">
            <w:pPr>
              <w:keepLines/>
              <w:spacing w:before="60" w:after="60"/>
              <w:rPr>
                <w:rFonts w:ascii="Calibri" w:eastAsia="Yu Mincho" w:hAnsi="Calibri"/>
                <w:sz w:val="22"/>
                <w:szCs w:val="22"/>
              </w:rPr>
            </w:pPr>
            <w:r w:rsidRPr="00063F10">
              <w:rPr>
                <w:rFonts w:ascii="Calibri" w:eastAsia="Yu Mincho" w:hAnsi="Calibri"/>
                <w:sz w:val="22"/>
                <w:szCs w:val="22"/>
              </w:rPr>
              <w:t>-</w:t>
            </w:r>
          </w:p>
        </w:tc>
        <w:tc>
          <w:tcPr>
            <w:tcW w:w="6406" w:type="dxa"/>
            <w:gridSpan w:val="2"/>
          </w:tcPr>
          <w:p w14:paraId="1240A283" w14:textId="77777777" w:rsidR="00063F10" w:rsidRPr="00063F10" w:rsidRDefault="00063F10" w:rsidP="00063F10">
            <w:pPr>
              <w:keepLines/>
              <w:spacing w:before="60" w:after="60"/>
              <w:rPr>
                <w:rFonts w:ascii="Calibri" w:eastAsia="Yu Mincho" w:hAnsi="Calibri"/>
                <w:sz w:val="22"/>
                <w:szCs w:val="22"/>
              </w:rPr>
            </w:pPr>
            <w:r w:rsidRPr="00063F10">
              <w:rPr>
                <w:rFonts w:ascii="Calibri" w:eastAsia="Yu Mincho" w:hAnsi="Calibri"/>
                <w:sz w:val="22"/>
                <w:szCs w:val="22"/>
              </w:rPr>
              <w:t>-</w:t>
            </w:r>
          </w:p>
        </w:tc>
        <w:tc>
          <w:tcPr>
            <w:tcW w:w="779" w:type="dxa"/>
          </w:tcPr>
          <w:p w14:paraId="54A744CB" w14:textId="77777777" w:rsidR="00063F10" w:rsidRPr="00063F10" w:rsidRDefault="00063F10" w:rsidP="00063F10">
            <w:pPr>
              <w:keepLines/>
              <w:spacing w:before="60" w:after="60"/>
              <w:rPr>
                <w:rFonts w:ascii="Calibri" w:eastAsia="Yu Mincho" w:hAnsi="Calibri"/>
                <w:sz w:val="20"/>
                <w:szCs w:val="20"/>
                <w:u w:val="single"/>
              </w:rPr>
            </w:pPr>
            <w:r w:rsidRPr="00063F10">
              <w:rPr>
                <w:rFonts w:ascii="Calibri" w:eastAsia="Yu Mincho" w:hAnsi="Calibri"/>
                <w:sz w:val="20"/>
                <w:szCs w:val="20"/>
                <w:u w:val="single"/>
              </w:rPr>
              <w:t>20.2</w:t>
            </w:r>
          </w:p>
        </w:tc>
        <w:tc>
          <w:tcPr>
            <w:tcW w:w="6353" w:type="dxa"/>
            <w:gridSpan w:val="2"/>
          </w:tcPr>
          <w:p w14:paraId="30070B58"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color w:val="231F20"/>
                <w:sz w:val="20"/>
                <w:szCs w:val="20"/>
                <w:u w:val="single"/>
              </w:rPr>
              <w:t xml:space="preserve">Le formulaire ICH-01 RL à USL est utilisé pour le transfert d’un élément de la Liste représentative </w:t>
            </w:r>
            <w:r w:rsidRPr="00063F10">
              <w:rPr>
                <w:rFonts w:ascii="Calibri" w:eastAsia="Yu Mincho" w:hAnsi="Calibri"/>
                <w:sz w:val="20"/>
                <w:szCs w:val="20"/>
                <w:u w:val="single"/>
              </w:rPr>
              <w:t>du patrimoine culturel immatériel de l’humanité</w:t>
            </w:r>
            <w:r w:rsidRPr="00063F10">
              <w:rPr>
                <w:rFonts w:ascii="Calibri" w:eastAsia="Yu Mincho" w:hAnsi="Calibri"/>
                <w:color w:val="231F20"/>
                <w:sz w:val="20"/>
                <w:szCs w:val="20"/>
                <w:u w:val="single"/>
              </w:rPr>
              <w:t xml:space="preserve"> à la </w:t>
            </w:r>
            <w:r w:rsidRPr="00063F10">
              <w:rPr>
                <w:rFonts w:ascii="Calibri" w:eastAsia="Yu Mincho" w:hAnsi="Calibri"/>
                <w:sz w:val="20"/>
                <w:szCs w:val="20"/>
                <w:u w:val="single"/>
              </w:rPr>
              <w:t>Liste du patrimoine culturel immatériel nécessitant une sauvegarde urgente, et comprend une possibilité de demande simultanée d’assistance internationale</w:t>
            </w:r>
            <w:r w:rsidRPr="00063F10">
              <w:rPr>
                <w:rFonts w:ascii="Calibri" w:eastAsia="Yu Mincho" w:hAnsi="Calibri"/>
                <w:color w:val="231F20"/>
                <w:sz w:val="20"/>
                <w:szCs w:val="20"/>
              </w:rPr>
              <w:t>.</w:t>
            </w:r>
          </w:p>
          <w:p w14:paraId="194B0284" w14:textId="77777777" w:rsidR="00063F10" w:rsidRPr="00063F10" w:rsidRDefault="00063F10" w:rsidP="00063F10">
            <w:pPr>
              <w:keepLines/>
              <w:spacing w:before="60" w:after="60"/>
              <w:rPr>
                <w:rFonts w:ascii="Calibri" w:eastAsia="Yu Mincho" w:hAnsi="Calibri"/>
                <w:color w:val="231F20"/>
                <w:sz w:val="20"/>
                <w:szCs w:val="20"/>
                <w:u w:val="single"/>
              </w:rPr>
            </w:pPr>
            <w:r w:rsidRPr="00063F10">
              <w:rPr>
                <w:rFonts w:ascii="Calibri" w:eastAsia="Yu Mincho" w:hAnsi="Calibri"/>
                <w:color w:val="231F20"/>
                <w:sz w:val="20"/>
                <w:szCs w:val="20"/>
                <w:u w:val="single"/>
              </w:rPr>
              <w:t xml:space="preserve">Le formulaire ICH-02 USL à RL, annexé au formulaire de rapport périodique ICH-11, est utilisé pour le transfert d’un élément de la </w:t>
            </w:r>
            <w:r w:rsidRPr="00063F10">
              <w:rPr>
                <w:rFonts w:ascii="Calibri" w:eastAsia="Yu Mincho" w:hAnsi="Calibri"/>
                <w:sz w:val="20"/>
                <w:szCs w:val="20"/>
                <w:u w:val="single"/>
              </w:rPr>
              <w:t>Liste du patrimoine culturel immatériel nécessitant une sauvegarde urgente</w:t>
            </w:r>
            <w:r w:rsidRPr="00063F10">
              <w:rPr>
                <w:rFonts w:ascii="Calibri" w:eastAsia="Yu Mincho" w:hAnsi="Calibri"/>
                <w:color w:val="231F20"/>
                <w:sz w:val="20"/>
                <w:szCs w:val="20"/>
                <w:u w:val="single"/>
              </w:rPr>
              <w:t xml:space="preserve"> à la </w:t>
            </w:r>
            <w:r w:rsidRPr="00063F10">
              <w:rPr>
                <w:rFonts w:ascii="Calibri" w:eastAsia="Yu Mincho" w:hAnsi="Calibri"/>
                <w:sz w:val="20"/>
                <w:szCs w:val="20"/>
                <w:u w:val="single"/>
              </w:rPr>
              <w:t>Liste représentative du patrimoine culturel immatériel de l’humanité</w:t>
            </w:r>
            <w:r w:rsidRPr="00063F10">
              <w:rPr>
                <w:rFonts w:ascii="Calibri" w:eastAsia="Yu Mincho" w:hAnsi="Calibri"/>
                <w:color w:val="231F20"/>
                <w:sz w:val="20"/>
                <w:szCs w:val="20"/>
                <w:u w:val="single"/>
              </w:rPr>
              <w:t>.</w:t>
            </w:r>
            <w:r w:rsidRPr="00063F10">
              <w:rPr>
                <w:rFonts w:ascii="Calibri" w:eastAsia="Yu Mincho" w:hAnsi="Calibri"/>
                <w:color w:val="231F20"/>
                <w:sz w:val="20"/>
                <w:szCs w:val="20"/>
                <w:vertAlign w:val="superscript"/>
              </w:rPr>
              <w:footnoteReference w:id="12"/>
            </w:r>
            <w:r w:rsidRPr="00063F10">
              <w:rPr>
                <w:rFonts w:ascii="Calibri" w:eastAsia="Yu Mincho" w:hAnsi="Calibri"/>
                <w:color w:val="231F20"/>
                <w:sz w:val="20"/>
                <w:szCs w:val="20"/>
              </w:rPr>
              <w:t xml:space="preserve"> </w:t>
            </w:r>
          </w:p>
        </w:tc>
      </w:tr>
      <w:tr w:rsidR="00063F10" w:rsidRPr="00063F10" w14:paraId="17E4DD26" w14:textId="77777777" w:rsidTr="00063F10">
        <w:tc>
          <w:tcPr>
            <w:tcW w:w="741" w:type="dxa"/>
          </w:tcPr>
          <w:p w14:paraId="05958B97"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rPr>
              <w:t>21.</w:t>
            </w:r>
          </w:p>
        </w:tc>
        <w:tc>
          <w:tcPr>
            <w:tcW w:w="6406" w:type="dxa"/>
            <w:gridSpan w:val="2"/>
          </w:tcPr>
          <w:p w14:paraId="5518CEAF"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rPr>
              <w:t>Les États parties peuvent demander une assistance préparatoire pour l’élaboration de dossiers de candidatures sur la Liste du patrimoine immatériel nécessitant une sauvegarde urgente et pour l’élaboration de propositions de programmes, projets et activités reflétant le mieux les principes et objectifs de la Convention.</w:t>
            </w:r>
          </w:p>
        </w:tc>
        <w:tc>
          <w:tcPr>
            <w:tcW w:w="779" w:type="dxa"/>
          </w:tcPr>
          <w:p w14:paraId="33BDFD92" w14:textId="77777777" w:rsidR="00063F10" w:rsidRPr="00063F10" w:rsidRDefault="00063F10" w:rsidP="00063F10">
            <w:pPr>
              <w:rPr>
                <w:rFonts w:ascii="Calibri" w:eastAsia="Yu Mincho" w:hAnsi="Calibri"/>
                <w:sz w:val="20"/>
                <w:szCs w:val="20"/>
              </w:rPr>
            </w:pPr>
            <w:r w:rsidRPr="00063F10">
              <w:rPr>
                <w:rFonts w:ascii="Calibri" w:eastAsia="Yu Mincho" w:hAnsi="Calibri"/>
                <w:sz w:val="20"/>
                <w:szCs w:val="20"/>
              </w:rPr>
              <w:t>21.</w:t>
            </w:r>
          </w:p>
        </w:tc>
        <w:tc>
          <w:tcPr>
            <w:tcW w:w="6353" w:type="dxa"/>
            <w:gridSpan w:val="2"/>
          </w:tcPr>
          <w:p w14:paraId="1AB59665" w14:textId="77777777" w:rsidR="00063F10" w:rsidRPr="00063F10" w:rsidRDefault="00063F10" w:rsidP="00063F10">
            <w:pPr>
              <w:keepLines/>
              <w:spacing w:before="60"/>
              <w:rPr>
                <w:rFonts w:ascii="Calibri" w:eastAsia="Yu Mincho" w:hAnsi="Calibri"/>
                <w:color w:val="231F20"/>
                <w:sz w:val="20"/>
                <w:szCs w:val="20"/>
              </w:rPr>
            </w:pPr>
            <w:r w:rsidRPr="00063F10">
              <w:rPr>
                <w:rFonts w:ascii="Calibri" w:eastAsia="Yu Mincho" w:hAnsi="Calibri"/>
                <w:sz w:val="20"/>
                <w:szCs w:val="20"/>
              </w:rPr>
              <w:t>Les États parties peuvent demander une assistance préparatoire</w:t>
            </w:r>
            <w:r w:rsidRPr="00063F10">
              <w:rPr>
                <w:rFonts w:ascii="Calibri" w:eastAsia="Yu Mincho" w:hAnsi="Calibri"/>
                <w:color w:val="231F20"/>
                <w:sz w:val="20"/>
                <w:szCs w:val="20"/>
                <w:u w:val="single"/>
              </w:rPr>
              <w:t>, en consultation avec les communautés, groupes et, le cas échéant, individus concernés,</w:t>
            </w:r>
            <w:r w:rsidRPr="00063F10">
              <w:rPr>
                <w:rFonts w:ascii="Calibri" w:eastAsia="Yu Mincho" w:hAnsi="Calibri"/>
                <w:color w:val="231F20"/>
                <w:sz w:val="20"/>
                <w:szCs w:val="20"/>
                <w:vertAlign w:val="superscript"/>
              </w:rPr>
              <w:footnoteReference w:id="13"/>
            </w:r>
            <w:r w:rsidRPr="00063F10">
              <w:rPr>
                <w:rFonts w:ascii="Calibri" w:eastAsia="Yu Mincho" w:hAnsi="Calibri"/>
                <w:color w:val="231F20"/>
                <w:sz w:val="20"/>
                <w:szCs w:val="20"/>
              </w:rPr>
              <w:t xml:space="preserve"> </w:t>
            </w:r>
            <w:r w:rsidRPr="00063F10">
              <w:rPr>
                <w:rFonts w:ascii="Calibri" w:eastAsia="Yu Mincho" w:hAnsi="Calibri"/>
                <w:sz w:val="20"/>
                <w:szCs w:val="20"/>
              </w:rPr>
              <w:t>pour l’élaboration de </w:t>
            </w:r>
            <w:r w:rsidRPr="00063F10">
              <w:rPr>
                <w:rFonts w:ascii="Calibri" w:eastAsia="Yu Mincho" w:hAnsi="Calibri"/>
                <w:color w:val="231F20"/>
                <w:sz w:val="20"/>
                <w:szCs w:val="20"/>
              </w:rPr>
              <w:t>:</w:t>
            </w:r>
          </w:p>
          <w:p w14:paraId="435757B0" w14:textId="77777777" w:rsidR="00063F10" w:rsidRPr="00063F10" w:rsidRDefault="00063F10" w:rsidP="00063F10">
            <w:pPr>
              <w:widowControl w:val="0"/>
              <w:numPr>
                <w:ilvl w:val="0"/>
                <w:numId w:val="31"/>
              </w:numPr>
              <w:autoSpaceDE w:val="0"/>
              <w:autoSpaceDN w:val="0"/>
              <w:ind w:left="325" w:hanging="325"/>
              <w:rPr>
                <w:rFonts w:ascii="Calibri" w:eastAsia="Calibri" w:hAnsi="Calibri" w:cs="Calibri"/>
                <w:color w:val="231F20"/>
                <w:spacing w:val="-18"/>
                <w:sz w:val="20"/>
                <w:szCs w:val="20"/>
                <w:lang w:eastAsia="en-US"/>
              </w:rPr>
            </w:pPr>
            <w:proofErr w:type="gramStart"/>
            <w:r w:rsidRPr="00063F10">
              <w:rPr>
                <w:rFonts w:ascii="Calibri" w:eastAsia="Calibri" w:hAnsi="Calibri" w:cs="Calibri"/>
                <w:color w:val="231F20"/>
                <w:sz w:val="20"/>
                <w:szCs w:val="20"/>
                <w:lang w:eastAsia="en-US"/>
              </w:rPr>
              <w:t>candidatures</w:t>
            </w:r>
            <w:proofErr w:type="gramEnd"/>
            <w:r w:rsidRPr="00063F10">
              <w:rPr>
                <w:rFonts w:ascii="Calibri" w:eastAsia="Calibri" w:hAnsi="Calibri" w:cs="Calibri"/>
                <w:color w:val="231F20"/>
                <w:sz w:val="20"/>
                <w:szCs w:val="20"/>
                <w:lang w:eastAsia="en-US"/>
              </w:rPr>
              <w:t xml:space="preserve"> à la </w:t>
            </w:r>
            <w:r w:rsidRPr="00063F10">
              <w:rPr>
                <w:rFonts w:ascii="Calibri" w:eastAsia="Calibri" w:hAnsi="Calibri" w:cs="Calibri"/>
                <w:sz w:val="20"/>
                <w:szCs w:val="20"/>
                <w:lang w:eastAsia="en-US"/>
              </w:rPr>
              <w:t>Liste du patrimoine culturel immatériel nécessitant une sauvegarde urgente</w:t>
            </w:r>
            <w:r w:rsidRPr="00063F10">
              <w:rPr>
                <w:rFonts w:ascii="Calibri" w:eastAsia="Calibri" w:hAnsi="Calibri" w:cs="Calibri"/>
                <w:color w:val="231F20"/>
                <w:sz w:val="20"/>
                <w:szCs w:val="20"/>
                <w:lang w:eastAsia="en-US"/>
              </w:rPr>
              <w:t xml:space="preserve">, </w:t>
            </w:r>
            <w:r w:rsidRPr="00063F10">
              <w:rPr>
                <w:rFonts w:ascii="Calibri" w:eastAsia="Calibri" w:hAnsi="Calibri" w:cs="Calibri"/>
                <w:strike/>
                <w:color w:val="231F20"/>
                <w:sz w:val="20"/>
                <w:szCs w:val="20"/>
                <w:lang w:eastAsia="en-US"/>
              </w:rPr>
              <w:t>et</w:t>
            </w:r>
          </w:p>
          <w:p w14:paraId="08CBE138" w14:textId="77777777" w:rsidR="00063F10" w:rsidRPr="00063F10" w:rsidRDefault="00063F10" w:rsidP="00063F10">
            <w:pPr>
              <w:widowControl w:val="0"/>
              <w:numPr>
                <w:ilvl w:val="0"/>
                <w:numId w:val="31"/>
              </w:numPr>
              <w:autoSpaceDE w:val="0"/>
              <w:autoSpaceDN w:val="0"/>
              <w:ind w:left="325" w:hanging="325"/>
              <w:rPr>
                <w:rFonts w:ascii="Calibri" w:eastAsia="Calibri" w:hAnsi="Calibri" w:cs="Calibri"/>
                <w:color w:val="231F20"/>
                <w:sz w:val="20"/>
                <w:szCs w:val="20"/>
                <w:lang w:eastAsia="en-US"/>
              </w:rPr>
            </w:pPr>
            <w:proofErr w:type="gramStart"/>
            <w:r w:rsidRPr="00063F10">
              <w:rPr>
                <w:rFonts w:ascii="Calibri" w:eastAsia="Calibri" w:hAnsi="Calibri" w:cs="Calibri"/>
                <w:sz w:val="20"/>
                <w:szCs w:val="20"/>
                <w:lang w:eastAsia="en-US"/>
              </w:rPr>
              <w:t>propositions</w:t>
            </w:r>
            <w:proofErr w:type="gramEnd"/>
            <w:r w:rsidRPr="00063F10">
              <w:rPr>
                <w:rFonts w:ascii="Calibri" w:eastAsia="Calibri" w:hAnsi="Calibri" w:cs="Calibri"/>
                <w:sz w:val="20"/>
                <w:szCs w:val="20"/>
                <w:lang w:eastAsia="en-US"/>
              </w:rPr>
              <w:t xml:space="preserve"> de programmes, projets et activités reflétant le mieux les principes et objectifs de la Convention</w:t>
            </w:r>
            <w:r w:rsidRPr="00063F10">
              <w:rPr>
                <w:rFonts w:ascii="Calibri" w:eastAsia="Calibri" w:hAnsi="Calibri" w:cs="Calibri"/>
                <w:color w:val="231F20"/>
                <w:sz w:val="20"/>
                <w:szCs w:val="20"/>
                <w:lang w:eastAsia="en-US"/>
              </w:rPr>
              <w:t>,</w:t>
            </w:r>
          </w:p>
          <w:p w14:paraId="108BD280" w14:textId="77777777" w:rsidR="00063F10" w:rsidRPr="00063F10" w:rsidRDefault="00063F10" w:rsidP="00063F10">
            <w:pPr>
              <w:widowControl w:val="0"/>
              <w:numPr>
                <w:ilvl w:val="0"/>
                <w:numId w:val="31"/>
              </w:numPr>
              <w:autoSpaceDE w:val="0"/>
              <w:autoSpaceDN w:val="0"/>
              <w:ind w:left="325" w:hanging="325"/>
              <w:rPr>
                <w:rFonts w:ascii="Calibri" w:eastAsia="Calibri" w:hAnsi="Calibri" w:cs="Calibri"/>
                <w:color w:val="231F20"/>
                <w:sz w:val="20"/>
                <w:szCs w:val="20"/>
                <w:u w:val="single"/>
                <w:lang w:eastAsia="en-US"/>
              </w:rPr>
            </w:pPr>
            <w:proofErr w:type="gramStart"/>
            <w:r w:rsidRPr="00063F10">
              <w:rPr>
                <w:rFonts w:ascii="Calibri" w:eastAsia="Calibri" w:hAnsi="Calibri" w:cs="Calibri"/>
                <w:color w:val="231F20"/>
                <w:sz w:val="20"/>
                <w:szCs w:val="20"/>
                <w:u w:val="single"/>
                <w:lang w:eastAsia="en-US"/>
              </w:rPr>
              <w:t>demandes</w:t>
            </w:r>
            <w:proofErr w:type="gramEnd"/>
            <w:r w:rsidRPr="00063F10">
              <w:rPr>
                <w:rFonts w:ascii="Calibri" w:eastAsia="Calibri" w:hAnsi="Calibri" w:cs="Calibri"/>
                <w:color w:val="231F20"/>
                <w:sz w:val="20"/>
                <w:szCs w:val="20"/>
                <w:u w:val="single"/>
                <w:lang w:eastAsia="en-US"/>
              </w:rPr>
              <w:t xml:space="preserve"> de transfert d’un élément d’une liste à l’autre,</w:t>
            </w:r>
            <w:r w:rsidRPr="00063F10">
              <w:rPr>
                <w:rFonts w:ascii="Calibri" w:eastAsia="Calibri" w:hAnsi="Calibri" w:cs="Calibri"/>
                <w:color w:val="231F20"/>
                <w:sz w:val="20"/>
                <w:szCs w:val="20"/>
                <w:u w:val="single"/>
                <w:vertAlign w:val="superscript"/>
                <w:lang w:eastAsia="en-US"/>
              </w:rPr>
              <w:footnoteReference w:id="14"/>
            </w:r>
            <w:r w:rsidRPr="00063F10">
              <w:rPr>
                <w:rFonts w:ascii="Calibri" w:eastAsia="Calibri" w:hAnsi="Calibri" w:cs="Calibri"/>
                <w:color w:val="231F20"/>
                <w:sz w:val="20"/>
                <w:szCs w:val="20"/>
                <w:u w:val="single"/>
                <w:lang w:eastAsia="en-US"/>
              </w:rPr>
              <w:t xml:space="preserve"> et</w:t>
            </w:r>
          </w:p>
          <w:p w14:paraId="5F1731F8" w14:textId="77777777" w:rsidR="00063F10" w:rsidRPr="00063F10" w:rsidRDefault="00063F10" w:rsidP="00063F10">
            <w:pPr>
              <w:widowControl w:val="0"/>
              <w:numPr>
                <w:ilvl w:val="0"/>
                <w:numId w:val="31"/>
              </w:numPr>
              <w:autoSpaceDE w:val="0"/>
              <w:autoSpaceDN w:val="0"/>
              <w:spacing w:after="60"/>
              <w:ind w:left="323" w:hanging="323"/>
              <w:rPr>
                <w:rFonts w:ascii="Calibri" w:eastAsia="Calibri" w:hAnsi="Calibri" w:cs="Calibri"/>
                <w:color w:val="231F20"/>
                <w:sz w:val="20"/>
                <w:szCs w:val="20"/>
                <w:u w:val="single"/>
                <w:lang w:eastAsia="en-US"/>
              </w:rPr>
            </w:pPr>
            <w:proofErr w:type="gramStart"/>
            <w:r w:rsidRPr="00063F10">
              <w:rPr>
                <w:rFonts w:ascii="Calibri" w:eastAsia="Calibri" w:hAnsi="Calibri" w:cs="Calibri"/>
                <w:color w:val="231F20"/>
                <w:sz w:val="20"/>
                <w:szCs w:val="20"/>
                <w:u w:val="single"/>
                <w:lang w:eastAsia="en-US"/>
              </w:rPr>
              <w:lastRenderedPageBreak/>
              <w:t>candidatures</w:t>
            </w:r>
            <w:proofErr w:type="gramEnd"/>
            <w:r w:rsidRPr="00063F10">
              <w:rPr>
                <w:rFonts w:ascii="Calibri" w:eastAsia="Calibri" w:hAnsi="Calibri" w:cs="Calibri"/>
                <w:color w:val="231F20"/>
                <w:sz w:val="20"/>
                <w:szCs w:val="20"/>
                <w:u w:val="single"/>
                <w:lang w:eastAsia="en-US"/>
              </w:rPr>
              <w:t xml:space="preserve"> sur une base élargie ou réduite d’éléments déjà inscrits.</w:t>
            </w:r>
            <w:r w:rsidRPr="00063F10">
              <w:rPr>
                <w:rFonts w:ascii="Calibri" w:eastAsia="Calibri" w:hAnsi="Calibri" w:cs="Calibri"/>
                <w:color w:val="231F20"/>
                <w:sz w:val="20"/>
                <w:szCs w:val="20"/>
                <w:u w:val="single"/>
                <w:vertAlign w:val="superscript"/>
                <w:lang w:eastAsia="en-US"/>
              </w:rPr>
              <w:footnoteReference w:id="15"/>
            </w:r>
          </w:p>
        </w:tc>
      </w:tr>
      <w:tr w:rsidR="00063F10" w:rsidRPr="00063F10" w14:paraId="494EF8C3" w14:textId="77777777" w:rsidTr="00063F10">
        <w:tc>
          <w:tcPr>
            <w:tcW w:w="741" w:type="dxa"/>
          </w:tcPr>
          <w:p w14:paraId="4204BD6B"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rPr>
              <w:lastRenderedPageBreak/>
              <w:t>22.</w:t>
            </w:r>
          </w:p>
        </w:tc>
        <w:tc>
          <w:tcPr>
            <w:tcW w:w="6406" w:type="dxa"/>
            <w:gridSpan w:val="2"/>
          </w:tcPr>
          <w:p w14:paraId="4AE377B4" w14:textId="77777777" w:rsidR="00063F10" w:rsidRPr="00063F10" w:rsidRDefault="00063F10" w:rsidP="00063F10">
            <w:pPr>
              <w:keepLines/>
              <w:spacing w:before="60" w:after="60"/>
              <w:rPr>
                <w:rFonts w:ascii="Calibri" w:eastAsia="Yu Mincho" w:hAnsi="Calibri"/>
                <w:color w:val="231F20"/>
                <w:sz w:val="22"/>
                <w:szCs w:val="22"/>
              </w:rPr>
            </w:pPr>
            <w:r w:rsidRPr="00063F10">
              <w:rPr>
                <w:rFonts w:ascii="Calibri" w:eastAsia="Yu Mincho" w:hAnsi="Calibri"/>
                <w:sz w:val="20"/>
                <w:szCs w:val="20"/>
              </w:rPr>
              <w:t>Pour ce qui concerne l’assistance préparatoire, le formulaire ICH-05 est utilisé pour les demandes d’assistance préparatoire pour élaborer une candidature pour l’inscription sur la Liste du patrimoine culturel immatériel nécessitant une sauvegarde urgente, et le formulaire ICH-06 est utilisé pour les demandes d’assistance préparatoire pour élaborer une proposition de programme, projet ou activité susceptible d’être sélectionné et promu par le Comité. Toutes les autres demandes d’assistance internationale, quel que soit le montant sollicité, doivent être soumises en utilisant le formulaire ICH-04.</w:t>
            </w:r>
          </w:p>
        </w:tc>
        <w:tc>
          <w:tcPr>
            <w:tcW w:w="779" w:type="dxa"/>
          </w:tcPr>
          <w:p w14:paraId="13741952"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rPr>
              <w:t>22.</w:t>
            </w:r>
          </w:p>
        </w:tc>
        <w:tc>
          <w:tcPr>
            <w:tcW w:w="6353" w:type="dxa"/>
            <w:gridSpan w:val="2"/>
          </w:tcPr>
          <w:p w14:paraId="67FC2BF7" w14:textId="77777777" w:rsidR="00063F10" w:rsidRPr="00063F10" w:rsidRDefault="00063F10" w:rsidP="00063F10">
            <w:pPr>
              <w:keepLines/>
              <w:spacing w:before="60" w:after="60"/>
              <w:rPr>
                <w:rFonts w:ascii="Calibri" w:eastAsia="Yu Mincho" w:hAnsi="Calibri"/>
                <w:strike/>
                <w:sz w:val="20"/>
                <w:szCs w:val="20"/>
              </w:rPr>
            </w:pPr>
            <w:r w:rsidRPr="00063F10">
              <w:rPr>
                <w:rFonts w:ascii="Calibri" w:eastAsia="Yu Mincho" w:hAnsi="Calibri"/>
                <w:strike/>
                <w:sz w:val="20"/>
                <w:szCs w:val="20"/>
              </w:rPr>
              <w:t>Pour ce qui concerne l’assistance préparatoire, le formulaire ICH-05 est utilisé pour les demandes d’assistance préparatoire pour élaborer une candidature pour l’inscription sur la Liste du patrimoine culturel immatériel nécessitant une sauvegarde urgente, et le formulaire ICH-06 est utilisé pour les demandes d’assistance préparatoire pour élaborer une proposition de programme, projet ou activité susceptible d’être sélectionné et promu par le Comité. Toutes les autres demandes d’assistance internationale, quel que soit le montant sollicité, doivent être soumises en utilisant le formulaire ICH-04.</w:t>
            </w:r>
          </w:p>
          <w:p w14:paraId="502F8004" w14:textId="77777777" w:rsidR="00063F10" w:rsidRPr="00063F10" w:rsidRDefault="00063F10" w:rsidP="00063F10">
            <w:pPr>
              <w:keepLines/>
              <w:spacing w:before="60" w:after="60"/>
              <w:rPr>
                <w:rFonts w:ascii="Calibri" w:eastAsia="Yu Mincho" w:hAnsi="Calibri"/>
                <w:sz w:val="20"/>
                <w:szCs w:val="20"/>
                <w:u w:val="single"/>
              </w:rPr>
            </w:pPr>
            <w:r w:rsidRPr="00063F10">
              <w:rPr>
                <w:rFonts w:ascii="Calibri" w:eastAsia="Yu Mincho" w:hAnsi="Calibri"/>
                <w:sz w:val="20"/>
                <w:szCs w:val="20"/>
                <w:u w:val="single"/>
              </w:rPr>
              <w:t>Les demandes pour toute assistance préparatoire doivent être soumises en utilisant le formulaire ICH-05. Les demandes d’assistance internationale, quel que soit le montant sollicité, doivent être soumises en utilisant le formulaire ICH-04.</w:t>
            </w:r>
          </w:p>
        </w:tc>
      </w:tr>
      <w:tr w:rsidR="00063F10" w:rsidRPr="00063F10" w14:paraId="1FCE2D8B" w14:textId="77777777" w:rsidTr="00063F10">
        <w:tc>
          <w:tcPr>
            <w:tcW w:w="741" w:type="dxa"/>
            <w:shd w:val="clear" w:color="auto" w:fill="F2F2F2"/>
          </w:tcPr>
          <w:p w14:paraId="75AA2C79" w14:textId="77777777" w:rsidR="00063F10" w:rsidRPr="00063F10" w:rsidRDefault="00063F10" w:rsidP="00063F10">
            <w:pPr>
              <w:keepNext/>
              <w:keepLines/>
              <w:spacing w:before="120" w:after="120"/>
              <w:rPr>
                <w:rFonts w:ascii="Calibri" w:eastAsia="Yu Mincho" w:hAnsi="Calibri"/>
                <w:b/>
                <w:bCs/>
                <w:color w:val="1F4E79"/>
                <w:sz w:val="22"/>
                <w:szCs w:val="22"/>
              </w:rPr>
            </w:pPr>
            <w:r w:rsidRPr="00063F10">
              <w:rPr>
                <w:rFonts w:ascii="Calibri" w:eastAsia="Yu Mincho" w:hAnsi="Calibri"/>
                <w:b/>
                <w:bCs/>
                <w:color w:val="1F4E79"/>
                <w:sz w:val="22"/>
                <w:szCs w:val="22"/>
              </w:rPr>
              <w:t>I.8</w:t>
            </w:r>
          </w:p>
        </w:tc>
        <w:tc>
          <w:tcPr>
            <w:tcW w:w="6406" w:type="dxa"/>
            <w:gridSpan w:val="2"/>
            <w:shd w:val="clear" w:color="auto" w:fill="F2F2F2"/>
          </w:tcPr>
          <w:p w14:paraId="1C7923C8" w14:textId="77777777" w:rsidR="00063F10" w:rsidRPr="00063F10" w:rsidRDefault="00063F10" w:rsidP="00063F10">
            <w:pPr>
              <w:keepNext/>
              <w:keepLines/>
              <w:spacing w:before="120" w:after="120"/>
              <w:rPr>
                <w:rFonts w:ascii="Calibri" w:eastAsia="Yu Mincho" w:hAnsi="Calibri"/>
                <w:b/>
                <w:bCs/>
                <w:color w:val="1F4E79"/>
                <w:sz w:val="22"/>
                <w:szCs w:val="22"/>
              </w:rPr>
            </w:pPr>
            <w:r w:rsidRPr="00063F10">
              <w:rPr>
                <w:rFonts w:ascii="Calibri" w:eastAsia="Yu Mincho" w:hAnsi="Calibri"/>
                <w:b/>
                <w:bCs/>
                <w:color w:val="1F4E79"/>
                <w:sz w:val="22"/>
                <w:szCs w:val="22"/>
              </w:rPr>
              <w:t>Évaluation des dossiers</w:t>
            </w:r>
          </w:p>
        </w:tc>
        <w:tc>
          <w:tcPr>
            <w:tcW w:w="779" w:type="dxa"/>
            <w:shd w:val="clear" w:color="auto" w:fill="F2F2F2"/>
          </w:tcPr>
          <w:p w14:paraId="6E5E7304" w14:textId="77777777" w:rsidR="00063F10" w:rsidRPr="00063F10" w:rsidRDefault="00063F10" w:rsidP="00063F10">
            <w:pPr>
              <w:keepNext/>
              <w:keepLines/>
              <w:spacing w:before="120" w:after="120"/>
              <w:rPr>
                <w:rFonts w:ascii="Calibri" w:eastAsia="Yu Mincho" w:hAnsi="Calibri"/>
                <w:b/>
                <w:bCs/>
                <w:color w:val="1F4E79"/>
                <w:sz w:val="22"/>
                <w:szCs w:val="22"/>
              </w:rPr>
            </w:pPr>
            <w:r w:rsidRPr="00063F10">
              <w:rPr>
                <w:rFonts w:ascii="Calibri" w:eastAsia="Yu Mincho" w:hAnsi="Calibri"/>
                <w:b/>
                <w:bCs/>
                <w:color w:val="1F4E79"/>
                <w:sz w:val="22"/>
                <w:szCs w:val="22"/>
              </w:rPr>
              <w:t>I.8</w:t>
            </w:r>
          </w:p>
        </w:tc>
        <w:tc>
          <w:tcPr>
            <w:tcW w:w="6353" w:type="dxa"/>
            <w:gridSpan w:val="2"/>
            <w:shd w:val="clear" w:color="auto" w:fill="F2F2F2"/>
          </w:tcPr>
          <w:p w14:paraId="386F459B" w14:textId="77777777" w:rsidR="00063F10" w:rsidRPr="00063F10" w:rsidRDefault="00063F10" w:rsidP="00063F10">
            <w:pPr>
              <w:keepNext/>
              <w:keepLines/>
              <w:spacing w:before="120" w:after="120"/>
              <w:rPr>
                <w:rFonts w:ascii="Calibri" w:eastAsia="Yu Mincho" w:hAnsi="Calibri"/>
                <w:color w:val="1F4E79"/>
                <w:sz w:val="22"/>
                <w:szCs w:val="22"/>
              </w:rPr>
            </w:pPr>
            <w:r w:rsidRPr="00063F10">
              <w:rPr>
                <w:rFonts w:ascii="Calibri" w:eastAsia="Yu Mincho" w:hAnsi="Calibri"/>
                <w:sz w:val="22"/>
                <w:szCs w:val="22"/>
              </w:rPr>
              <w:t>[Sans changement.]</w:t>
            </w:r>
          </w:p>
        </w:tc>
      </w:tr>
      <w:tr w:rsidR="00063F10" w:rsidRPr="00063F10" w14:paraId="5B864A98" w14:textId="77777777" w:rsidTr="00063F10">
        <w:tc>
          <w:tcPr>
            <w:tcW w:w="741" w:type="dxa"/>
          </w:tcPr>
          <w:p w14:paraId="43B5E5FE"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rPr>
              <w:t>30.</w:t>
            </w:r>
          </w:p>
        </w:tc>
        <w:tc>
          <w:tcPr>
            <w:tcW w:w="6406" w:type="dxa"/>
            <w:gridSpan w:val="2"/>
          </w:tcPr>
          <w:p w14:paraId="34451977" w14:textId="77777777" w:rsidR="00063F10" w:rsidRPr="00063F10" w:rsidRDefault="00063F10" w:rsidP="00063F10">
            <w:pPr>
              <w:keepLines/>
              <w:spacing w:before="60" w:after="60"/>
              <w:rPr>
                <w:rFonts w:ascii="Calibri" w:eastAsia="Yu Mincho" w:hAnsi="Calibri"/>
                <w:color w:val="231F20"/>
                <w:sz w:val="20"/>
                <w:szCs w:val="22"/>
              </w:rPr>
            </w:pPr>
            <w:r w:rsidRPr="00063F10">
              <w:rPr>
                <w:rFonts w:ascii="Calibri" w:eastAsia="Yu Mincho" w:hAnsi="Calibri"/>
                <w:color w:val="1A1915"/>
                <w:sz w:val="20"/>
                <w:szCs w:val="20"/>
              </w:rPr>
              <w:t>L’Organe d’évaluation soumet au Comité un rapport d’évaluation comprenant une recommandation :</w:t>
            </w:r>
          </w:p>
          <w:p w14:paraId="59EEBC0D" w14:textId="77777777" w:rsidR="00063F10" w:rsidRPr="00063F10" w:rsidRDefault="00063F10" w:rsidP="00063F10">
            <w:pPr>
              <w:widowControl w:val="0"/>
              <w:numPr>
                <w:ilvl w:val="0"/>
                <w:numId w:val="30"/>
              </w:numPr>
              <w:autoSpaceDE w:val="0"/>
              <w:autoSpaceDN w:val="0"/>
              <w:spacing w:after="60"/>
              <w:ind w:left="284" w:hanging="284"/>
              <w:rPr>
                <w:rFonts w:ascii="Calibri" w:eastAsia="Calibri" w:hAnsi="Calibri" w:cs="Calibri"/>
                <w:color w:val="231F20"/>
                <w:sz w:val="20"/>
                <w:szCs w:val="22"/>
                <w:lang w:eastAsia="en-US"/>
              </w:rPr>
            </w:pPr>
            <w:proofErr w:type="gramStart"/>
            <w:r w:rsidRPr="00063F10">
              <w:rPr>
                <w:rFonts w:ascii="Calibri" w:eastAsia="Calibri" w:hAnsi="Calibri" w:cs="Calibri"/>
                <w:sz w:val="20"/>
                <w:szCs w:val="20"/>
                <w:lang w:eastAsia="en-US"/>
              </w:rPr>
              <w:t>d’inscription</w:t>
            </w:r>
            <w:proofErr w:type="gramEnd"/>
            <w:r w:rsidRPr="00063F10">
              <w:rPr>
                <w:rFonts w:ascii="Calibri" w:eastAsia="Calibri" w:hAnsi="Calibri" w:cs="Calibri"/>
                <w:sz w:val="20"/>
                <w:szCs w:val="20"/>
                <w:lang w:eastAsia="en-US"/>
              </w:rPr>
              <w:t xml:space="preserve"> ou de non-inscription de l’élément proposé sur la Liste du patrimoine culturel immatériel nécessitant une sauvegarde urgente ou sur la Liste représentative du patrimoine culturel immatériel de l’humanité, ou de renvoi de la candidature à l’(aux) État(s) soumissionnaire(s) pour complément d’information ;</w:t>
            </w:r>
          </w:p>
          <w:p w14:paraId="36B1260D" w14:textId="77777777" w:rsidR="00063F10" w:rsidRPr="00063F10" w:rsidRDefault="00063F10" w:rsidP="00063F10">
            <w:pPr>
              <w:widowControl w:val="0"/>
              <w:numPr>
                <w:ilvl w:val="0"/>
                <w:numId w:val="30"/>
              </w:numPr>
              <w:autoSpaceDE w:val="0"/>
              <w:autoSpaceDN w:val="0"/>
              <w:spacing w:after="60"/>
              <w:ind w:left="284" w:hanging="284"/>
              <w:rPr>
                <w:rFonts w:ascii="Calibri" w:eastAsia="Calibri" w:hAnsi="Calibri" w:cs="Calibri"/>
                <w:color w:val="231F20"/>
                <w:sz w:val="20"/>
                <w:szCs w:val="22"/>
                <w:lang w:eastAsia="en-US"/>
              </w:rPr>
            </w:pPr>
            <w:proofErr w:type="gramStart"/>
            <w:r w:rsidRPr="00063F10">
              <w:rPr>
                <w:rFonts w:ascii="Calibri" w:eastAsia="Calibri" w:hAnsi="Calibri" w:cs="Calibri"/>
                <w:sz w:val="20"/>
                <w:szCs w:val="20"/>
                <w:lang w:eastAsia="en-US"/>
              </w:rPr>
              <w:t>de</w:t>
            </w:r>
            <w:proofErr w:type="gramEnd"/>
            <w:r w:rsidRPr="00063F10">
              <w:rPr>
                <w:rFonts w:ascii="Calibri" w:eastAsia="Calibri" w:hAnsi="Calibri" w:cs="Calibri"/>
                <w:sz w:val="20"/>
                <w:szCs w:val="20"/>
                <w:lang w:eastAsia="en-US"/>
              </w:rPr>
              <w:t xml:space="preserve"> sélection ou de non-sélection de la proposition de programme, projet ou activité, ou de renvoi de la proposition à l’(aux) État(s) soumissionnaire(s) pour complément d’information ; ou</w:t>
            </w:r>
          </w:p>
          <w:p w14:paraId="450D86B5" w14:textId="77777777" w:rsidR="00063F10" w:rsidRPr="00063F10" w:rsidRDefault="00063F10" w:rsidP="00063F10">
            <w:pPr>
              <w:widowControl w:val="0"/>
              <w:numPr>
                <w:ilvl w:val="0"/>
                <w:numId w:val="30"/>
              </w:numPr>
              <w:autoSpaceDE w:val="0"/>
              <w:autoSpaceDN w:val="0"/>
              <w:spacing w:after="60"/>
              <w:ind w:left="284" w:hanging="284"/>
              <w:rPr>
                <w:rFonts w:ascii="Calibri" w:eastAsia="Calibri" w:hAnsi="Calibri" w:cs="Calibri"/>
                <w:color w:val="231F20"/>
                <w:sz w:val="20"/>
                <w:szCs w:val="22"/>
                <w:lang w:eastAsia="en-US"/>
              </w:rPr>
            </w:pPr>
            <w:proofErr w:type="gramStart"/>
            <w:r w:rsidRPr="00063F10">
              <w:rPr>
                <w:rFonts w:ascii="Calibri" w:eastAsia="Calibri" w:hAnsi="Calibri" w:cs="Calibri"/>
                <w:sz w:val="20"/>
                <w:szCs w:val="20"/>
                <w:lang w:eastAsia="en-US"/>
              </w:rPr>
              <w:t>d’approbation</w:t>
            </w:r>
            <w:proofErr w:type="gramEnd"/>
            <w:r w:rsidRPr="00063F10">
              <w:rPr>
                <w:rFonts w:ascii="Calibri" w:eastAsia="Calibri" w:hAnsi="Calibri" w:cs="Calibri"/>
                <w:sz w:val="20"/>
                <w:szCs w:val="20"/>
                <w:lang w:eastAsia="en-US"/>
              </w:rPr>
              <w:t xml:space="preserve"> ou non-approbation de la demande d’assistance, ou de renvoi de la demande à l’(aux) État(s) soumissionnaire(s) pour complément d’information.</w:t>
            </w:r>
          </w:p>
        </w:tc>
        <w:tc>
          <w:tcPr>
            <w:tcW w:w="779" w:type="dxa"/>
          </w:tcPr>
          <w:p w14:paraId="32F59A42"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rPr>
              <w:t>30.</w:t>
            </w:r>
          </w:p>
        </w:tc>
        <w:tc>
          <w:tcPr>
            <w:tcW w:w="6353" w:type="dxa"/>
            <w:gridSpan w:val="2"/>
          </w:tcPr>
          <w:p w14:paraId="132B9AEA"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color w:val="1A1915"/>
                <w:sz w:val="20"/>
                <w:szCs w:val="20"/>
              </w:rPr>
              <w:t>L’Organe d’évaluation soumet au Comité un rapport d’évaluation comprenant une recommandation </w:t>
            </w:r>
            <w:r w:rsidRPr="00063F10">
              <w:rPr>
                <w:rFonts w:ascii="Calibri" w:eastAsia="Yu Mincho" w:hAnsi="Calibri"/>
                <w:color w:val="231F20"/>
                <w:sz w:val="20"/>
                <w:szCs w:val="20"/>
              </w:rPr>
              <w:t>:</w:t>
            </w:r>
          </w:p>
          <w:p w14:paraId="0AE2BAAF" w14:textId="77777777" w:rsidR="00063F10" w:rsidRPr="00063F10" w:rsidRDefault="00063F10" w:rsidP="00063F10">
            <w:pPr>
              <w:widowControl w:val="0"/>
              <w:numPr>
                <w:ilvl w:val="0"/>
                <w:numId w:val="30"/>
              </w:numPr>
              <w:autoSpaceDE w:val="0"/>
              <w:autoSpaceDN w:val="0"/>
              <w:spacing w:after="60"/>
              <w:ind w:left="284" w:hanging="284"/>
              <w:rPr>
                <w:rFonts w:ascii="Calibri" w:eastAsia="Calibri" w:hAnsi="Calibri" w:cs="Calibri"/>
                <w:color w:val="231F20"/>
                <w:sz w:val="20"/>
                <w:szCs w:val="20"/>
                <w:lang w:eastAsia="en-US"/>
              </w:rPr>
            </w:pPr>
            <w:proofErr w:type="gramStart"/>
            <w:r w:rsidRPr="00063F10">
              <w:rPr>
                <w:rFonts w:ascii="Calibri" w:eastAsia="Calibri" w:hAnsi="Calibri" w:cs="Calibri"/>
                <w:sz w:val="20"/>
                <w:szCs w:val="20"/>
                <w:lang w:eastAsia="en-US"/>
              </w:rPr>
              <w:t>d’inscription</w:t>
            </w:r>
            <w:proofErr w:type="gramEnd"/>
            <w:r w:rsidRPr="00063F10">
              <w:rPr>
                <w:rFonts w:ascii="Calibri" w:eastAsia="Calibri" w:hAnsi="Calibri" w:cs="Calibri"/>
                <w:sz w:val="20"/>
                <w:szCs w:val="20"/>
                <w:lang w:eastAsia="en-US"/>
              </w:rPr>
              <w:t xml:space="preserve"> ou de non-inscription de l’élément proposé </w:t>
            </w:r>
            <w:r w:rsidRPr="00063F10">
              <w:rPr>
                <w:rFonts w:ascii="Calibri" w:eastAsia="Calibri" w:hAnsi="Calibri" w:cs="Calibri"/>
                <w:sz w:val="20"/>
                <w:szCs w:val="20"/>
                <w:u w:val="single"/>
                <w:lang w:eastAsia="en-US"/>
              </w:rPr>
              <w:t>(y compris le transfert d’un élément d’une liste à l’autre, l’élargissement ou la réduction d’un élément déjà inscrit)</w:t>
            </w:r>
            <w:r w:rsidRPr="00063F10">
              <w:rPr>
                <w:rFonts w:ascii="Calibri" w:eastAsia="Calibri" w:hAnsi="Calibri" w:cs="Calibri"/>
                <w:sz w:val="20"/>
                <w:szCs w:val="20"/>
                <w:lang w:eastAsia="en-US"/>
              </w:rPr>
              <w:t xml:space="preserve"> sur la Liste du patrimoine culturel immatériel nécessitant une sauvegarde urgente ou sur la Liste représentative du patrimoine culturel immatériel de l’humanité, ou de renvoi de la candidature à l’(aux) État(s) soumissionnaire(s) pour complément d’information ;</w:t>
            </w:r>
          </w:p>
          <w:p w14:paraId="37207D7A" w14:textId="77777777" w:rsidR="00063F10" w:rsidRPr="00063F10" w:rsidRDefault="00063F10" w:rsidP="00063F10">
            <w:pPr>
              <w:widowControl w:val="0"/>
              <w:numPr>
                <w:ilvl w:val="0"/>
                <w:numId w:val="30"/>
              </w:numPr>
              <w:autoSpaceDE w:val="0"/>
              <w:autoSpaceDN w:val="0"/>
              <w:spacing w:after="60"/>
              <w:ind w:left="284" w:hanging="284"/>
              <w:rPr>
                <w:rFonts w:ascii="Calibri" w:eastAsia="Calibri" w:hAnsi="Calibri" w:cs="Calibri"/>
                <w:color w:val="231F20"/>
                <w:sz w:val="20"/>
                <w:szCs w:val="20"/>
                <w:lang w:eastAsia="en-US"/>
              </w:rPr>
            </w:pPr>
            <w:proofErr w:type="gramStart"/>
            <w:r w:rsidRPr="00063F10">
              <w:rPr>
                <w:rFonts w:ascii="Calibri" w:eastAsia="Calibri" w:hAnsi="Calibri" w:cs="Calibri"/>
                <w:sz w:val="20"/>
                <w:szCs w:val="20"/>
                <w:lang w:eastAsia="en-US"/>
              </w:rPr>
              <w:t>de</w:t>
            </w:r>
            <w:proofErr w:type="gramEnd"/>
            <w:r w:rsidRPr="00063F10">
              <w:rPr>
                <w:rFonts w:ascii="Calibri" w:eastAsia="Calibri" w:hAnsi="Calibri" w:cs="Calibri"/>
                <w:sz w:val="20"/>
                <w:szCs w:val="20"/>
                <w:lang w:eastAsia="en-US"/>
              </w:rPr>
              <w:t xml:space="preserve"> sélection ou de non-sélection de la proposition de programme, projet ou activité, ou de renvoi de la proposition à l’(aux) État(s) soumissionnaire(s) pour complément d’information </w:t>
            </w:r>
            <w:r w:rsidRPr="00063F10">
              <w:rPr>
                <w:rFonts w:ascii="Calibri" w:eastAsia="Calibri" w:hAnsi="Calibri" w:cs="Calibri"/>
                <w:color w:val="231F20"/>
                <w:sz w:val="20"/>
                <w:szCs w:val="20"/>
                <w:lang w:eastAsia="en-US"/>
              </w:rPr>
              <w:t xml:space="preserve">; </w:t>
            </w:r>
          </w:p>
          <w:p w14:paraId="747A8A1C" w14:textId="77777777" w:rsidR="00063F10" w:rsidRPr="00063F10" w:rsidRDefault="00063F10" w:rsidP="00063F10">
            <w:pPr>
              <w:widowControl w:val="0"/>
              <w:numPr>
                <w:ilvl w:val="0"/>
                <w:numId w:val="30"/>
              </w:numPr>
              <w:autoSpaceDE w:val="0"/>
              <w:autoSpaceDN w:val="0"/>
              <w:spacing w:after="60"/>
              <w:ind w:left="284" w:hanging="284"/>
              <w:rPr>
                <w:rFonts w:ascii="Calibri" w:eastAsia="Calibri" w:hAnsi="Calibri" w:cs="Calibri"/>
                <w:color w:val="231F20"/>
                <w:sz w:val="20"/>
                <w:szCs w:val="20"/>
                <w:lang w:eastAsia="en-US"/>
              </w:rPr>
            </w:pPr>
            <w:proofErr w:type="gramStart"/>
            <w:r w:rsidRPr="00063F10">
              <w:rPr>
                <w:rFonts w:ascii="Calibri" w:eastAsia="Calibri" w:hAnsi="Calibri" w:cs="Calibri"/>
                <w:sz w:val="20"/>
                <w:szCs w:val="20"/>
                <w:lang w:eastAsia="en-US"/>
              </w:rPr>
              <w:t>d’approbation</w:t>
            </w:r>
            <w:proofErr w:type="gramEnd"/>
            <w:r w:rsidRPr="00063F10">
              <w:rPr>
                <w:rFonts w:ascii="Calibri" w:eastAsia="Calibri" w:hAnsi="Calibri" w:cs="Calibri"/>
                <w:sz w:val="20"/>
                <w:szCs w:val="20"/>
                <w:lang w:eastAsia="en-US"/>
              </w:rPr>
              <w:t xml:space="preserve"> ou non-approbation de la demande d’assistance, ou de renvoi de la demande à l’(aux) État(s) soumissionnaire(s) pour complément d’information </w:t>
            </w:r>
            <w:r w:rsidRPr="00063F10">
              <w:rPr>
                <w:rFonts w:ascii="Calibri" w:eastAsia="Calibri" w:hAnsi="Calibri" w:cs="Calibri"/>
                <w:color w:val="231F20"/>
                <w:sz w:val="20"/>
                <w:szCs w:val="20"/>
                <w:lang w:eastAsia="en-US"/>
              </w:rPr>
              <w:t xml:space="preserve">; </w:t>
            </w:r>
            <w:r w:rsidRPr="00063F10">
              <w:rPr>
                <w:rFonts w:ascii="Calibri" w:eastAsia="Calibri" w:hAnsi="Calibri" w:cs="Calibri"/>
                <w:color w:val="231F20"/>
                <w:sz w:val="20"/>
                <w:szCs w:val="20"/>
                <w:u w:val="single"/>
                <w:lang w:eastAsia="en-US"/>
              </w:rPr>
              <w:t>ou</w:t>
            </w:r>
          </w:p>
          <w:p w14:paraId="1C113761" w14:textId="77777777" w:rsidR="00063F10" w:rsidRPr="00063F10" w:rsidRDefault="00063F10" w:rsidP="00063F10">
            <w:pPr>
              <w:widowControl w:val="0"/>
              <w:numPr>
                <w:ilvl w:val="0"/>
                <w:numId w:val="30"/>
              </w:numPr>
              <w:autoSpaceDE w:val="0"/>
              <w:autoSpaceDN w:val="0"/>
              <w:spacing w:after="60"/>
              <w:ind w:left="284" w:hanging="284"/>
              <w:rPr>
                <w:rFonts w:ascii="Calibri" w:eastAsia="Calibri" w:hAnsi="Calibri" w:cs="Calibri"/>
                <w:color w:val="231F20"/>
                <w:sz w:val="20"/>
                <w:szCs w:val="20"/>
                <w:u w:val="single"/>
                <w:lang w:eastAsia="en-US"/>
              </w:rPr>
            </w:pPr>
            <w:proofErr w:type="gramStart"/>
            <w:r w:rsidRPr="00063F10">
              <w:rPr>
                <w:rFonts w:ascii="Calibri" w:eastAsia="Calibri" w:hAnsi="Calibri" w:cs="Calibri"/>
                <w:sz w:val="20"/>
                <w:szCs w:val="20"/>
                <w:u w:val="single"/>
                <w:lang w:eastAsia="en-US"/>
              </w:rPr>
              <w:t>de</w:t>
            </w:r>
            <w:proofErr w:type="gramEnd"/>
            <w:r w:rsidRPr="00063F10">
              <w:rPr>
                <w:rFonts w:ascii="Calibri" w:eastAsia="Calibri" w:hAnsi="Calibri" w:cs="Calibri"/>
                <w:sz w:val="20"/>
                <w:szCs w:val="20"/>
                <w:u w:val="single"/>
                <w:lang w:eastAsia="en-US"/>
              </w:rPr>
              <w:t xml:space="preserve"> maintien ou de retrait de l’élément inscrit de</w:t>
            </w:r>
            <w:r w:rsidRPr="00063F10">
              <w:rPr>
                <w:rFonts w:ascii="Calibri" w:eastAsia="Calibri" w:hAnsi="Calibri" w:cs="Calibri"/>
                <w:sz w:val="22"/>
                <w:szCs w:val="22"/>
                <w:u w:val="single"/>
                <w:lang w:eastAsia="en-US"/>
              </w:rPr>
              <w:t xml:space="preserve"> </w:t>
            </w:r>
            <w:r w:rsidRPr="00063F10">
              <w:rPr>
                <w:rFonts w:ascii="Calibri" w:eastAsia="Calibri" w:hAnsi="Calibri" w:cs="Calibri"/>
                <w:sz w:val="20"/>
                <w:szCs w:val="20"/>
                <w:u w:val="single"/>
                <w:lang w:eastAsia="en-US"/>
              </w:rPr>
              <w:t xml:space="preserve">la Liste du patrimoine culturel immatériel nécessitant une sauvegarde urgente ou de la Liste représentative du patrimoine culturel immatériel de l’humanité, dans </w:t>
            </w:r>
            <w:r w:rsidRPr="00063F10">
              <w:rPr>
                <w:rFonts w:ascii="Calibri" w:eastAsia="Calibri" w:hAnsi="Calibri" w:cs="Calibri"/>
                <w:sz w:val="20"/>
                <w:szCs w:val="20"/>
                <w:u w:val="single"/>
                <w:lang w:eastAsia="en-US"/>
              </w:rPr>
              <w:lastRenderedPageBreak/>
              <w:t>les cas de ‘suivi approfondi’.</w:t>
            </w:r>
          </w:p>
        </w:tc>
      </w:tr>
      <w:tr w:rsidR="00063F10" w:rsidRPr="00063F10" w14:paraId="4393C9D9" w14:textId="77777777" w:rsidTr="00063F10">
        <w:tc>
          <w:tcPr>
            <w:tcW w:w="741" w:type="dxa"/>
            <w:shd w:val="clear" w:color="auto" w:fill="F2F2F2"/>
          </w:tcPr>
          <w:p w14:paraId="49E89890" w14:textId="77777777" w:rsidR="00063F10" w:rsidRPr="00063F10" w:rsidRDefault="00063F10" w:rsidP="00063F10">
            <w:pPr>
              <w:keepNext/>
              <w:keepLines/>
              <w:spacing w:before="120" w:after="120"/>
              <w:rPr>
                <w:rFonts w:ascii="Calibri" w:eastAsia="Yu Mincho" w:hAnsi="Calibri"/>
                <w:b/>
                <w:bCs/>
                <w:color w:val="1F4E79"/>
                <w:sz w:val="22"/>
                <w:szCs w:val="22"/>
              </w:rPr>
            </w:pPr>
            <w:r w:rsidRPr="00063F10">
              <w:rPr>
                <w:rFonts w:ascii="Calibri" w:eastAsia="Yu Mincho" w:hAnsi="Calibri"/>
                <w:b/>
                <w:bCs/>
                <w:color w:val="1F4E79"/>
                <w:sz w:val="22"/>
                <w:szCs w:val="22"/>
              </w:rPr>
              <w:lastRenderedPageBreak/>
              <w:t>I.11</w:t>
            </w:r>
          </w:p>
        </w:tc>
        <w:tc>
          <w:tcPr>
            <w:tcW w:w="6406" w:type="dxa"/>
            <w:gridSpan w:val="2"/>
            <w:shd w:val="clear" w:color="auto" w:fill="F2F2F2"/>
          </w:tcPr>
          <w:p w14:paraId="7B31A300" w14:textId="77777777" w:rsidR="00063F10" w:rsidRPr="00063F10" w:rsidRDefault="00063F10" w:rsidP="00063F10">
            <w:pPr>
              <w:keepNext/>
              <w:keepLines/>
              <w:spacing w:before="120" w:after="120"/>
              <w:rPr>
                <w:rFonts w:ascii="Calibri" w:eastAsia="Yu Mincho" w:hAnsi="Calibri"/>
                <w:b/>
                <w:bCs/>
                <w:color w:val="1F4E79"/>
                <w:sz w:val="22"/>
                <w:szCs w:val="22"/>
              </w:rPr>
            </w:pPr>
            <w:r w:rsidRPr="00063F10">
              <w:rPr>
                <w:rFonts w:ascii="Calibri" w:eastAsia="Yu Mincho" w:hAnsi="Calibri"/>
                <w:b/>
                <w:bCs/>
                <w:color w:val="1F4E79"/>
                <w:sz w:val="22"/>
                <w:szCs w:val="22"/>
              </w:rPr>
              <w:t>Transfert d’un élément d’une liste à l’autre ou retrait d’un élément d’une liste</w:t>
            </w:r>
          </w:p>
        </w:tc>
        <w:tc>
          <w:tcPr>
            <w:tcW w:w="779" w:type="dxa"/>
            <w:shd w:val="clear" w:color="auto" w:fill="F2F2F2"/>
          </w:tcPr>
          <w:p w14:paraId="3A473D46" w14:textId="77777777" w:rsidR="00063F10" w:rsidRPr="00063F10" w:rsidRDefault="00063F10" w:rsidP="00063F10">
            <w:pPr>
              <w:keepNext/>
              <w:keepLines/>
              <w:spacing w:before="120" w:after="120"/>
              <w:rPr>
                <w:rFonts w:ascii="Calibri" w:eastAsia="Yu Mincho" w:hAnsi="Calibri"/>
                <w:b/>
                <w:bCs/>
                <w:color w:val="1F4E79"/>
                <w:sz w:val="22"/>
                <w:szCs w:val="22"/>
              </w:rPr>
            </w:pPr>
            <w:r w:rsidRPr="00063F10">
              <w:rPr>
                <w:rFonts w:ascii="Calibri" w:eastAsia="Yu Mincho" w:hAnsi="Calibri"/>
                <w:b/>
                <w:bCs/>
                <w:color w:val="1F4E79"/>
                <w:sz w:val="22"/>
                <w:szCs w:val="22"/>
              </w:rPr>
              <w:t>I.11</w:t>
            </w:r>
          </w:p>
        </w:tc>
        <w:tc>
          <w:tcPr>
            <w:tcW w:w="6353" w:type="dxa"/>
            <w:gridSpan w:val="2"/>
            <w:shd w:val="clear" w:color="auto" w:fill="F2F2F2"/>
          </w:tcPr>
          <w:p w14:paraId="5A066D16" w14:textId="77777777" w:rsidR="00063F10" w:rsidRPr="00063F10" w:rsidRDefault="00063F10" w:rsidP="00063F10">
            <w:pPr>
              <w:keepNext/>
              <w:keepLines/>
              <w:spacing w:before="120" w:after="120"/>
              <w:rPr>
                <w:rFonts w:ascii="Calibri" w:eastAsia="Yu Mincho" w:hAnsi="Calibri"/>
                <w:b/>
                <w:bCs/>
                <w:color w:val="1F4E79"/>
                <w:sz w:val="22"/>
                <w:szCs w:val="22"/>
              </w:rPr>
            </w:pPr>
            <w:r w:rsidRPr="00063F10">
              <w:rPr>
                <w:rFonts w:ascii="Calibri" w:eastAsia="Yu Mincho" w:hAnsi="Calibri"/>
                <w:sz w:val="22"/>
                <w:szCs w:val="22"/>
              </w:rPr>
              <w:t>[Sans changement.]</w:t>
            </w:r>
          </w:p>
        </w:tc>
      </w:tr>
      <w:tr w:rsidR="00063F10" w:rsidRPr="00063F10" w14:paraId="49C67771" w14:textId="77777777" w:rsidTr="00063F10">
        <w:tc>
          <w:tcPr>
            <w:tcW w:w="741" w:type="dxa"/>
          </w:tcPr>
          <w:p w14:paraId="17B3500B"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rPr>
              <w:t>38.</w:t>
            </w:r>
          </w:p>
        </w:tc>
        <w:tc>
          <w:tcPr>
            <w:tcW w:w="6406" w:type="dxa"/>
            <w:gridSpan w:val="2"/>
          </w:tcPr>
          <w:p w14:paraId="5512710A" w14:textId="77777777" w:rsidR="00063F10" w:rsidRPr="00063F10" w:rsidRDefault="00063F10" w:rsidP="00063F10">
            <w:pPr>
              <w:keepLines/>
              <w:spacing w:before="60" w:after="60"/>
              <w:rPr>
                <w:rFonts w:ascii="Calibri" w:eastAsia="Yu Mincho" w:hAnsi="Calibri"/>
                <w:color w:val="231F20"/>
                <w:sz w:val="20"/>
                <w:szCs w:val="22"/>
              </w:rPr>
            </w:pPr>
            <w:r w:rsidRPr="00063F10">
              <w:rPr>
                <w:rFonts w:ascii="Calibri" w:eastAsia="Yu Mincho" w:hAnsi="Calibri"/>
                <w:sz w:val="20"/>
                <w:szCs w:val="20"/>
              </w:rPr>
              <w:t>Un élément ne peut pas être inscrit simultanément sur la Liste du patrimoine culturel immatériel nécessitant une sauvegarde urgente et sur la Liste représentative du patrimoine culturel immatériel de l’humanité. Un État partie peut demander qu’un élément soit transféré d’une liste à l’autre. Une telle demande doit prouver que l’élément satisfait à tous les critères de la liste dans laquelle le transfert est demandé, et est soumise selon les procédures et les délais établis pour les candidatures.</w:t>
            </w:r>
          </w:p>
        </w:tc>
        <w:tc>
          <w:tcPr>
            <w:tcW w:w="779" w:type="dxa"/>
          </w:tcPr>
          <w:p w14:paraId="3F876B91"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rPr>
              <w:t>38</w:t>
            </w:r>
            <w:r w:rsidRPr="00063F10">
              <w:rPr>
                <w:rFonts w:ascii="Calibri" w:eastAsia="Yu Mincho" w:hAnsi="Calibri"/>
                <w:sz w:val="20"/>
                <w:szCs w:val="20"/>
                <w:u w:val="single"/>
              </w:rPr>
              <w:t>.1</w:t>
            </w:r>
          </w:p>
        </w:tc>
        <w:tc>
          <w:tcPr>
            <w:tcW w:w="6353" w:type="dxa"/>
            <w:gridSpan w:val="2"/>
          </w:tcPr>
          <w:p w14:paraId="493678D6" w14:textId="77777777" w:rsidR="00063F10" w:rsidRPr="00063F10" w:rsidRDefault="00063F10" w:rsidP="00063F10">
            <w:pPr>
              <w:keepLines/>
              <w:spacing w:before="60" w:after="60"/>
              <w:rPr>
                <w:rFonts w:ascii="Calibri" w:eastAsia="Yu Mincho" w:hAnsi="Calibri"/>
                <w:color w:val="231F20"/>
                <w:sz w:val="20"/>
                <w:szCs w:val="22"/>
              </w:rPr>
            </w:pPr>
            <w:r w:rsidRPr="00063F10">
              <w:rPr>
                <w:rFonts w:ascii="Calibri" w:eastAsia="Yu Mincho" w:hAnsi="Calibri"/>
                <w:sz w:val="20"/>
                <w:szCs w:val="20"/>
              </w:rPr>
              <w:t>Un élément ne peut pas être inscrit simultanément sur la Liste du patrimoine culturel immatériel nécessitant une sauvegarde urgente et sur la Liste représentative du patrimoine culturel immatériel de l’humanité. Un État partie peut demander qu’un élément soit transféré d’une liste à l’autre</w:t>
            </w:r>
            <w:r w:rsidRPr="00063F10">
              <w:rPr>
                <w:rFonts w:ascii="Calibri" w:eastAsia="Yu Mincho" w:hAnsi="Calibri"/>
                <w:color w:val="231F20"/>
                <w:sz w:val="20"/>
                <w:szCs w:val="22"/>
              </w:rPr>
              <w:t xml:space="preserve">. </w:t>
            </w:r>
            <w:r w:rsidRPr="00063F10">
              <w:rPr>
                <w:rFonts w:ascii="Calibri" w:eastAsia="Yu Mincho" w:hAnsi="Calibri"/>
                <w:strike/>
                <w:sz w:val="20"/>
                <w:szCs w:val="20"/>
              </w:rPr>
              <w:t>Une telle</w:t>
            </w:r>
            <w:r w:rsidRPr="00063F10">
              <w:rPr>
                <w:rFonts w:ascii="Calibri" w:eastAsia="Yu Mincho" w:hAnsi="Calibri"/>
                <w:sz w:val="20"/>
                <w:szCs w:val="20"/>
              </w:rPr>
              <w:t xml:space="preserve"> </w:t>
            </w:r>
            <w:r w:rsidRPr="00063F10">
              <w:rPr>
                <w:rFonts w:ascii="Calibri" w:eastAsia="Yu Mincho" w:hAnsi="Calibri"/>
                <w:sz w:val="20"/>
                <w:szCs w:val="20"/>
                <w:u w:val="single"/>
              </w:rPr>
              <w:t>La</w:t>
            </w:r>
            <w:r w:rsidRPr="00063F10">
              <w:rPr>
                <w:rFonts w:ascii="Calibri" w:eastAsia="Yu Mincho" w:hAnsi="Calibri"/>
                <w:sz w:val="20"/>
                <w:szCs w:val="20"/>
              </w:rPr>
              <w:t xml:space="preserve"> demande </w:t>
            </w:r>
            <w:r w:rsidRPr="00063F10">
              <w:rPr>
                <w:rFonts w:ascii="Calibri" w:eastAsia="Yu Mincho" w:hAnsi="Calibri"/>
                <w:strike/>
                <w:sz w:val="20"/>
                <w:szCs w:val="20"/>
              </w:rPr>
              <w:t>doit prouver que l’élément satisfait à tous les critères de la liste dans laquelle le transfert est demandé</w:t>
            </w:r>
            <w:r w:rsidRPr="00063F10">
              <w:rPr>
                <w:rFonts w:ascii="Calibri" w:eastAsia="Yu Mincho" w:hAnsi="Calibri"/>
                <w:sz w:val="20"/>
                <w:szCs w:val="20"/>
              </w:rPr>
              <w:t xml:space="preserve"> </w:t>
            </w:r>
            <w:r w:rsidRPr="00063F10">
              <w:rPr>
                <w:rFonts w:ascii="Calibri" w:eastAsia="Yu Mincho" w:hAnsi="Calibri"/>
                <w:sz w:val="20"/>
                <w:szCs w:val="20"/>
                <w:u w:val="single"/>
              </w:rPr>
              <w:t>est formulée par l’(les) État(s) partie(s)</w:t>
            </w:r>
            <w:r w:rsidRPr="00063F10">
              <w:rPr>
                <w:rFonts w:ascii="Calibri" w:eastAsia="Yu Mincho" w:hAnsi="Calibri"/>
                <w:sz w:val="20"/>
                <w:szCs w:val="20"/>
              </w:rPr>
              <w:t xml:space="preserve">, </w:t>
            </w:r>
            <w:r w:rsidRPr="00063F10">
              <w:rPr>
                <w:rFonts w:ascii="Calibri" w:eastAsia="Yu Mincho" w:hAnsi="Calibri"/>
                <w:sz w:val="20"/>
                <w:szCs w:val="20"/>
                <w:u w:val="single"/>
              </w:rPr>
              <w:t>avec le consentement libre, préalable et éclairé des communautés, groupes et, le cas échéant, individus concernés</w:t>
            </w:r>
            <w:r w:rsidRPr="00063F10">
              <w:rPr>
                <w:rFonts w:ascii="Calibri" w:eastAsia="Yu Mincho" w:hAnsi="Calibri"/>
                <w:color w:val="231F20"/>
                <w:spacing w:val="-13"/>
                <w:sz w:val="20"/>
                <w:szCs w:val="22"/>
                <w:u w:val="single"/>
                <w:vertAlign w:val="superscript"/>
              </w:rPr>
              <w:footnoteReference w:id="16"/>
            </w:r>
            <w:r w:rsidRPr="00063F10">
              <w:rPr>
                <w:rFonts w:ascii="Calibri" w:eastAsia="Yu Mincho" w:hAnsi="Calibri"/>
                <w:sz w:val="20"/>
                <w:szCs w:val="20"/>
              </w:rPr>
              <w:t>, et est soumise selon les procédures et les délais établis</w:t>
            </w:r>
            <w:r w:rsidRPr="00063F10">
              <w:rPr>
                <w:rFonts w:ascii="Calibri" w:eastAsia="Yu Mincho" w:hAnsi="Calibri"/>
                <w:strike/>
                <w:sz w:val="20"/>
                <w:szCs w:val="20"/>
              </w:rPr>
              <w:t xml:space="preserve"> pour les candidatures</w:t>
            </w:r>
            <w:r w:rsidRPr="00063F10">
              <w:rPr>
                <w:rFonts w:ascii="Calibri" w:eastAsia="Yu Mincho" w:hAnsi="Calibri"/>
                <w:sz w:val="20"/>
                <w:szCs w:val="20"/>
              </w:rPr>
              <w:t>.</w:t>
            </w:r>
          </w:p>
        </w:tc>
      </w:tr>
      <w:tr w:rsidR="00063F10" w:rsidRPr="00063F10" w14:paraId="6654DB1A" w14:textId="77777777" w:rsidTr="00063F10">
        <w:tc>
          <w:tcPr>
            <w:tcW w:w="741" w:type="dxa"/>
          </w:tcPr>
          <w:p w14:paraId="5DE111C0" w14:textId="77777777" w:rsidR="00063F10" w:rsidRPr="00063F10" w:rsidRDefault="00063F10" w:rsidP="00063F10">
            <w:pPr>
              <w:rPr>
                <w:rFonts w:ascii="Calibri" w:eastAsia="Yu Mincho" w:hAnsi="Calibri"/>
                <w:sz w:val="22"/>
                <w:szCs w:val="22"/>
              </w:rPr>
            </w:pPr>
          </w:p>
        </w:tc>
        <w:tc>
          <w:tcPr>
            <w:tcW w:w="6406" w:type="dxa"/>
            <w:gridSpan w:val="2"/>
          </w:tcPr>
          <w:p w14:paraId="1E72DB94" w14:textId="77777777" w:rsidR="00063F10" w:rsidRPr="00063F10" w:rsidRDefault="00063F10" w:rsidP="00063F10">
            <w:pPr>
              <w:widowControl w:val="0"/>
              <w:tabs>
                <w:tab w:val="left" w:pos="1834"/>
                <w:tab w:val="left" w:pos="1835"/>
                <w:tab w:val="left" w:pos="2127"/>
              </w:tabs>
              <w:autoSpaceDE w:val="0"/>
              <w:autoSpaceDN w:val="0"/>
              <w:ind w:right="1424"/>
              <w:rPr>
                <w:rFonts w:ascii="Calibri" w:eastAsia="Calibri" w:hAnsi="Calibri" w:cs="Calibri"/>
                <w:color w:val="231F20"/>
                <w:sz w:val="20"/>
                <w:szCs w:val="22"/>
                <w:lang w:eastAsia="en-US"/>
              </w:rPr>
            </w:pPr>
          </w:p>
        </w:tc>
        <w:tc>
          <w:tcPr>
            <w:tcW w:w="779" w:type="dxa"/>
          </w:tcPr>
          <w:p w14:paraId="375E74AA" w14:textId="77777777" w:rsidR="00063F10" w:rsidRPr="00063F10" w:rsidRDefault="00063F10" w:rsidP="00063F10">
            <w:pPr>
              <w:keepLines/>
              <w:spacing w:before="60" w:after="60"/>
              <w:rPr>
                <w:rFonts w:ascii="Calibri" w:eastAsia="Yu Mincho" w:hAnsi="Calibri"/>
                <w:sz w:val="22"/>
                <w:szCs w:val="22"/>
                <w:u w:val="single"/>
              </w:rPr>
            </w:pPr>
            <w:r w:rsidRPr="00063F10">
              <w:rPr>
                <w:rFonts w:ascii="Calibri" w:eastAsia="Yu Mincho" w:hAnsi="Calibri"/>
                <w:sz w:val="20"/>
                <w:szCs w:val="20"/>
                <w:u w:val="single"/>
              </w:rPr>
              <w:t>38.2</w:t>
            </w:r>
          </w:p>
        </w:tc>
        <w:tc>
          <w:tcPr>
            <w:tcW w:w="6353" w:type="dxa"/>
            <w:gridSpan w:val="2"/>
          </w:tcPr>
          <w:p w14:paraId="3DAE6491" w14:textId="77777777" w:rsidR="00063F10" w:rsidRPr="00063F10" w:rsidRDefault="00063F10" w:rsidP="00063F10">
            <w:pPr>
              <w:keepLines/>
              <w:spacing w:before="60" w:after="60"/>
              <w:rPr>
                <w:rFonts w:ascii="Calibri" w:eastAsia="Yu Mincho" w:hAnsi="Calibri"/>
                <w:color w:val="231F20"/>
                <w:sz w:val="20"/>
                <w:szCs w:val="22"/>
                <w:u w:val="single"/>
              </w:rPr>
            </w:pPr>
            <w:r w:rsidRPr="00063F10">
              <w:rPr>
                <w:rFonts w:ascii="Calibri" w:eastAsia="Yu Mincho" w:hAnsi="Calibri"/>
                <w:sz w:val="20"/>
                <w:szCs w:val="20"/>
                <w:u w:val="single"/>
              </w:rPr>
              <w:t>Les communautés, groupes et, le cas échéant, individus concernés peuvent exprimer directement au Secrétariat leur souhait qu’un élément soit transféré d’une liste à l’autre. Une telle demande est transmise à l’État/aux États partie(s) concerné(s), et le Comité en est informé en conséquence.</w:t>
            </w:r>
            <w:r w:rsidRPr="00063F10">
              <w:rPr>
                <w:rFonts w:ascii="Calibri" w:eastAsia="Yu Mincho" w:hAnsi="Calibri"/>
                <w:color w:val="231F20"/>
                <w:sz w:val="20"/>
                <w:szCs w:val="22"/>
                <w:vertAlign w:val="superscript"/>
              </w:rPr>
              <w:footnoteReference w:id="17"/>
            </w:r>
          </w:p>
        </w:tc>
      </w:tr>
      <w:tr w:rsidR="00063F10" w:rsidRPr="00063F10" w14:paraId="368FB1A1" w14:textId="77777777" w:rsidTr="00063F10">
        <w:tc>
          <w:tcPr>
            <w:tcW w:w="741" w:type="dxa"/>
          </w:tcPr>
          <w:p w14:paraId="606658C6"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rPr>
              <w:t>39.</w:t>
            </w:r>
          </w:p>
        </w:tc>
        <w:tc>
          <w:tcPr>
            <w:tcW w:w="6406" w:type="dxa"/>
            <w:gridSpan w:val="2"/>
          </w:tcPr>
          <w:p w14:paraId="51688616" w14:textId="77777777" w:rsidR="00063F10" w:rsidRPr="00063F10" w:rsidRDefault="00063F10" w:rsidP="00063F10">
            <w:pPr>
              <w:keepLines/>
              <w:spacing w:before="60" w:after="60"/>
              <w:rPr>
                <w:rFonts w:ascii="Calibri" w:eastAsia="Yu Mincho" w:hAnsi="Calibri"/>
                <w:color w:val="231F20"/>
                <w:sz w:val="20"/>
                <w:szCs w:val="22"/>
              </w:rPr>
            </w:pPr>
            <w:r w:rsidRPr="00063F10">
              <w:rPr>
                <w:rFonts w:ascii="Calibri" w:eastAsia="Yu Mincho" w:hAnsi="Calibri"/>
                <w:sz w:val="20"/>
                <w:szCs w:val="20"/>
              </w:rPr>
              <w:t>Un élément est retiré de la Liste du patrimoine culturel immatériel nécessitant une sauvegarde urgente par le Comité lorsqu’il estime, après analyse de la mise en œuvre du plan de sauvegarde, que cet élément ne remplit plus un ou plusieurs des critères d’inscription sur cette liste.</w:t>
            </w:r>
          </w:p>
        </w:tc>
        <w:tc>
          <w:tcPr>
            <w:tcW w:w="779" w:type="dxa"/>
          </w:tcPr>
          <w:p w14:paraId="31ECD1E2"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rPr>
              <w:t>39</w:t>
            </w:r>
            <w:r w:rsidRPr="00063F10">
              <w:rPr>
                <w:rFonts w:ascii="Calibri" w:eastAsia="Yu Mincho" w:hAnsi="Calibri"/>
                <w:sz w:val="20"/>
                <w:szCs w:val="20"/>
                <w:u w:val="single"/>
              </w:rPr>
              <w:t>.1</w:t>
            </w:r>
          </w:p>
        </w:tc>
        <w:tc>
          <w:tcPr>
            <w:tcW w:w="6353" w:type="dxa"/>
            <w:gridSpan w:val="2"/>
          </w:tcPr>
          <w:p w14:paraId="653CA769" w14:textId="77777777" w:rsidR="00063F10" w:rsidRPr="00063F10" w:rsidRDefault="00063F10" w:rsidP="00063F10">
            <w:pPr>
              <w:keepLines/>
              <w:spacing w:before="60" w:after="60"/>
              <w:rPr>
                <w:rFonts w:ascii="Calibri" w:eastAsia="Yu Mincho" w:hAnsi="Calibri"/>
                <w:sz w:val="20"/>
                <w:szCs w:val="20"/>
                <w:u w:val="single"/>
              </w:rPr>
            </w:pPr>
            <w:r w:rsidRPr="00063F10">
              <w:rPr>
                <w:rFonts w:ascii="Calibri" w:eastAsia="Yu Mincho" w:hAnsi="Calibri"/>
                <w:strike/>
                <w:sz w:val="20"/>
                <w:szCs w:val="20"/>
              </w:rPr>
              <w:t>Un élément est retiré de la Liste du patrimoine culturel immatériel nécessitant une sauvegarde urgente par le Comité lorsqu’il estime, après analyse de la mise en œuvre du plan de sauvegarde, que cet élément ne remplit plus un ou plusieurs des critères d’inscription sur cette liste</w:t>
            </w:r>
            <w:r w:rsidRPr="00063F10">
              <w:rPr>
                <w:rFonts w:ascii="Calibri" w:eastAsia="Yu Mincho" w:hAnsi="Calibri"/>
                <w:strike/>
                <w:sz w:val="20"/>
                <w:szCs w:val="20"/>
                <w:u w:val="single"/>
              </w:rPr>
              <w:t>.</w:t>
            </w:r>
            <w:r w:rsidRPr="00063F10">
              <w:rPr>
                <w:rFonts w:ascii="Calibri" w:eastAsia="Yu Mincho" w:hAnsi="Calibri"/>
                <w:color w:val="231F20"/>
                <w:sz w:val="20"/>
                <w:szCs w:val="22"/>
                <w:u w:val="single"/>
                <w:vertAlign w:val="superscript"/>
              </w:rPr>
              <w:footnoteReference w:id="18"/>
            </w:r>
            <w:r w:rsidRPr="00063F10">
              <w:rPr>
                <w:rFonts w:ascii="Calibri" w:eastAsia="Yu Mincho" w:hAnsi="Calibri"/>
                <w:sz w:val="20"/>
                <w:szCs w:val="20"/>
                <w:u w:val="single"/>
              </w:rPr>
              <w:t xml:space="preserve">  Un élément est transféré de la Liste représentative du patrimoine culturel immatériel de l’humanité à la Liste du patrimoine culturel immatériel nécessitant une sauvegarde urgente par le Comité lorsqu’il estime, après analyse de la demande de transfert et compte tenu des critères déjà satisfaits dans la candidature d’origine, que l’élément remplit tous les critères requis pour inscription sur cette liste. La demande pour un tel transfert, présentée dans le formulaire ICH-01 RL à USL, doit inclure :</w:t>
            </w:r>
          </w:p>
          <w:p w14:paraId="62EF5EF4" w14:textId="77777777" w:rsidR="00063F10" w:rsidRPr="00063F10" w:rsidRDefault="00063F10" w:rsidP="00063F10">
            <w:pPr>
              <w:widowControl w:val="0"/>
              <w:numPr>
                <w:ilvl w:val="0"/>
                <w:numId w:val="32"/>
              </w:numPr>
              <w:tabs>
                <w:tab w:val="left" w:pos="325"/>
              </w:tabs>
              <w:autoSpaceDE w:val="0"/>
              <w:autoSpaceDN w:val="0"/>
              <w:ind w:left="325"/>
              <w:rPr>
                <w:rFonts w:ascii="Calibri" w:eastAsia="Yu Mincho" w:hAnsi="Calibri"/>
                <w:sz w:val="20"/>
                <w:szCs w:val="20"/>
                <w:u w:val="single"/>
              </w:rPr>
            </w:pPr>
            <w:proofErr w:type="gramStart"/>
            <w:r w:rsidRPr="00063F10">
              <w:rPr>
                <w:rFonts w:ascii="Calibri" w:eastAsia="Yu Mincho" w:hAnsi="Calibri"/>
                <w:sz w:val="20"/>
                <w:szCs w:val="20"/>
                <w:u w:val="single"/>
              </w:rPr>
              <w:t>en</w:t>
            </w:r>
            <w:proofErr w:type="gramEnd"/>
            <w:r w:rsidRPr="00063F10">
              <w:rPr>
                <w:rFonts w:ascii="Calibri" w:eastAsia="Yu Mincho" w:hAnsi="Calibri"/>
                <w:sz w:val="20"/>
                <w:szCs w:val="20"/>
                <w:u w:val="single"/>
              </w:rPr>
              <w:t xml:space="preserve"> relation avec le critère U.1 - une description actualisée de l’élément, y compris la justification du besoin de sauvegarde urgente ;</w:t>
            </w:r>
          </w:p>
          <w:p w14:paraId="141AA17E" w14:textId="77777777" w:rsidR="00063F10" w:rsidRPr="00063F10" w:rsidRDefault="00063F10" w:rsidP="00063F10">
            <w:pPr>
              <w:widowControl w:val="0"/>
              <w:numPr>
                <w:ilvl w:val="0"/>
                <w:numId w:val="32"/>
              </w:numPr>
              <w:tabs>
                <w:tab w:val="left" w:pos="325"/>
              </w:tabs>
              <w:autoSpaceDE w:val="0"/>
              <w:autoSpaceDN w:val="0"/>
              <w:ind w:left="325"/>
              <w:rPr>
                <w:rFonts w:ascii="Calibri" w:eastAsia="Yu Mincho" w:hAnsi="Calibri"/>
                <w:sz w:val="20"/>
                <w:szCs w:val="20"/>
                <w:u w:val="single"/>
              </w:rPr>
            </w:pPr>
            <w:proofErr w:type="gramStart"/>
            <w:r w:rsidRPr="00063F10">
              <w:rPr>
                <w:rFonts w:ascii="Calibri" w:eastAsia="Yu Mincho" w:hAnsi="Calibri"/>
                <w:sz w:val="20"/>
                <w:szCs w:val="20"/>
                <w:u w:val="single"/>
              </w:rPr>
              <w:t>en</w:t>
            </w:r>
            <w:proofErr w:type="gramEnd"/>
            <w:r w:rsidRPr="00063F10">
              <w:rPr>
                <w:rFonts w:ascii="Calibri" w:eastAsia="Yu Mincho" w:hAnsi="Calibri"/>
                <w:sz w:val="20"/>
                <w:szCs w:val="20"/>
                <w:u w:val="single"/>
              </w:rPr>
              <w:t xml:space="preserve"> relation avec le critère U.3 - un plan de sauvegarde adéquat ;</w:t>
            </w:r>
          </w:p>
          <w:p w14:paraId="5CB212FF" w14:textId="77777777" w:rsidR="00063F10" w:rsidRPr="00063F10" w:rsidRDefault="00063F10" w:rsidP="00063F10">
            <w:pPr>
              <w:widowControl w:val="0"/>
              <w:numPr>
                <w:ilvl w:val="0"/>
                <w:numId w:val="32"/>
              </w:numPr>
              <w:tabs>
                <w:tab w:val="left" w:pos="325"/>
              </w:tabs>
              <w:autoSpaceDE w:val="0"/>
              <w:autoSpaceDN w:val="0"/>
              <w:spacing w:after="60"/>
              <w:ind w:left="323" w:hanging="357"/>
              <w:rPr>
                <w:rFonts w:ascii="Calibri" w:eastAsia="Yu Mincho" w:hAnsi="Calibri"/>
                <w:sz w:val="20"/>
                <w:szCs w:val="20"/>
              </w:rPr>
            </w:pPr>
            <w:proofErr w:type="gramStart"/>
            <w:r w:rsidRPr="00063F10">
              <w:rPr>
                <w:rFonts w:ascii="Calibri" w:eastAsia="Yu Mincho" w:hAnsi="Calibri"/>
                <w:sz w:val="20"/>
                <w:szCs w:val="20"/>
                <w:u w:val="single"/>
              </w:rPr>
              <w:t>en</w:t>
            </w:r>
            <w:proofErr w:type="gramEnd"/>
            <w:r w:rsidRPr="00063F10">
              <w:rPr>
                <w:rFonts w:ascii="Calibri" w:eastAsia="Yu Mincho" w:hAnsi="Calibri"/>
                <w:sz w:val="20"/>
                <w:szCs w:val="20"/>
                <w:u w:val="single"/>
              </w:rPr>
              <w:t xml:space="preserve"> relation avec le critère U.4 - le consentement des communautés, groupes et individus concernés qui avaient donné leur accord pour </w:t>
            </w:r>
            <w:r w:rsidRPr="00063F10">
              <w:rPr>
                <w:rFonts w:ascii="Calibri" w:eastAsia="Yu Mincho" w:hAnsi="Calibri"/>
                <w:sz w:val="20"/>
                <w:szCs w:val="20"/>
                <w:u w:val="single"/>
              </w:rPr>
              <w:lastRenderedPageBreak/>
              <w:t>l’inscription sur la Liste représentative du patrimoine culturel immatériel de l’humanité.</w:t>
            </w:r>
            <w:r w:rsidRPr="00063F10">
              <w:rPr>
                <w:rFonts w:ascii="Calibri" w:eastAsia="Yu Mincho" w:hAnsi="Calibri"/>
                <w:sz w:val="22"/>
                <w:szCs w:val="20"/>
                <w:vertAlign w:val="superscript"/>
              </w:rPr>
              <w:footnoteReference w:id="19"/>
            </w:r>
          </w:p>
        </w:tc>
      </w:tr>
      <w:tr w:rsidR="00063F10" w:rsidRPr="00063F10" w14:paraId="4F67440E" w14:textId="77777777" w:rsidTr="00063F10">
        <w:tc>
          <w:tcPr>
            <w:tcW w:w="741" w:type="dxa"/>
          </w:tcPr>
          <w:p w14:paraId="419E4408" w14:textId="77777777" w:rsidR="00063F10" w:rsidRPr="00063F10" w:rsidRDefault="00063F10" w:rsidP="00063F10">
            <w:pPr>
              <w:rPr>
                <w:rFonts w:ascii="Calibri" w:eastAsia="Yu Mincho" w:hAnsi="Calibri"/>
                <w:sz w:val="22"/>
                <w:szCs w:val="22"/>
              </w:rPr>
            </w:pPr>
          </w:p>
        </w:tc>
        <w:tc>
          <w:tcPr>
            <w:tcW w:w="6406" w:type="dxa"/>
            <w:gridSpan w:val="2"/>
          </w:tcPr>
          <w:p w14:paraId="6FA4B8E0" w14:textId="77777777" w:rsidR="00063F10" w:rsidRPr="00063F10" w:rsidRDefault="00063F10" w:rsidP="00063F10">
            <w:pPr>
              <w:rPr>
                <w:rFonts w:ascii="Calibri" w:eastAsia="Yu Mincho" w:hAnsi="Calibri"/>
                <w:color w:val="231F20"/>
                <w:sz w:val="20"/>
                <w:szCs w:val="22"/>
              </w:rPr>
            </w:pPr>
          </w:p>
        </w:tc>
        <w:tc>
          <w:tcPr>
            <w:tcW w:w="779" w:type="dxa"/>
          </w:tcPr>
          <w:p w14:paraId="1D555EA4" w14:textId="77777777" w:rsidR="00063F10" w:rsidRPr="00063F10" w:rsidRDefault="00063F10" w:rsidP="00063F10">
            <w:pPr>
              <w:keepLines/>
              <w:spacing w:before="60" w:after="60"/>
              <w:rPr>
                <w:rFonts w:ascii="Calibri" w:eastAsia="Yu Mincho" w:hAnsi="Calibri"/>
                <w:sz w:val="20"/>
                <w:szCs w:val="20"/>
                <w:u w:val="single"/>
              </w:rPr>
            </w:pPr>
            <w:r w:rsidRPr="00063F10">
              <w:rPr>
                <w:rFonts w:ascii="Calibri" w:eastAsia="Yu Mincho" w:hAnsi="Calibri"/>
                <w:sz w:val="20"/>
                <w:szCs w:val="20"/>
                <w:u w:val="single"/>
              </w:rPr>
              <w:t>39.2</w:t>
            </w:r>
          </w:p>
        </w:tc>
        <w:tc>
          <w:tcPr>
            <w:tcW w:w="6353" w:type="dxa"/>
            <w:gridSpan w:val="2"/>
          </w:tcPr>
          <w:p w14:paraId="6F1C7764" w14:textId="77777777" w:rsidR="00063F10" w:rsidRPr="00063F10" w:rsidRDefault="00063F10" w:rsidP="00063F10">
            <w:pPr>
              <w:keepLines/>
              <w:spacing w:before="60" w:after="60"/>
              <w:rPr>
                <w:rFonts w:ascii="Calibri" w:eastAsia="Yu Mincho" w:hAnsi="Calibri"/>
                <w:color w:val="231F20"/>
                <w:sz w:val="20"/>
                <w:szCs w:val="22"/>
                <w:u w:val="single"/>
              </w:rPr>
            </w:pPr>
            <w:r w:rsidRPr="00063F10">
              <w:rPr>
                <w:rFonts w:ascii="Calibri" w:eastAsia="Yu Mincho" w:hAnsi="Calibri"/>
                <w:sz w:val="20"/>
                <w:szCs w:val="20"/>
                <w:u w:val="single"/>
              </w:rPr>
              <w:t>Un élément est transféré de la Liste du patrimoine culturel immatériel nécessitant une sauvegarde urgente à la Liste représentative du patrimoine culturel immatériel de l’humanité par le Comité lorsqu’il estime, après analyse de la demande de transfert et compte tenu des critères déjà satisfaits dans la candidature d’origine, que l’élément remplit tous les critères requis pour inscription sur cette liste. La demande pour un tel transfert, présentée dans le formulaire ICH-02 USL à RL, doit inclure :</w:t>
            </w:r>
          </w:p>
          <w:p w14:paraId="321D31E9" w14:textId="77777777" w:rsidR="00063F10" w:rsidRPr="00063F10" w:rsidRDefault="00063F10" w:rsidP="00063F10">
            <w:pPr>
              <w:widowControl w:val="0"/>
              <w:numPr>
                <w:ilvl w:val="0"/>
                <w:numId w:val="33"/>
              </w:numPr>
              <w:tabs>
                <w:tab w:val="left" w:pos="325"/>
              </w:tabs>
              <w:autoSpaceDE w:val="0"/>
              <w:autoSpaceDN w:val="0"/>
              <w:ind w:left="325"/>
              <w:rPr>
                <w:rFonts w:ascii="Calibri" w:eastAsia="Calibri" w:hAnsi="Calibri" w:cs="Calibri"/>
                <w:color w:val="231F20"/>
                <w:sz w:val="20"/>
                <w:szCs w:val="22"/>
                <w:u w:val="single"/>
                <w:lang w:eastAsia="en-US"/>
              </w:rPr>
            </w:pPr>
            <w:proofErr w:type="gramStart"/>
            <w:r w:rsidRPr="00063F10">
              <w:rPr>
                <w:rFonts w:ascii="Calibri" w:eastAsia="Yu Mincho" w:hAnsi="Calibri"/>
                <w:sz w:val="20"/>
                <w:szCs w:val="20"/>
                <w:u w:val="single"/>
              </w:rPr>
              <w:t>en</w:t>
            </w:r>
            <w:proofErr w:type="gramEnd"/>
            <w:r w:rsidRPr="00063F10">
              <w:rPr>
                <w:rFonts w:ascii="Calibri" w:eastAsia="Yu Mincho" w:hAnsi="Calibri"/>
                <w:sz w:val="20"/>
                <w:szCs w:val="20"/>
                <w:u w:val="single"/>
              </w:rPr>
              <w:t xml:space="preserve"> relation avec le critère R.1 - une</w:t>
            </w:r>
            <w:r w:rsidRPr="00063F10">
              <w:rPr>
                <w:rFonts w:ascii="Calibri" w:eastAsia="Calibri" w:hAnsi="Calibri" w:cs="Calibri"/>
                <w:color w:val="231F20"/>
                <w:sz w:val="20"/>
                <w:szCs w:val="22"/>
                <w:u w:val="single"/>
                <w:lang w:eastAsia="en-US"/>
              </w:rPr>
              <w:t xml:space="preserve"> description actualisée de l’élément concernant les changements dans la viabilité de l’élément en référence au critère d’origine U.2 ;</w:t>
            </w:r>
          </w:p>
          <w:p w14:paraId="251097C8" w14:textId="77777777" w:rsidR="00063F10" w:rsidRPr="00063F10" w:rsidRDefault="00063F10" w:rsidP="00063F10">
            <w:pPr>
              <w:widowControl w:val="0"/>
              <w:numPr>
                <w:ilvl w:val="0"/>
                <w:numId w:val="33"/>
              </w:numPr>
              <w:tabs>
                <w:tab w:val="left" w:pos="325"/>
              </w:tabs>
              <w:autoSpaceDE w:val="0"/>
              <w:autoSpaceDN w:val="0"/>
              <w:ind w:left="325"/>
              <w:rPr>
                <w:rFonts w:ascii="Calibri" w:eastAsia="Calibri" w:hAnsi="Calibri" w:cs="Calibri"/>
                <w:color w:val="231F20"/>
                <w:sz w:val="20"/>
                <w:szCs w:val="22"/>
                <w:u w:val="single"/>
                <w:lang w:eastAsia="en-US"/>
              </w:rPr>
            </w:pPr>
            <w:proofErr w:type="gramStart"/>
            <w:r w:rsidRPr="00063F10">
              <w:rPr>
                <w:rFonts w:ascii="Calibri" w:eastAsia="Calibri" w:hAnsi="Calibri" w:cs="Calibri"/>
                <w:color w:val="231F20"/>
                <w:sz w:val="20"/>
                <w:szCs w:val="22"/>
                <w:u w:val="single"/>
                <w:lang w:eastAsia="en-US"/>
              </w:rPr>
              <w:t>en</w:t>
            </w:r>
            <w:proofErr w:type="gramEnd"/>
            <w:r w:rsidRPr="00063F10">
              <w:rPr>
                <w:rFonts w:ascii="Calibri" w:eastAsia="Calibri" w:hAnsi="Calibri" w:cs="Calibri"/>
                <w:color w:val="231F20"/>
                <w:sz w:val="20"/>
                <w:szCs w:val="22"/>
                <w:u w:val="single"/>
                <w:lang w:eastAsia="en-US"/>
              </w:rPr>
              <w:t xml:space="preserve"> relation avec le critère R.2 - la démonstration de la manière dont l’élément proposé contribue au respect mutuel et au dialogue entre communautés, groupes and individus, et l’indication de la manière dont il contribue au développement durable ;</w:t>
            </w:r>
          </w:p>
          <w:p w14:paraId="089B88DC" w14:textId="77777777" w:rsidR="00063F10" w:rsidRPr="00063F10" w:rsidRDefault="00063F10" w:rsidP="00063F10">
            <w:pPr>
              <w:widowControl w:val="0"/>
              <w:numPr>
                <w:ilvl w:val="0"/>
                <w:numId w:val="33"/>
              </w:numPr>
              <w:tabs>
                <w:tab w:val="left" w:pos="325"/>
              </w:tabs>
              <w:autoSpaceDE w:val="0"/>
              <w:autoSpaceDN w:val="0"/>
              <w:ind w:left="325"/>
              <w:rPr>
                <w:rFonts w:ascii="Calibri" w:eastAsia="Calibri" w:hAnsi="Calibri" w:cs="Calibri"/>
                <w:color w:val="231F20"/>
                <w:sz w:val="20"/>
                <w:szCs w:val="22"/>
                <w:u w:val="single"/>
                <w:lang w:eastAsia="en-US"/>
              </w:rPr>
            </w:pPr>
            <w:proofErr w:type="gramStart"/>
            <w:r w:rsidRPr="00063F10">
              <w:rPr>
                <w:rFonts w:ascii="Calibri" w:eastAsia="Calibri" w:hAnsi="Calibri" w:cs="Calibri"/>
                <w:color w:val="231F20"/>
                <w:sz w:val="20"/>
                <w:szCs w:val="22"/>
                <w:u w:val="single"/>
                <w:lang w:eastAsia="en-US"/>
              </w:rPr>
              <w:t>en</w:t>
            </w:r>
            <w:proofErr w:type="gramEnd"/>
            <w:r w:rsidRPr="00063F10">
              <w:rPr>
                <w:rFonts w:ascii="Calibri" w:eastAsia="Calibri" w:hAnsi="Calibri" w:cs="Calibri"/>
                <w:color w:val="231F20"/>
                <w:sz w:val="20"/>
                <w:szCs w:val="22"/>
                <w:u w:val="single"/>
                <w:lang w:eastAsia="en-US"/>
              </w:rPr>
              <w:t xml:space="preserve"> relation avec le critère R.3 - une évaluation à travers le rapport périodique de la mise en œuvre du plan de sauvegarde décrit sous le critère d’origine U.3</w:t>
            </w:r>
            <w:r w:rsidRPr="00063F10">
              <w:rPr>
                <w:rFonts w:ascii="Calibri" w:eastAsia="Calibri" w:hAnsi="Calibri" w:cs="Calibri"/>
                <w:color w:val="231F20"/>
                <w:sz w:val="20"/>
                <w:szCs w:val="22"/>
                <w:u w:val="single"/>
                <w:vertAlign w:val="superscript"/>
                <w:lang w:eastAsia="en-US"/>
              </w:rPr>
              <w:footnoteReference w:id="20"/>
            </w:r>
            <w:r w:rsidRPr="00063F10">
              <w:rPr>
                <w:rFonts w:ascii="Calibri" w:eastAsia="Calibri" w:hAnsi="Calibri" w:cs="Calibri"/>
                <w:color w:val="231F20"/>
                <w:sz w:val="20"/>
                <w:szCs w:val="22"/>
                <w:u w:val="single"/>
                <w:lang w:eastAsia="en-US"/>
              </w:rPr>
              <w:t xml:space="preserve"> et des mesures de sauvegarde prévues dans le futur ;</w:t>
            </w:r>
          </w:p>
          <w:p w14:paraId="51DE120C" w14:textId="77777777" w:rsidR="00063F10" w:rsidRPr="00063F10" w:rsidRDefault="00063F10" w:rsidP="00063F10">
            <w:pPr>
              <w:widowControl w:val="0"/>
              <w:numPr>
                <w:ilvl w:val="0"/>
                <w:numId w:val="33"/>
              </w:numPr>
              <w:tabs>
                <w:tab w:val="left" w:pos="325"/>
              </w:tabs>
              <w:autoSpaceDE w:val="0"/>
              <w:autoSpaceDN w:val="0"/>
              <w:spacing w:after="60"/>
              <w:ind w:left="323" w:hanging="357"/>
              <w:rPr>
                <w:rFonts w:ascii="Calibri" w:eastAsia="Calibri" w:hAnsi="Calibri" w:cs="Calibri"/>
                <w:color w:val="231F20"/>
                <w:sz w:val="20"/>
                <w:szCs w:val="22"/>
                <w:lang w:eastAsia="en-US"/>
              </w:rPr>
            </w:pPr>
            <w:proofErr w:type="gramStart"/>
            <w:r w:rsidRPr="00063F10">
              <w:rPr>
                <w:rFonts w:ascii="Calibri" w:eastAsia="Calibri" w:hAnsi="Calibri" w:cs="Calibri"/>
                <w:color w:val="231F20"/>
                <w:sz w:val="20"/>
                <w:szCs w:val="22"/>
                <w:u w:val="single"/>
                <w:lang w:eastAsia="en-US"/>
              </w:rPr>
              <w:t>en</w:t>
            </w:r>
            <w:proofErr w:type="gramEnd"/>
            <w:r w:rsidRPr="00063F10">
              <w:rPr>
                <w:rFonts w:ascii="Calibri" w:eastAsia="Calibri" w:hAnsi="Calibri" w:cs="Calibri"/>
                <w:color w:val="231F20"/>
                <w:sz w:val="20"/>
                <w:szCs w:val="22"/>
                <w:u w:val="single"/>
                <w:lang w:eastAsia="en-US"/>
              </w:rPr>
              <w:t xml:space="preserve"> relation avec le critère R.4 - le consentement des communautés, groupes et individus concernés qui avaient donné leur accord à l’inscription </w:t>
            </w:r>
            <w:r w:rsidRPr="0007319B">
              <w:rPr>
                <w:rFonts w:ascii="Calibri" w:eastAsia="Calibri" w:hAnsi="Calibri" w:cs="Calibri"/>
                <w:color w:val="231F20"/>
                <w:sz w:val="20"/>
                <w:szCs w:val="22"/>
                <w:u w:val="single"/>
                <w:lang w:eastAsia="en-US"/>
              </w:rPr>
              <w:t xml:space="preserve">sur </w:t>
            </w:r>
            <w:r w:rsidRPr="005E0731">
              <w:rPr>
                <w:rFonts w:ascii="Calibri" w:eastAsia="Calibri" w:hAnsi="Calibri" w:cs="Calibri"/>
                <w:color w:val="231F20"/>
                <w:sz w:val="20"/>
                <w:szCs w:val="22"/>
                <w:u w:val="single"/>
                <w:lang w:eastAsia="en-US"/>
              </w:rPr>
              <w:t>la Liste du patrimoine culturel immatériel nécessitant une sauvegarde urgente.</w:t>
            </w:r>
            <w:r w:rsidRPr="005E0731">
              <w:rPr>
                <w:rFonts w:ascii="Calibri" w:eastAsia="Calibri" w:hAnsi="Calibri" w:cs="Calibri"/>
                <w:color w:val="231F20"/>
                <w:sz w:val="20"/>
                <w:szCs w:val="22"/>
                <w:u w:val="single"/>
                <w:vertAlign w:val="superscript"/>
                <w:lang w:eastAsia="en-US"/>
              </w:rPr>
              <w:footnoteReference w:id="21"/>
            </w:r>
          </w:p>
        </w:tc>
      </w:tr>
      <w:tr w:rsidR="00063F10" w:rsidRPr="00063F10" w14:paraId="4ED12A4C" w14:textId="77777777" w:rsidTr="00063F10">
        <w:tc>
          <w:tcPr>
            <w:tcW w:w="741" w:type="dxa"/>
          </w:tcPr>
          <w:p w14:paraId="47AAA3ED" w14:textId="77777777" w:rsidR="00063F10" w:rsidRPr="00063F10" w:rsidRDefault="00063F10" w:rsidP="00063F10">
            <w:pPr>
              <w:rPr>
                <w:rFonts w:ascii="Calibri" w:eastAsia="Yu Mincho" w:hAnsi="Calibri"/>
                <w:sz w:val="22"/>
                <w:szCs w:val="22"/>
              </w:rPr>
            </w:pPr>
          </w:p>
        </w:tc>
        <w:tc>
          <w:tcPr>
            <w:tcW w:w="6406" w:type="dxa"/>
            <w:gridSpan w:val="2"/>
          </w:tcPr>
          <w:p w14:paraId="785FA8F0" w14:textId="77777777" w:rsidR="00063F10" w:rsidRPr="00063F10" w:rsidRDefault="00063F10" w:rsidP="00063F10">
            <w:pPr>
              <w:rPr>
                <w:rFonts w:ascii="Calibri" w:eastAsia="Yu Mincho" w:hAnsi="Calibri"/>
                <w:color w:val="231F20"/>
                <w:sz w:val="20"/>
                <w:szCs w:val="22"/>
              </w:rPr>
            </w:pPr>
          </w:p>
        </w:tc>
        <w:tc>
          <w:tcPr>
            <w:tcW w:w="779" w:type="dxa"/>
          </w:tcPr>
          <w:p w14:paraId="08E10A55" w14:textId="77777777" w:rsidR="00063F10" w:rsidRPr="00063F10" w:rsidRDefault="00063F10" w:rsidP="00063F10">
            <w:pPr>
              <w:keepLines/>
              <w:spacing w:before="60" w:after="60"/>
              <w:rPr>
                <w:rFonts w:ascii="Calibri" w:eastAsia="Yu Mincho" w:hAnsi="Calibri"/>
                <w:sz w:val="20"/>
                <w:szCs w:val="20"/>
                <w:u w:val="single"/>
              </w:rPr>
            </w:pPr>
            <w:r w:rsidRPr="00063F10">
              <w:rPr>
                <w:rFonts w:ascii="Calibri" w:eastAsia="Yu Mincho" w:hAnsi="Calibri"/>
                <w:sz w:val="20"/>
                <w:szCs w:val="20"/>
                <w:u w:val="single"/>
              </w:rPr>
              <w:t>39.3</w:t>
            </w:r>
          </w:p>
        </w:tc>
        <w:tc>
          <w:tcPr>
            <w:tcW w:w="6353" w:type="dxa"/>
            <w:gridSpan w:val="2"/>
          </w:tcPr>
          <w:p w14:paraId="3C561E32" w14:textId="77777777" w:rsidR="00063F10" w:rsidRPr="00063F10" w:rsidRDefault="00063F10" w:rsidP="00063F10">
            <w:pPr>
              <w:keepLines/>
              <w:spacing w:before="60" w:after="60"/>
              <w:rPr>
                <w:rFonts w:ascii="Calibri" w:eastAsia="Yu Mincho" w:hAnsi="Calibri"/>
                <w:color w:val="231F20"/>
                <w:sz w:val="20"/>
                <w:szCs w:val="22"/>
                <w:u w:val="single"/>
              </w:rPr>
            </w:pPr>
            <w:r w:rsidRPr="00063F10">
              <w:rPr>
                <w:rFonts w:ascii="Calibri" w:eastAsia="Yu Mincho" w:hAnsi="Calibri"/>
                <w:color w:val="231F20"/>
                <w:sz w:val="20"/>
                <w:szCs w:val="22"/>
                <w:u w:val="single"/>
              </w:rPr>
              <w:t>L’Organe d’évaluation peut également recommander au Comité, à l’issue de son évaluation de la demande de transfert, d’inclure l’expérience de sauvegarde réussie dans le Registre de bonnes pratiques de sauvegarde.</w:t>
            </w:r>
            <w:r w:rsidRPr="00063F10">
              <w:rPr>
                <w:rFonts w:ascii="Calibri" w:eastAsia="Yu Mincho" w:hAnsi="Calibri"/>
                <w:color w:val="231F20"/>
                <w:sz w:val="20"/>
                <w:szCs w:val="22"/>
                <w:u w:val="single"/>
                <w:vertAlign w:val="superscript"/>
              </w:rPr>
              <w:footnoteReference w:id="22"/>
            </w:r>
          </w:p>
        </w:tc>
      </w:tr>
      <w:tr w:rsidR="00063F10" w:rsidRPr="00063F10" w14:paraId="033A5B8A" w14:textId="77777777" w:rsidTr="00063F10">
        <w:tc>
          <w:tcPr>
            <w:tcW w:w="741" w:type="dxa"/>
          </w:tcPr>
          <w:p w14:paraId="4950800C"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rPr>
              <w:lastRenderedPageBreak/>
              <w:t>40.</w:t>
            </w:r>
          </w:p>
        </w:tc>
        <w:tc>
          <w:tcPr>
            <w:tcW w:w="6406" w:type="dxa"/>
            <w:gridSpan w:val="2"/>
          </w:tcPr>
          <w:p w14:paraId="304D2F6A" w14:textId="77777777" w:rsidR="00063F10" w:rsidRPr="00063F10" w:rsidRDefault="00063F10" w:rsidP="00063F10">
            <w:pPr>
              <w:keepLines/>
              <w:spacing w:before="60" w:after="60"/>
              <w:rPr>
                <w:rFonts w:ascii="Calibri" w:eastAsia="Yu Mincho" w:hAnsi="Calibri"/>
                <w:color w:val="231F20"/>
                <w:sz w:val="20"/>
                <w:szCs w:val="22"/>
              </w:rPr>
            </w:pPr>
            <w:r w:rsidRPr="00063F10">
              <w:rPr>
                <w:rFonts w:ascii="Calibri" w:eastAsia="Yu Mincho" w:hAnsi="Calibri"/>
                <w:sz w:val="20"/>
                <w:szCs w:val="20"/>
              </w:rPr>
              <w:t>Un élément est retiré de la Liste représentative du patrimoine culturel immatériel de l’humanité par le Comité lorsqu’il estime qu’il ne remplit plus un ou plusieurs des critères d’inscription sur cette liste.</w:t>
            </w:r>
          </w:p>
        </w:tc>
        <w:tc>
          <w:tcPr>
            <w:tcW w:w="779" w:type="dxa"/>
          </w:tcPr>
          <w:p w14:paraId="1C20D44B"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rPr>
              <w:t>40</w:t>
            </w:r>
            <w:r w:rsidRPr="00063F10">
              <w:rPr>
                <w:rFonts w:ascii="Calibri" w:eastAsia="Yu Mincho" w:hAnsi="Calibri"/>
                <w:sz w:val="20"/>
                <w:szCs w:val="20"/>
                <w:u w:val="single"/>
              </w:rPr>
              <w:t>.1</w:t>
            </w:r>
          </w:p>
        </w:tc>
        <w:tc>
          <w:tcPr>
            <w:tcW w:w="6353" w:type="dxa"/>
            <w:gridSpan w:val="2"/>
          </w:tcPr>
          <w:p w14:paraId="327D1278" w14:textId="77777777" w:rsidR="00063F10" w:rsidRPr="00063F10" w:rsidRDefault="00063F10" w:rsidP="00063F10">
            <w:pPr>
              <w:keepLines/>
              <w:spacing w:before="60" w:after="60"/>
              <w:rPr>
                <w:rFonts w:ascii="Calibri" w:eastAsia="Yu Mincho" w:hAnsi="Calibri" w:cs="Arial (Corps CS)"/>
                <w:color w:val="231F20"/>
                <w:sz w:val="20"/>
                <w:szCs w:val="22"/>
                <w:u w:val="single"/>
              </w:rPr>
            </w:pPr>
            <w:r w:rsidRPr="00063F10">
              <w:rPr>
                <w:rFonts w:ascii="Calibri" w:eastAsia="Yu Mincho" w:hAnsi="Calibri"/>
                <w:sz w:val="20"/>
                <w:szCs w:val="20"/>
              </w:rPr>
              <w:t xml:space="preserve">Un élément est retiré de la </w:t>
            </w:r>
            <w:r w:rsidRPr="00063F10">
              <w:rPr>
                <w:rFonts w:ascii="Calibri" w:eastAsia="Yu Mincho" w:hAnsi="Calibri"/>
                <w:sz w:val="20"/>
                <w:szCs w:val="20"/>
                <w:u w:val="single"/>
              </w:rPr>
              <w:t>Liste du patrimoine culturel immatériel nécessitant une sauvegarde urgente ou de la</w:t>
            </w:r>
            <w:r w:rsidRPr="00063F10">
              <w:rPr>
                <w:rFonts w:ascii="Calibri" w:eastAsia="Yu Mincho" w:hAnsi="Calibri"/>
                <w:sz w:val="20"/>
                <w:szCs w:val="20"/>
              </w:rPr>
              <w:t xml:space="preserve"> Liste représentative du patrimoine culturel immatériel de l’humanité par le Comité lorsqu’il estime qu’il ne remplit plus </w:t>
            </w:r>
            <w:r w:rsidRPr="00063F10">
              <w:rPr>
                <w:rFonts w:ascii="Calibri" w:eastAsia="Yu Mincho" w:hAnsi="Calibri"/>
                <w:strike/>
                <w:sz w:val="20"/>
                <w:szCs w:val="20"/>
              </w:rPr>
              <w:t xml:space="preserve">un ou plusieurs des critères d’inscription sur cette liste </w:t>
            </w:r>
            <w:r w:rsidRPr="00063F10">
              <w:rPr>
                <w:rFonts w:ascii="Calibri" w:eastAsia="Yu Mincho" w:hAnsi="Calibri"/>
                <w:sz w:val="20"/>
                <w:szCs w:val="20"/>
                <w:u w:val="single"/>
              </w:rPr>
              <w:t xml:space="preserve">les critères requis, avec une attention particulière aux critères R.1/U.1. </w:t>
            </w:r>
            <w:proofErr w:type="gramStart"/>
            <w:r w:rsidRPr="00063F10">
              <w:rPr>
                <w:rFonts w:ascii="Calibri" w:eastAsia="Yu Mincho" w:hAnsi="Calibri"/>
                <w:sz w:val="20"/>
                <w:szCs w:val="20"/>
                <w:u w:val="single"/>
              </w:rPr>
              <w:t>et</w:t>
            </w:r>
            <w:proofErr w:type="gramEnd"/>
            <w:r w:rsidRPr="00063F10">
              <w:rPr>
                <w:rFonts w:ascii="Calibri" w:eastAsia="Yu Mincho" w:hAnsi="Calibri"/>
                <w:sz w:val="20"/>
                <w:szCs w:val="20"/>
                <w:u w:val="single"/>
              </w:rPr>
              <w:t xml:space="preserve"> U.4/R.4</w:t>
            </w:r>
            <w:r w:rsidRPr="00063F10">
              <w:rPr>
                <w:rFonts w:ascii="Calibri" w:eastAsia="Yu Mincho" w:hAnsi="Calibri" w:cs="Arial (Corps CS)"/>
                <w:color w:val="231F20"/>
                <w:sz w:val="20"/>
                <w:szCs w:val="22"/>
                <w:u w:val="single"/>
              </w:rPr>
              <w:t>.</w:t>
            </w:r>
            <w:r w:rsidRPr="00063F10">
              <w:rPr>
                <w:rFonts w:ascii="Calibri" w:eastAsia="Yu Mincho" w:hAnsi="Calibri" w:cs="Arial (Corps CS)"/>
                <w:color w:val="231F20"/>
                <w:sz w:val="20"/>
                <w:szCs w:val="22"/>
                <w:u w:val="single"/>
                <w:vertAlign w:val="superscript"/>
              </w:rPr>
              <w:footnoteReference w:id="23"/>
            </w:r>
            <w:r w:rsidRPr="00063F10">
              <w:rPr>
                <w:rFonts w:ascii="Calibri" w:eastAsia="Yu Mincho" w:hAnsi="Calibri"/>
                <w:color w:val="231F20"/>
                <w:sz w:val="20"/>
                <w:szCs w:val="22"/>
                <w:u w:val="single"/>
              </w:rPr>
              <w:t xml:space="preserve"> Le retrait peut être demandé par l’(les) État(s) partie(s) concerné(s), les communautés, groupes et individus concernés, ou par toute tierce partie.</w:t>
            </w:r>
            <w:r w:rsidRPr="00063F10">
              <w:rPr>
                <w:rFonts w:ascii="Calibri" w:eastAsia="Yu Mincho" w:hAnsi="Calibri"/>
                <w:color w:val="231F20"/>
                <w:sz w:val="20"/>
                <w:szCs w:val="22"/>
                <w:vertAlign w:val="superscript"/>
              </w:rPr>
              <w:footnoteReference w:id="24"/>
            </w:r>
          </w:p>
        </w:tc>
      </w:tr>
      <w:tr w:rsidR="00063F10" w:rsidRPr="00063F10" w14:paraId="6E899FE2" w14:textId="77777777" w:rsidTr="00063F10">
        <w:tc>
          <w:tcPr>
            <w:tcW w:w="741" w:type="dxa"/>
          </w:tcPr>
          <w:p w14:paraId="70D67DB8" w14:textId="77777777" w:rsidR="00063F10" w:rsidRPr="00063F10" w:rsidRDefault="00063F10" w:rsidP="00063F10">
            <w:pPr>
              <w:rPr>
                <w:rFonts w:ascii="Calibri" w:eastAsia="Yu Mincho" w:hAnsi="Calibri"/>
                <w:sz w:val="22"/>
                <w:szCs w:val="22"/>
              </w:rPr>
            </w:pPr>
          </w:p>
        </w:tc>
        <w:tc>
          <w:tcPr>
            <w:tcW w:w="6406" w:type="dxa"/>
            <w:gridSpan w:val="2"/>
          </w:tcPr>
          <w:p w14:paraId="6FA1EBB6" w14:textId="77777777" w:rsidR="00063F10" w:rsidRPr="00063F10" w:rsidRDefault="00063F10" w:rsidP="00063F10">
            <w:pPr>
              <w:rPr>
                <w:rFonts w:ascii="Calibri" w:eastAsia="Yu Mincho" w:hAnsi="Calibri"/>
                <w:color w:val="231F20"/>
                <w:sz w:val="20"/>
                <w:szCs w:val="22"/>
              </w:rPr>
            </w:pPr>
          </w:p>
        </w:tc>
        <w:tc>
          <w:tcPr>
            <w:tcW w:w="779" w:type="dxa"/>
          </w:tcPr>
          <w:p w14:paraId="31DC9D3A" w14:textId="77777777" w:rsidR="00063F10" w:rsidRPr="00063F10" w:rsidRDefault="00063F10" w:rsidP="00063F10">
            <w:pPr>
              <w:keepLines/>
              <w:spacing w:before="60" w:after="60"/>
              <w:rPr>
                <w:rFonts w:ascii="Calibri" w:eastAsia="Yu Mincho" w:hAnsi="Calibri"/>
                <w:sz w:val="20"/>
                <w:szCs w:val="20"/>
                <w:u w:val="single"/>
              </w:rPr>
            </w:pPr>
            <w:r w:rsidRPr="00063F10">
              <w:rPr>
                <w:rFonts w:ascii="Calibri" w:eastAsia="Yu Mincho" w:hAnsi="Calibri"/>
                <w:sz w:val="20"/>
                <w:szCs w:val="20"/>
                <w:u w:val="single"/>
              </w:rPr>
              <w:t>40.2</w:t>
            </w:r>
          </w:p>
        </w:tc>
        <w:tc>
          <w:tcPr>
            <w:tcW w:w="6353" w:type="dxa"/>
            <w:gridSpan w:val="2"/>
          </w:tcPr>
          <w:p w14:paraId="77889A80" w14:textId="77777777" w:rsidR="00063F10" w:rsidRPr="00063F10" w:rsidRDefault="00063F10" w:rsidP="00063F10">
            <w:pPr>
              <w:widowControl w:val="0"/>
              <w:numPr>
                <w:ilvl w:val="0"/>
                <w:numId w:val="34"/>
              </w:numPr>
              <w:tabs>
                <w:tab w:val="left" w:pos="325"/>
              </w:tabs>
              <w:autoSpaceDE w:val="0"/>
              <w:autoSpaceDN w:val="0"/>
              <w:ind w:left="325"/>
              <w:rPr>
                <w:rFonts w:ascii="Calibri" w:eastAsia="Yu Mincho" w:hAnsi="Calibri"/>
                <w:sz w:val="20"/>
                <w:szCs w:val="20"/>
                <w:u w:val="single"/>
              </w:rPr>
            </w:pPr>
            <w:bookmarkStart w:id="4" w:name="_Hlk87801891"/>
            <w:r w:rsidRPr="00063F10">
              <w:rPr>
                <w:rFonts w:ascii="Calibri" w:eastAsia="Yu Mincho" w:hAnsi="Calibri"/>
                <w:sz w:val="20"/>
                <w:szCs w:val="20"/>
                <w:u w:val="single"/>
              </w:rPr>
              <w:t>Une demande de retrait de l’entité à l’origine de l’envoi (par exemple l’/les État(s) partie(s) concerné(s), les communautés, groupes et, le cas échéant, individus concernés ou une tierce partie) est enregistrée par le Secrétariat.</w:t>
            </w:r>
          </w:p>
          <w:p w14:paraId="4E9C17EF" w14:textId="77777777" w:rsidR="00063F10" w:rsidRPr="00063F10" w:rsidRDefault="00063F10" w:rsidP="00063F10">
            <w:pPr>
              <w:widowControl w:val="0"/>
              <w:numPr>
                <w:ilvl w:val="0"/>
                <w:numId w:val="34"/>
              </w:numPr>
              <w:tabs>
                <w:tab w:val="left" w:pos="325"/>
              </w:tabs>
              <w:autoSpaceDE w:val="0"/>
              <w:autoSpaceDN w:val="0"/>
              <w:ind w:left="325"/>
              <w:rPr>
                <w:rFonts w:ascii="Calibri" w:eastAsia="Yu Mincho" w:hAnsi="Calibri"/>
                <w:sz w:val="20"/>
                <w:szCs w:val="20"/>
                <w:u w:val="single"/>
              </w:rPr>
            </w:pPr>
            <w:r w:rsidRPr="00063F10">
              <w:rPr>
                <w:rFonts w:ascii="Calibri" w:eastAsia="Yu Mincho" w:hAnsi="Calibri"/>
                <w:sz w:val="20"/>
                <w:szCs w:val="20"/>
                <w:u w:val="single"/>
              </w:rPr>
              <w:t>Le Secrétariat transmet la demande de retrait, selon le cas, à l’État partie, à la personne de contact pour la candidature et aux représentants des communautés, groupes et, le cas échéant, individus (tels qu’indiqués dans le dossier de candidature), qui peuvent fournir une réponse et des informations complémentaires.</w:t>
            </w:r>
          </w:p>
          <w:p w14:paraId="554F1A58" w14:textId="77777777" w:rsidR="00063F10" w:rsidRPr="00063F10" w:rsidRDefault="00063F10" w:rsidP="00063F10">
            <w:pPr>
              <w:widowControl w:val="0"/>
              <w:numPr>
                <w:ilvl w:val="0"/>
                <w:numId w:val="34"/>
              </w:numPr>
              <w:tabs>
                <w:tab w:val="left" w:pos="325"/>
              </w:tabs>
              <w:autoSpaceDE w:val="0"/>
              <w:autoSpaceDN w:val="0"/>
              <w:ind w:left="325"/>
              <w:rPr>
                <w:rFonts w:ascii="Calibri" w:eastAsia="Yu Mincho" w:hAnsi="Calibri"/>
                <w:sz w:val="20"/>
                <w:szCs w:val="20"/>
                <w:u w:val="single"/>
              </w:rPr>
            </w:pPr>
            <w:r w:rsidRPr="00063F10">
              <w:rPr>
                <w:rFonts w:ascii="Calibri" w:eastAsia="Yu Mincho" w:hAnsi="Calibri"/>
                <w:sz w:val="20"/>
                <w:szCs w:val="20"/>
                <w:u w:val="single"/>
              </w:rPr>
              <w:t>Si l’entité ayant transmis la demande, autre qu’un État, souhaite rester anonyme, le Secrétariat transmet une version modifiée de la demande de retrait d’origine.</w:t>
            </w:r>
          </w:p>
          <w:bookmarkEnd w:id="4"/>
          <w:p w14:paraId="56B278BC" w14:textId="77777777" w:rsidR="00063F10" w:rsidRPr="00063F10" w:rsidRDefault="00063F10" w:rsidP="00063F10">
            <w:pPr>
              <w:widowControl w:val="0"/>
              <w:numPr>
                <w:ilvl w:val="0"/>
                <w:numId w:val="34"/>
              </w:numPr>
              <w:tabs>
                <w:tab w:val="left" w:pos="325"/>
              </w:tabs>
              <w:autoSpaceDE w:val="0"/>
              <w:autoSpaceDN w:val="0"/>
              <w:ind w:left="750" w:hanging="785"/>
              <w:rPr>
                <w:rFonts w:ascii="Calibri" w:eastAsia="Yu Mincho" w:hAnsi="Calibri"/>
                <w:sz w:val="20"/>
                <w:szCs w:val="20"/>
                <w:u w:val="single"/>
              </w:rPr>
            </w:pPr>
            <w:r w:rsidRPr="00063F10">
              <w:rPr>
                <w:rFonts w:ascii="Calibri" w:eastAsia="Calibri" w:hAnsi="Calibri" w:cs="Calibri"/>
                <w:color w:val="231F20"/>
                <w:sz w:val="20"/>
                <w:szCs w:val="22"/>
                <w:u w:val="single"/>
                <w:lang w:eastAsia="en-US"/>
              </w:rPr>
              <w:t>(i)</w:t>
            </w:r>
            <w:r w:rsidRPr="00063F10">
              <w:rPr>
                <w:rFonts w:ascii="Calibri" w:eastAsia="Calibri" w:hAnsi="Calibri" w:cs="Calibri"/>
                <w:color w:val="231F20"/>
                <w:sz w:val="20"/>
                <w:szCs w:val="22"/>
                <w:u w:val="single"/>
                <w:lang w:eastAsia="en-US"/>
              </w:rPr>
              <w:tab/>
            </w:r>
            <w:r w:rsidRPr="00063F10">
              <w:rPr>
                <w:rFonts w:ascii="Calibri" w:eastAsia="Yu Mincho" w:hAnsi="Calibri"/>
                <w:sz w:val="20"/>
                <w:szCs w:val="20"/>
                <w:u w:val="single"/>
              </w:rPr>
              <w:t>Si la demande de retrait est soumise par l’État partie concerné tel qu’identifié dans le dossier de candidature, le</w:t>
            </w:r>
            <w:r w:rsidRPr="00063F10">
              <w:rPr>
                <w:rFonts w:ascii="Calibri" w:eastAsia="Calibri" w:hAnsi="Calibri" w:cs="Calibri"/>
                <w:sz w:val="20"/>
                <w:szCs w:val="20"/>
                <w:u w:val="single"/>
                <w:lang w:eastAsia="en-US"/>
              </w:rPr>
              <w:t xml:space="preserve"> Secrétariat réunit les informations en particulier en relation avec l’article 2 de la Convention. La demande de retrait est alors directement transmise au Comité, avec la réponse éventuelle de l’État partie et/ou des communautés, groupes et, le cas échéant, individus concernés, ainsi qu’avec toute information recueillie.</w:t>
            </w:r>
          </w:p>
          <w:p w14:paraId="17CEAB2D" w14:textId="77777777" w:rsidR="00063F10" w:rsidRPr="00063F10" w:rsidRDefault="00063F10" w:rsidP="00063F10">
            <w:pPr>
              <w:spacing w:after="60"/>
              <w:ind w:left="748" w:hanging="425"/>
              <w:rPr>
                <w:rFonts w:ascii="Calibri" w:eastAsia="Yu Mincho" w:hAnsi="Calibri"/>
                <w:sz w:val="20"/>
                <w:szCs w:val="20"/>
              </w:rPr>
            </w:pPr>
            <w:r w:rsidRPr="00063F10">
              <w:rPr>
                <w:rFonts w:ascii="Calibri" w:eastAsia="Yu Mincho" w:hAnsi="Calibri"/>
                <w:color w:val="231F20"/>
                <w:sz w:val="20"/>
                <w:szCs w:val="22"/>
                <w:u w:val="single"/>
              </w:rPr>
              <w:t>(ii)</w:t>
            </w:r>
            <w:r w:rsidRPr="00063F10">
              <w:rPr>
                <w:rFonts w:ascii="Calibri" w:eastAsia="Yu Mincho" w:hAnsi="Calibri"/>
                <w:color w:val="231F20"/>
                <w:sz w:val="20"/>
                <w:szCs w:val="22"/>
                <w:u w:val="single"/>
              </w:rPr>
              <w:tab/>
            </w:r>
            <w:r w:rsidRPr="00063F10">
              <w:rPr>
                <w:rFonts w:ascii="Calibri" w:eastAsia="Yu Mincho" w:hAnsi="Calibri" w:cs="Calibri"/>
                <w:sz w:val="20"/>
                <w:szCs w:val="20"/>
                <w:u w:val="single"/>
              </w:rPr>
              <w:t>Dans les autres cas, le Secrétariat peut réunir des informations en particulier en relation avec l’article 2 de la Convention, et partage les résultats issus de ces informations avec l’État partie concerné et recueille son éventuelle réponse. La demande de retrait est alors transmise au Bureau qui peut recommander ou non d’inclure le cas à l’ordre du jour de la prochaine session du Comité. </w:t>
            </w:r>
            <w:r w:rsidRPr="00063F10">
              <w:rPr>
                <w:rFonts w:ascii="Calibri" w:eastAsia="Yu Mincho" w:hAnsi="Calibri"/>
                <w:sz w:val="20"/>
                <w:szCs w:val="20"/>
                <w:vertAlign w:val="superscript"/>
              </w:rPr>
              <w:footnoteReference w:id="25"/>
            </w:r>
          </w:p>
        </w:tc>
      </w:tr>
      <w:tr w:rsidR="00063F10" w:rsidRPr="00063F10" w14:paraId="1718947C" w14:textId="77777777" w:rsidTr="00063F10">
        <w:tc>
          <w:tcPr>
            <w:tcW w:w="741" w:type="dxa"/>
          </w:tcPr>
          <w:p w14:paraId="30C78655" w14:textId="77777777" w:rsidR="00063F10" w:rsidRPr="00063F10" w:rsidRDefault="00063F10" w:rsidP="00063F10">
            <w:pPr>
              <w:rPr>
                <w:rFonts w:ascii="Calibri" w:eastAsia="Yu Mincho" w:hAnsi="Calibri"/>
                <w:sz w:val="22"/>
                <w:szCs w:val="22"/>
              </w:rPr>
            </w:pPr>
            <w:r w:rsidRPr="00063F10">
              <w:rPr>
                <w:rFonts w:ascii="Calibri" w:eastAsia="Yu Mincho" w:hAnsi="Calibri"/>
                <w:sz w:val="22"/>
                <w:szCs w:val="22"/>
              </w:rPr>
              <w:lastRenderedPageBreak/>
              <w:t xml:space="preserve"> </w:t>
            </w:r>
          </w:p>
        </w:tc>
        <w:tc>
          <w:tcPr>
            <w:tcW w:w="6406" w:type="dxa"/>
            <w:gridSpan w:val="2"/>
          </w:tcPr>
          <w:p w14:paraId="71792DA3" w14:textId="77777777" w:rsidR="00063F10" w:rsidRPr="00063F10" w:rsidRDefault="00063F10" w:rsidP="00063F10">
            <w:pPr>
              <w:rPr>
                <w:rFonts w:ascii="Calibri" w:eastAsia="Yu Mincho" w:hAnsi="Calibri"/>
                <w:color w:val="231F20"/>
                <w:sz w:val="20"/>
                <w:szCs w:val="22"/>
              </w:rPr>
            </w:pPr>
          </w:p>
        </w:tc>
        <w:tc>
          <w:tcPr>
            <w:tcW w:w="779" w:type="dxa"/>
          </w:tcPr>
          <w:p w14:paraId="50D8C059" w14:textId="77777777" w:rsidR="00063F10" w:rsidRPr="00063F10" w:rsidRDefault="00063F10" w:rsidP="00063F10">
            <w:pPr>
              <w:keepLines/>
              <w:spacing w:before="60" w:after="60"/>
              <w:rPr>
                <w:rFonts w:ascii="Calibri" w:eastAsia="Yu Mincho" w:hAnsi="Calibri"/>
                <w:sz w:val="20"/>
                <w:szCs w:val="20"/>
                <w:u w:val="single"/>
              </w:rPr>
            </w:pPr>
            <w:r w:rsidRPr="00063F10">
              <w:rPr>
                <w:rFonts w:ascii="Calibri" w:eastAsia="Yu Mincho" w:hAnsi="Calibri"/>
                <w:sz w:val="20"/>
                <w:szCs w:val="20"/>
                <w:u w:val="single"/>
              </w:rPr>
              <w:t>40.3</w:t>
            </w:r>
          </w:p>
        </w:tc>
        <w:tc>
          <w:tcPr>
            <w:tcW w:w="6353" w:type="dxa"/>
            <w:gridSpan w:val="2"/>
          </w:tcPr>
          <w:p w14:paraId="2657F32C" w14:textId="77777777" w:rsidR="00063F10" w:rsidRPr="00063F10" w:rsidRDefault="00063F10" w:rsidP="00063F10">
            <w:pPr>
              <w:keepLines/>
              <w:spacing w:before="60" w:after="60"/>
              <w:rPr>
                <w:rFonts w:ascii="Calibri" w:eastAsia="Yu Mincho" w:hAnsi="Calibri"/>
                <w:strike/>
                <w:color w:val="231F20"/>
                <w:sz w:val="20"/>
                <w:szCs w:val="22"/>
                <w:u w:val="single"/>
              </w:rPr>
            </w:pPr>
            <w:r w:rsidRPr="00063F10">
              <w:rPr>
                <w:rFonts w:ascii="Calibri" w:eastAsia="Yu Mincho" w:hAnsi="Calibri"/>
                <w:color w:val="231F20"/>
                <w:sz w:val="20"/>
                <w:szCs w:val="20"/>
                <w:u w:val="single"/>
              </w:rPr>
              <w:t xml:space="preserve">Le Comité peut décider, s’il considère que des informations supplémentaires sont nécessaires, de placer l’élément sous le statut </w:t>
            </w:r>
            <w:proofErr w:type="gramStart"/>
            <w:r w:rsidRPr="00063F10">
              <w:rPr>
                <w:rFonts w:ascii="Calibri" w:eastAsia="Yu Mincho" w:hAnsi="Calibri"/>
                <w:color w:val="231F20"/>
                <w:sz w:val="20"/>
                <w:szCs w:val="20"/>
                <w:u w:val="single"/>
              </w:rPr>
              <w:t>de  «</w:t>
            </w:r>
            <w:proofErr w:type="gramEnd"/>
            <w:r w:rsidRPr="00063F10">
              <w:rPr>
                <w:rFonts w:ascii="Calibri" w:eastAsia="Yu Mincho" w:hAnsi="Calibri"/>
                <w:color w:val="231F20"/>
                <w:sz w:val="20"/>
                <w:szCs w:val="20"/>
                <w:u w:val="single"/>
              </w:rPr>
              <w:t> suivi approfondi » à titre de mesure intermédiaire pour examen lors d’un cycle suivant. Sur la base de l’information additionnelle reçue, l’Organe d’évaluation, avec une attention particulière à l’article 2 de la Convention, formule une recommandation au Comité pour sa décision.</w:t>
            </w:r>
            <w:r w:rsidRPr="00063F10">
              <w:rPr>
                <w:rFonts w:ascii="Calibri" w:eastAsia="Yu Mincho" w:hAnsi="Calibri"/>
                <w:color w:val="231F20"/>
                <w:sz w:val="20"/>
                <w:szCs w:val="20"/>
                <w:u w:val="single"/>
                <w:vertAlign w:val="superscript"/>
              </w:rPr>
              <w:footnoteReference w:id="26"/>
            </w:r>
          </w:p>
        </w:tc>
      </w:tr>
      <w:tr w:rsidR="00063F10" w:rsidRPr="00063F10" w14:paraId="6FA742B8" w14:textId="77777777" w:rsidTr="00063F10">
        <w:tc>
          <w:tcPr>
            <w:tcW w:w="741" w:type="dxa"/>
          </w:tcPr>
          <w:p w14:paraId="2505270D" w14:textId="77777777" w:rsidR="00063F10" w:rsidRPr="00063F10" w:rsidRDefault="00063F10" w:rsidP="00063F10">
            <w:pPr>
              <w:rPr>
                <w:rFonts w:ascii="Calibri" w:eastAsia="Yu Mincho" w:hAnsi="Calibri"/>
                <w:sz w:val="22"/>
                <w:szCs w:val="22"/>
              </w:rPr>
            </w:pPr>
          </w:p>
        </w:tc>
        <w:tc>
          <w:tcPr>
            <w:tcW w:w="6406" w:type="dxa"/>
            <w:gridSpan w:val="2"/>
          </w:tcPr>
          <w:p w14:paraId="51B7D492" w14:textId="77777777" w:rsidR="00063F10" w:rsidRPr="00063F10" w:rsidRDefault="00063F10" w:rsidP="00063F10">
            <w:pPr>
              <w:rPr>
                <w:rFonts w:ascii="Calibri" w:eastAsia="Yu Mincho" w:hAnsi="Calibri"/>
                <w:color w:val="231F20"/>
                <w:sz w:val="20"/>
                <w:szCs w:val="22"/>
              </w:rPr>
            </w:pPr>
          </w:p>
        </w:tc>
        <w:tc>
          <w:tcPr>
            <w:tcW w:w="779" w:type="dxa"/>
          </w:tcPr>
          <w:p w14:paraId="1462BD62" w14:textId="77777777" w:rsidR="00063F10" w:rsidRPr="00063F10" w:rsidRDefault="00063F10" w:rsidP="00063F10">
            <w:pPr>
              <w:keepLines/>
              <w:spacing w:before="60" w:after="60"/>
              <w:rPr>
                <w:rFonts w:ascii="Calibri" w:eastAsia="Yu Mincho" w:hAnsi="Calibri"/>
                <w:sz w:val="20"/>
                <w:szCs w:val="20"/>
                <w:u w:val="single"/>
              </w:rPr>
            </w:pPr>
            <w:r w:rsidRPr="00063F10">
              <w:rPr>
                <w:rFonts w:ascii="Calibri" w:eastAsia="Yu Mincho" w:hAnsi="Calibri"/>
                <w:sz w:val="20"/>
                <w:szCs w:val="20"/>
                <w:u w:val="single"/>
              </w:rPr>
              <w:t>40.4</w:t>
            </w:r>
          </w:p>
        </w:tc>
        <w:tc>
          <w:tcPr>
            <w:tcW w:w="6353" w:type="dxa"/>
            <w:gridSpan w:val="2"/>
          </w:tcPr>
          <w:p w14:paraId="2B081200" w14:textId="77777777" w:rsidR="00063F10" w:rsidRPr="00063F10" w:rsidRDefault="00063F10" w:rsidP="00063F10">
            <w:pPr>
              <w:keepLines/>
              <w:spacing w:before="60" w:after="60"/>
              <w:rPr>
                <w:rFonts w:ascii="Calibri" w:eastAsia="Yu Mincho" w:hAnsi="Calibri"/>
                <w:strike/>
                <w:color w:val="231F20"/>
                <w:sz w:val="20"/>
                <w:szCs w:val="22"/>
                <w:u w:val="single"/>
              </w:rPr>
            </w:pPr>
            <w:r w:rsidRPr="00063F10">
              <w:rPr>
                <w:rFonts w:ascii="Calibri" w:eastAsia="Yu Mincho" w:hAnsi="Calibri"/>
                <w:color w:val="231F20"/>
                <w:sz w:val="20"/>
                <w:szCs w:val="20"/>
                <w:u w:val="single"/>
              </w:rPr>
              <w:t>Le Comité peut décider de placer les éléments retirés des listes de la Convention dans un recueil du patrimoine culturel immatériel.</w:t>
            </w:r>
            <w:r w:rsidRPr="00063F10">
              <w:rPr>
                <w:rFonts w:ascii="Calibri" w:eastAsia="Yu Mincho" w:hAnsi="Calibri"/>
                <w:color w:val="231F20"/>
                <w:sz w:val="20"/>
                <w:szCs w:val="20"/>
                <w:u w:val="single"/>
                <w:vertAlign w:val="superscript"/>
              </w:rPr>
              <w:footnoteReference w:id="27"/>
            </w:r>
          </w:p>
        </w:tc>
      </w:tr>
      <w:tr w:rsidR="00063F10" w:rsidRPr="00063F10" w14:paraId="097E2C72" w14:textId="77777777" w:rsidTr="00063F10">
        <w:tc>
          <w:tcPr>
            <w:tcW w:w="741" w:type="dxa"/>
            <w:shd w:val="clear" w:color="auto" w:fill="F2F2F2"/>
          </w:tcPr>
          <w:p w14:paraId="7EB779F0" w14:textId="77777777" w:rsidR="00063F10" w:rsidRPr="00063F10" w:rsidRDefault="00063F10" w:rsidP="00063F10">
            <w:pPr>
              <w:keepNext/>
              <w:keepLines/>
              <w:spacing w:before="120" w:after="120"/>
              <w:rPr>
                <w:rFonts w:ascii="Calibri" w:eastAsia="Yu Mincho" w:hAnsi="Calibri"/>
                <w:sz w:val="22"/>
                <w:szCs w:val="22"/>
              </w:rPr>
            </w:pPr>
            <w:r w:rsidRPr="00063F10">
              <w:rPr>
                <w:rFonts w:ascii="Calibri" w:eastAsia="Yu Mincho" w:hAnsi="Calibri"/>
                <w:b/>
                <w:bCs/>
                <w:color w:val="1F4E79"/>
                <w:sz w:val="22"/>
                <w:szCs w:val="22"/>
              </w:rPr>
              <w:t>I.15</w:t>
            </w:r>
          </w:p>
        </w:tc>
        <w:tc>
          <w:tcPr>
            <w:tcW w:w="6406" w:type="dxa"/>
            <w:gridSpan w:val="2"/>
            <w:shd w:val="clear" w:color="auto" w:fill="F2F2F2"/>
          </w:tcPr>
          <w:p w14:paraId="5FCDD802" w14:textId="77777777" w:rsidR="00063F10" w:rsidRPr="00063F10" w:rsidRDefault="00063F10" w:rsidP="00063F10">
            <w:pPr>
              <w:keepNext/>
              <w:keepLines/>
              <w:spacing w:before="120" w:after="120"/>
              <w:rPr>
                <w:rFonts w:ascii="Calibri" w:eastAsia="Yu Mincho" w:hAnsi="Calibri"/>
                <w:color w:val="231F20"/>
                <w:sz w:val="20"/>
                <w:szCs w:val="22"/>
              </w:rPr>
            </w:pPr>
            <w:r w:rsidRPr="00063F10">
              <w:rPr>
                <w:rFonts w:ascii="Calibri" w:eastAsia="Yu Mincho" w:hAnsi="Calibri"/>
                <w:b/>
                <w:bCs/>
                <w:color w:val="1F4E79"/>
                <w:sz w:val="22"/>
                <w:szCs w:val="22"/>
              </w:rPr>
              <w:t>Calendrier – Vue d’ensemble des procédures</w:t>
            </w:r>
          </w:p>
        </w:tc>
        <w:tc>
          <w:tcPr>
            <w:tcW w:w="779" w:type="dxa"/>
            <w:shd w:val="clear" w:color="auto" w:fill="F2F2F2"/>
          </w:tcPr>
          <w:p w14:paraId="76E4AD40" w14:textId="77777777" w:rsidR="00063F10" w:rsidRPr="00063F10" w:rsidRDefault="00063F10" w:rsidP="00063F10">
            <w:pPr>
              <w:keepNext/>
              <w:keepLines/>
              <w:spacing w:before="120" w:after="120"/>
              <w:rPr>
                <w:rFonts w:ascii="Calibri" w:eastAsia="Yu Mincho" w:hAnsi="Calibri"/>
                <w:sz w:val="22"/>
                <w:szCs w:val="22"/>
              </w:rPr>
            </w:pPr>
            <w:r w:rsidRPr="00063F10">
              <w:rPr>
                <w:rFonts w:ascii="Calibri" w:eastAsia="Yu Mincho" w:hAnsi="Calibri"/>
                <w:b/>
                <w:bCs/>
                <w:color w:val="1F4E79"/>
                <w:sz w:val="22"/>
                <w:szCs w:val="22"/>
              </w:rPr>
              <w:t>I.15</w:t>
            </w:r>
          </w:p>
        </w:tc>
        <w:tc>
          <w:tcPr>
            <w:tcW w:w="6353" w:type="dxa"/>
            <w:gridSpan w:val="2"/>
            <w:shd w:val="clear" w:color="auto" w:fill="F2F2F2"/>
          </w:tcPr>
          <w:p w14:paraId="3DD75900" w14:textId="77777777" w:rsidR="00063F10" w:rsidRPr="00063F10" w:rsidRDefault="00063F10" w:rsidP="00063F10">
            <w:pPr>
              <w:keepNext/>
              <w:keepLines/>
              <w:spacing w:before="120" w:after="120"/>
              <w:rPr>
                <w:rFonts w:ascii="Calibri" w:eastAsia="Yu Mincho" w:hAnsi="Calibri"/>
                <w:color w:val="231F20"/>
                <w:sz w:val="22"/>
                <w:szCs w:val="22"/>
              </w:rPr>
            </w:pPr>
            <w:r w:rsidRPr="00063F10">
              <w:rPr>
                <w:rFonts w:ascii="Calibri" w:eastAsia="Yu Mincho" w:hAnsi="Calibri"/>
                <w:color w:val="231F20"/>
                <w:sz w:val="22"/>
                <w:szCs w:val="22"/>
              </w:rPr>
              <w:t>[Sans changement.]</w:t>
            </w:r>
          </w:p>
        </w:tc>
      </w:tr>
      <w:tr w:rsidR="00063F10" w:rsidRPr="00063F10" w14:paraId="31ECD90B" w14:textId="77777777" w:rsidTr="00063F10">
        <w:tc>
          <w:tcPr>
            <w:tcW w:w="741" w:type="dxa"/>
            <w:vMerge w:val="restart"/>
          </w:tcPr>
          <w:p w14:paraId="487BC3EA"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rPr>
              <w:t>54.</w:t>
            </w:r>
          </w:p>
        </w:tc>
        <w:tc>
          <w:tcPr>
            <w:tcW w:w="6406" w:type="dxa"/>
            <w:gridSpan w:val="2"/>
          </w:tcPr>
          <w:p w14:paraId="4F17D22E" w14:textId="77777777" w:rsidR="00063F10" w:rsidRPr="00063F10" w:rsidRDefault="00063F10" w:rsidP="00063F10">
            <w:pPr>
              <w:keepLines/>
              <w:spacing w:before="60" w:after="60"/>
              <w:rPr>
                <w:rFonts w:ascii="Calibri" w:eastAsia="Yu Mincho" w:hAnsi="Calibri"/>
                <w:sz w:val="20"/>
                <w:szCs w:val="22"/>
              </w:rPr>
            </w:pPr>
            <w:r w:rsidRPr="00063F10">
              <w:rPr>
                <w:rFonts w:ascii="Calibri" w:eastAsia="Yu Mincho" w:hAnsi="Calibri"/>
                <w:color w:val="231F20"/>
                <w:sz w:val="20"/>
                <w:szCs w:val="22"/>
              </w:rPr>
              <w:t>Phase</w:t>
            </w:r>
            <w:r w:rsidRPr="00063F10">
              <w:rPr>
                <w:rFonts w:ascii="Calibri" w:eastAsia="Yu Mincho" w:hAnsi="Calibri"/>
                <w:color w:val="231F20"/>
                <w:spacing w:val="-12"/>
                <w:sz w:val="20"/>
                <w:szCs w:val="22"/>
              </w:rPr>
              <w:t xml:space="preserve"> </w:t>
            </w:r>
            <w:proofErr w:type="gramStart"/>
            <w:r w:rsidRPr="00063F10">
              <w:rPr>
                <w:rFonts w:ascii="Calibri" w:eastAsia="Yu Mincho" w:hAnsi="Calibri"/>
                <w:color w:val="231F20"/>
                <w:sz w:val="20"/>
                <w:szCs w:val="22"/>
              </w:rPr>
              <w:t>1:</w:t>
            </w:r>
            <w:proofErr w:type="gramEnd"/>
            <w:r w:rsidRPr="00063F10">
              <w:rPr>
                <w:rFonts w:ascii="Calibri" w:eastAsia="Yu Mincho" w:hAnsi="Calibri"/>
                <w:color w:val="231F20"/>
                <w:sz w:val="20"/>
                <w:szCs w:val="22"/>
              </w:rPr>
              <w:t xml:space="preserve"> Préparation</w:t>
            </w:r>
            <w:r w:rsidRPr="00063F10">
              <w:rPr>
                <w:rFonts w:ascii="Calibri" w:eastAsia="Yu Mincho" w:hAnsi="Calibri"/>
                <w:color w:val="231F20"/>
                <w:spacing w:val="-28"/>
                <w:sz w:val="20"/>
                <w:szCs w:val="22"/>
              </w:rPr>
              <w:t xml:space="preserve"> </w:t>
            </w:r>
            <w:r w:rsidRPr="00063F10">
              <w:rPr>
                <w:rFonts w:ascii="Calibri" w:eastAsia="Yu Mincho" w:hAnsi="Calibri"/>
                <w:color w:val="231F20"/>
                <w:sz w:val="20"/>
                <w:szCs w:val="22"/>
              </w:rPr>
              <w:t>et</w:t>
            </w:r>
            <w:r w:rsidRPr="00063F10">
              <w:rPr>
                <w:rFonts w:ascii="Calibri" w:eastAsia="Yu Mincho" w:hAnsi="Calibri"/>
                <w:color w:val="231F20"/>
                <w:spacing w:val="-28"/>
                <w:sz w:val="20"/>
                <w:szCs w:val="22"/>
              </w:rPr>
              <w:t xml:space="preserve"> </w:t>
            </w:r>
            <w:r w:rsidRPr="00063F10">
              <w:rPr>
                <w:rFonts w:ascii="Calibri" w:eastAsia="Yu Mincho" w:hAnsi="Calibri"/>
                <w:color w:val="231F20"/>
                <w:sz w:val="20"/>
                <w:szCs w:val="22"/>
              </w:rPr>
              <w:t>soumission</w:t>
            </w:r>
          </w:p>
        </w:tc>
        <w:tc>
          <w:tcPr>
            <w:tcW w:w="779" w:type="dxa"/>
          </w:tcPr>
          <w:p w14:paraId="5FE7174F" w14:textId="77777777" w:rsidR="00063F10" w:rsidRPr="00063F10" w:rsidRDefault="00063F10" w:rsidP="00063F10">
            <w:pPr>
              <w:keepLines/>
              <w:spacing w:before="60" w:after="60"/>
              <w:rPr>
                <w:rFonts w:ascii="Calibri" w:eastAsia="Yu Mincho" w:hAnsi="Calibri"/>
                <w:sz w:val="20"/>
                <w:szCs w:val="20"/>
              </w:rPr>
            </w:pPr>
            <w:r w:rsidRPr="00063F10">
              <w:rPr>
                <w:rFonts w:ascii="Calibri" w:eastAsia="Yu Mincho" w:hAnsi="Calibri"/>
                <w:sz w:val="20"/>
                <w:szCs w:val="20"/>
              </w:rPr>
              <w:t>54.</w:t>
            </w:r>
          </w:p>
        </w:tc>
        <w:tc>
          <w:tcPr>
            <w:tcW w:w="6353" w:type="dxa"/>
            <w:gridSpan w:val="2"/>
          </w:tcPr>
          <w:p w14:paraId="3F76216B" w14:textId="77777777" w:rsidR="00063F10" w:rsidRPr="00063F10" w:rsidRDefault="00063F10" w:rsidP="00063F10">
            <w:pPr>
              <w:keepLines/>
              <w:spacing w:before="60" w:after="60"/>
              <w:rPr>
                <w:rFonts w:ascii="Calibri" w:eastAsia="Yu Mincho" w:hAnsi="Calibri"/>
                <w:color w:val="231F20"/>
                <w:sz w:val="20"/>
                <w:szCs w:val="20"/>
              </w:rPr>
            </w:pPr>
          </w:p>
        </w:tc>
      </w:tr>
      <w:tr w:rsidR="00063F10" w:rsidRPr="00063F10" w14:paraId="27866A2E" w14:textId="77777777" w:rsidTr="00063F10">
        <w:tc>
          <w:tcPr>
            <w:tcW w:w="741" w:type="dxa"/>
            <w:vMerge/>
          </w:tcPr>
          <w:p w14:paraId="664F464C" w14:textId="77777777" w:rsidR="00063F10" w:rsidRPr="00063F10" w:rsidRDefault="00063F10" w:rsidP="00063F10">
            <w:pPr>
              <w:rPr>
                <w:rFonts w:ascii="Calibri" w:eastAsia="Yu Mincho" w:hAnsi="Calibri"/>
                <w:sz w:val="22"/>
                <w:szCs w:val="22"/>
              </w:rPr>
            </w:pPr>
          </w:p>
        </w:tc>
        <w:tc>
          <w:tcPr>
            <w:tcW w:w="1948" w:type="dxa"/>
          </w:tcPr>
          <w:p w14:paraId="0A48C082"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color w:val="231F20"/>
                <w:sz w:val="20"/>
                <w:szCs w:val="20"/>
              </w:rPr>
              <w:t>31 mars</w:t>
            </w:r>
          </w:p>
          <w:p w14:paraId="240DE81C" w14:textId="77777777" w:rsidR="00063F10" w:rsidRPr="00063F10" w:rsidRDefault="00063F10" w:rsidP="00063F10">
            <w:pPr>
              <w:rPr>
                <w:rFonts w:ascii="Calibri" w:eastAsia="Yu Mincho" w:hAnsi="Calibri"/>
                <w:color w:val="231F20"/>
                <w:sz w:val="20"/>
                <w:szCs w:val="22"/>
              </w:rPr>
            </w:pPr>
            <w:r w:rsidRPr="00063F10">
              <w:rPr>
                <w:rFonts w:ascii="Calibri" w:eastAsia="Yu Mincho" w:hAnsi="Calibri"/>
                <w:color w:val="231F20"/>
                <w:sz w:val="20"/>
                <w:szCs w:val="20"/>
              </w:rPr>
              <w:t>Année 0</w:t>
            </w:r>
          </w:p>
        </w:tc>
        <w:tc>
          <w:tcPr>
            <w:tcW w:w="4458" w:type="dxa"/>
          </w:tcPr>
          <w:p w14:paraId="448E4C71" w14:textId="77777777" w:rsidR="00063F10" w:rsidRPr="00063F10" w:rsidRDefault="00063F10" w:rsidP="00063F10">
            <w:pPr>
              <w:keepLines/>
              <w:spacing w:before="60" w:after="60"/>
              <w:rPr>
                <w:rFonts w:ascii="Calibri" w:eastAsia="Yu Mincho" w:hAnsi="Calibri"/>
                <w:color w:val="231F20"/>
                <w:sz w:val="20"/>
                <w:szCs w:val="22"/>
              </w:rPr>
            </w:pPr>
            <w:r w:rsidRPr="00063F10">
              <w:rPr>
                <w:rFonts w:ascii="Calibri" w:eastAsia="Yu Mincho" w:hAnsi="Calibri"/>
                <w:sz w:val="20"/>
                <w:szCs w:val="20"/>
              </w:rPr>
              <w:t>Date limite pour les demandes d’assistance préparatoire en vue de l’élaboration de dossiers de candidature pour la Liste du patrimoine culturel immatériel nécessitant une sauvegarde urgente et de propositions de programmes, projets et activités reflétant le mieux les objectifs de la Convention (article 18).</w:t>
            </w:r>
          </w:p>
        </w:tc>
        <w:tc>
          <w:tcPr>
            <w:tcW w:w="779" w:type="dxa"/>
          </w:tcPr>
          <w:p w14:paraId="221775D3" w14:textId="77777777" w:rsidR="00063F10" w:rsidRPr="00063F10" w:rsidRDefault="00063F10" w:rsidP="00063F10">
            <w:pPr>
              <w:rPr>
                <w:rFonts w:ascii="Calibri" w:eastAsia="Yu Mincho" w:hAnsi="Calibri"/>
                <w:sz w:val="22"/>
                <w:szCs w:val="22"/>
              </w:rPr>
            </w:pPr>
          </w:p>
        </w:tc>
        <w:tc>
          <w:tcPr>
            <w:tcW w:w="1748" w:type="dxa"/>
          </w:tcPr>
          <w:p w14:paraId="790FF345"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color w:val="231F20"/>
                <w:sz w:val="20"/>
                <w:szCs w:val="22"/>
              </w:rPr>
              <w:t>31</w:t>
            </w:r>
            <w:r w:rsidRPr="00063F10">
              <w:rPr>
                <w:rFonts w:ascii="Calibri" w:eastAsia="Yu Mincho" w:hAnsi="Calibri"/>
                <w:color w:val="231F20"/>
                <w:sz w:val="20"/>
                <w:szCs w:val="20"/>
              </w:rPr>
              <w:t xml:space="preserve"> mars</w:t>
            </w:r>
          </w:p>
          <w:p w14:paraId="73F4932D" w14:textId="77777777" w:rsidR="00063F10" w:rsidRPr="00063F10" w:rsidRDefault="00063F10" w:rsidP="00063F10">
            <w:pPr>
              <w:ind w:right="462"/>
              <w:rPr>
                <w:rFonts w:ascii="Calibri" w:eastAsia="Yu Mincho" w:hAnsi="Calibri"/>
                <w:color w:val="231F20"/>
                <w:sz w:val="20"/>
                <w:szCs w:val="20"/>
              </w:rPr>
            </w:pPr>
            <w:r w:rsidRPr="00063F10">
              <w:rPr>
                <w:rFonts w:ascii="Calibri" w:eastAsia="Yu Mincho" w:hAnsi="Calibri"/>
                <w:color w:val="231F20"/>
                <w:sz w:val="20"/>
                <w:szCs w:val="20"/>
              </w:rPr>
              <w:t>Année 0</w:t>
            </w:r>
          </w:p>
        </w:tc>
        <w:tc>
          <w:tcPr>
            <w:tcW w:w="4605" w:type="dxa"/>
          </w:tcPr>
          <w:p w14:paraId="08BF21F5"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sz w:val="20"/>
                <w:szCs w:val="20"/>
              </w:rPr>
              <w:t xml:space="preserve">Date limite pour les demandes d’assistance préparatoire. </w:t>
            </w:r>
            <w:proofErr w:type="gramStart"/>
            <w:r w:rsidRPr="00063F10">
              <w:rPr>
                <w:rFonts w:ascii="Calibri" w:eastAsia="Yu Mincho" w:hAnsi="Calibri"/>
                <w:strike/>
                <w:sz w:val="20"/>
                <w:szCs w:val="20"/>
              </w:rPr>
              <w:t>en</w:t>
            </w:r>
            <w:proofErr w:type="gramEnd"/>
            <w:r w:rsidRPr="00063F10">
              <w:rPr>
                <w:rFonts w:ascii="Calibri" w:eastAsia="Yu Mincho" w:hAnsi="Calibri"/>
                <w:strike/>
                <w:sz w:val="20"/>
                <w:szCs w:val="20"/>
              </w:rPr>
              <w:t xml:space="preserve"> vue de l’élaboration de dossiers de candidature pour la Liste du patrimoine culturel immatériel nécessitant une sauvegarde urgente et de propositions de programmes, projets et activités reflétant le mieux les objectifs de la Convention (article 18)</w:t>
            </w:r>
            <w:r w:rsidRPr="00063F10">
              <w:rPr>
                <w:rFonts w:ascii="Calibri" w:eastAsia="Yu Mincho" w:hAnsi="Calibri"/>
                <w:sz w:val="20"/>
                <w:szCs w:val="20"/>
              </w:rPr>
              <w:t>.</w:t>
            </w:r>
          </w:p>
        </w:tc>
      </w:tr>
      <w:tr w:rsidR="00063F10" w:rsidRPr="00063F10" w14:paraId="1099F0BB" w14:textId="77777777" w:rsidTr="00063F10">
        <w:tc>
          <w:tcPr>
            <w:tcW w:w="741" w:type="dxa"/>
            <w:vMerge/>
          </w:tcPr>
          <w:p w14:paraId="6AA426B3" w14:textId="77777777" w:rsidR="00063F10" w:rsidRPr="00063F10" w:rsidRDefault="00063F10" w:rsidP="00063F10">
            <w:pPr>
              <w:rPr>
                <w:rFonts w:ascii="Calibri" w:eastAsia="Yu Mincho" w:hAnsi="Calibri"/>
                <w:sz w:val="22"/>
                <w:szCs w:val="22"/>
              </w:rPr>
            </w:pPr>
          </w:p>
        </w:tc>
        <w:tc>
          <w:tcPr>
            <w:tcW w:w="1948" w:type="dxa"/>
          </w:tcPr>
          <w:p w14:paraId="366D7F83" w14:textId="77777777" w:rsidR="00063F10" w:rsidRPr="00063F10" w:rsidRDefault="00063F10" w:rsidP="00063F10">
            <w:pPr>
              <w:rPr>
                <w:rFonts w:ascii="Calibri" w:eastAsia="Yu Mincho" w:hAnsi="Calibri"/>
                <w:color w:val="231F20"/>
                <w:sz w:val="20"/>
                <w:szCs w:val="20"/>
              </w:rPr>
            </w:pPr>
            <w:r w:rsidRPr="00063F10">
              <w:rPr>
                <w:rFonts w:ascii="Calibri" w:eastAsia="Yu Mincho" w:hAnsi="Calibri"/>
                <w:color w:val="231F20"/>
                <w:sz w:val="20"/>
                <w:szCs w:val="20"/>
              </w:rPr>
              <w:t>-</w:t>
            </w:r>
          </w:p>
        </w:tc>
        <w:tc>
          <w:tcPr>
            <w:tcW w:w="4458" w:type="dxa"/>
          </w:tcPr>
          <w:p w14:paraId="21C1A04E" w14:textId="77777777" w:rsidR="00063F10" w:rsidRPr="00063F10" w:rsidRDefault="00063F10" w:rsidP="00063F10">
            <w:pPr>
              <w:rPr>
                <w:rFonts w:ascii="Calibri" w:eastAsia="Yu Mincho" w:hAnsi="Calibri"/>
                <w:color w:val="231F20"/>
                <w:sz w:val="20"/>
                <w:szCs w:val="20"/>
              </w:rPr>
            </w:pPr>
            <w:r w:rsidRPr="00063F10">
              <w:rPr>
                <w:rFonts w:ascii="Calibri" w:eastAsia="Yu Mincho" w:hAnsi="Calibri"/>
                <w:color w:val="231F20"/>
                <w:sz w:val="20"/>
                <w:szCs w:val="20"/>
              </w:rPr>
              <w:t>-</w:t>
            </w:r>
          </w:p>
        </w:tc>
        <w:tc>
          <w:tcPr>
            <w:tcW w:w="779" w:type="dxa"/>
          </w:tcPr>
          <w:p w14:paraId="1C2F9067" w14:textId="77777777" w:rsidR="00063F10" w:rsidRPr="00063F10" w:rsidRDefault="00063F10" w:rsidP="00063F10">
            <w:pPr>
              <w:rPr>
                <w:rFonts w:ascii="Calibri" w:eastAsia="Yu Mincho" w:hAnsi="Calibri"/>
                <w:sz w:val="22"/>
                <w:szCs w:val="22"/>
              </w:rPr>
            </w:pPr>
          </w:p>
        </w:tc>
        <w:tc>
          <w:tcPr>
            <w:tcW w:w="1748" w:type="dxa"/>
          </w:tcPr>
          <w:p w14:paraId="67C37E81" w14:textId="77777777" w:rsidR="00063F10" w:rsidRPr="00063F10" w:rsidRDefault="00063F10" w:rsidP="00063F10">
            <w:pPr>
              <w:keepLines/>
              <w:spacing w:before="60" w:after="60"/>
              <w:rPr>
                <w:rFonts w:ascii="Calibri" w:eastAsia="Yu Mincho" w:hAnsi="Calibri"/>
                <w:color w:val="231F20"/>
                <w:sz w:val="20"/>
                <w:szCs w:val="20"/>
                <w:u w:val="single"/>
              </w:rPr>
            </w:pPr>
            <w:r w:rsidRPr="00063F10">
              <w:rPr>
                <w:rFonts w:ascii="Calibri" w:eastAsia="Yu Mincho" w:hAnsi="Calibri"/>
                <w:color w:val="231F20"/>
                <w:sz w:val="20"/>
                <w:szCs w:val="20"/>
                <w:u w:val="single"/>
              </w:rPr>
              <w:t>15 décembre</w:t>
            </w:r>
            <w:r w:rsidRPr="00063F10">
              <w:rPr>
                <w:rFonts w:ascii="Calibri" w:eastAsia="Yu Mincho" w:hAnsi="Calibri"/>
                <w:color w:val="231F20"/>
                <w:sz w:val="20"/>
                <w:szCs w:val="20"/>
                <w:u w:val="single"/>
                <w:vertAlign w:val="superscript"/>
              </w:rPr>
              <w:footnoteReference w:id="28"/>
            </w:r>
            <w:r w:rsidRPr="00063F10">
              <w:rPr>
                <w:rFonts w:ascii="Calibri" w:eastAsia="Yu Mincho" w:hAnsi="Calibri"/>
                <w:color w:val="231F20"/>
                <w:sz w:val="20"/>
                <w:szCs w:val="20"/>
                <w:u w:val="single"/>
              </w:rPr>
              <w:br/>
              <w:t>Année 0</w:t>
            </w:r>
          </w:p>
        </w:tc>
        <w:tc>
          <w:tcPr>
            <w:tcW w:w="4605" w:type="dxa"/>
          </w:tcPr>
          <w:p w14:paraId="51D918D1" w14:textId="77777777" w:rsidR="00063F10" w:rsidRPr="00063F10" w:rsidRDefault="00063F10" w:rsidP="00063F10">
            <w:pPr>
              <w:keepLines/>
              <w:spacing w:before="60" w:after="60"/>
              <w:rPr>
                <w:rFonts w:ascii="Calibri" w:eastAsia="Yu Mincho" w:hAnsi="Calibri"/>
                <w:color w:val="231F20"/>
                <w:sz w:val="20"/>
                <w:szCs w:val="20"/>
                <w:u w:val="single"/>
              </w:rPr>
            </w:pPr>
            <w:r w:rsidRPr="00063F10">
              <w:rPr>
                <w:rFonts w:ascii="Calibri" w:eastAsia="Yu Mincho" w:hAnsi="Calibri"/>
                <w:color w:val="231F20"/>
                <w:sz w:val="20"/>
                <w:szCs w:val="20"/>
                <w:u w:val="single"/>
              </w:rPr>
              <w:t xml:space="preserve">Date limite pour la soumission des demandes de transfert de la </w:t>
            </w:r>
            <w:r w:rsidRPr="00063F10">
              <w:rPr>
                <w:rFonts w:ascii="Calibri" w:eastAsia="Yu Mincho" w:hAnsi="Calibri"/>
                <w:sz w:val="20"/>
                <w:szCs w:val="20"/>
                <w:u w:val="single"/>
              </w:rPr>
              <w:t xml:space="preserve">Liste du patrimoine culturel immatériel nécessitant une sauvegarde urgente </w:t>
            </w:r>
            <w:r w:rsidRPr="00063F10">
              <w:rPr>
                <w:rFonts w:ascii="Calibri" w:eastAsia="Yu Mincho" w:hAnsi="Calibri"/>
                <w:color w:val="231F20"/>
                <w:sz w:val="20"/>
                <w:szCs w:val="20"/>
                <w:u w:val="single"/>
              </w:rPr>
              <w:t>à la Liste représentative du patrimoine culturel immatériel de l’humanité.</w:t>
            </w:r>
          </w:p>
        </w:tc>
      </w:tr>
      <w:tr w:rsidR="00063F10" w:rsidRPr="00063F10" w14:paraId="29B83387" w14:textId="77777777" w:rsidTr="00063F10">
        <w:tc>
          <w:tcPr>
            <w:tcW w:w="741" w:type="dxa"/>
            <w:vMerge/>
          </w:tcPr>
          <w:p w14:paraId="7CB4F180" w14:textId="77777777" w:rsidR="00063F10" w:rsidRPr="00063F10" w:rsidRDefault="00063F10" w:rsidP="00063F10">
            <w:pPr>
              <w:rPr>
                <w:rFonts w:ascii="Calibri" w:eastAsia="Yu Mincho" w:hAnsi="Calibri"/>
                <w:sz w:val="22"/>
                <w:szCs w:val="22"/>
              </w:rPr>
            </w:pPr>
          </w:p>
        </w:tc>
        <w:tc>
          <w:tcPr>
            <w:tcW w:w="1948" w:type="dxa"/>
          </w:tcPr>
          <w:p w14:paraId="44A1A4D9"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color w:val="231F20"/>
                <w:sz w:val="20"/>
                <w:szCs w:val="20"/>
              </w:rPr>
              <w:t>31 mars</w:t>
            </w:r>
          </w:p>
          <w:p w14:paraId="083E01A9" w14:textId="77777777" w:rsidR="00063F10" w:rsidRPr="00063F10" w:rsidRDefault="00063F10" w:rsidP="00063F10">
            <w:pPr>
              <w:rPr>
                <w:rFonts w:ascii="Calibri" w:eastAsia="Yu Mincho" w:hAnsi="Calibri"/>
                <w:color w:val="231F20"/>
                <w:sz w:val="20"/>
                <w:szCs w:val="20"/>
              </w:rPr>
            </w:pPr>
            <w:r w:rsidRPr="00063F10">
              <w:rPr>
                <w:rFonts w:ascii="Calibri" w:eastAsia="Yu Mincho" w:hAnsi="Calibri"/>
                <w:color w:val="231F20"/>
                <w:sz w:val="20"/>
                <w:szCs w:val="20"/>
              </w:rPr>
              <w:t>Année 1</w:t>
            </w:r>
          </w:p>
        </w:tc>
        <w:tc>
          <w:tcPr>
            <w:tcW w:w="4458" w:type="dxa"/>
          </w:tcPr>
          <w:p w14:paraId="4DD2684A"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sz w:val="20"/>
                <w:szCs w:val="20"/>
              </w:rPr>
              <w:t>Date limite à laquelle les candidatures pour la Liste du patrimoine culturel immatériel nécessitant une sauvegarde urgente et la Liste représentative du patrimoine culturel immatériel de l’humanité, les propositions de programmes, projets et activités et les demandes d’assistance internationale supérieures à 100 000 dollars des États-Unis doivent avoir été reçues par le Secrétariat. Les dossiers reçus après cette date sont examinés au cycle suivant. Le Secrétariat publie sur le site Internet de la Convention les dossiers tels qu’ils ont été reçus, dans leur langue originale.</w:t>
            </w:r>
          </w:p>
        </w:tc>
        <w:tc>
          <w:tcPr>
            <w:tcW w:w="779" w:type="dxa"/>
          </w:tcPr>
          <w:p w14:paraId="1BF7CC0E" w14:textId="77777777" w:rsidR="00063F10" w:rsidRPr="00063F10" w:rsidRDefault="00063F10" w:rsidP="00063F10">
            <w:pPr>
              <w:rPr>
                <w:rFonts w:ascii="Calibri" w:eastAsia="Yu Mincho" w:hAnsi="Calibri"/>
                <w:sz w:val="22"/>
                <w:szCs w:val="22"/>
              </w:rPr>
            </w:pPr>
          </w:p>
        </w:tc>
        <w:tc>
          <w:tcPr>
            <w:tcW w:w="1748" w:type="dxa"/>
          </w:tcPr>
          <w:p w14:paraId="0C5C0184"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color w:val="231F20"/>
                <w:sz w:val="20"/>
                <w:szCs w:val="20"/>
              </w:rPr>
              <w:t>[Sans changement.]</w:t>
            </w:r>
          </w:p>
        </w:tc>
        <w:tc>
          <w:tcPr>
            <w:tcW w:w="4605" w:type="dxa"/>
          </w:tcPr>
          <w:p w14:paraId="40B2E2EB"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color w:val="231F20"/>
                <w:sz w:val="20"/>
                <w:szCs w:val="20"/>
              </w:rPr>
              <w:t>[Sans changement.]</w:t>
            </w:r>
          </w:p>
        </w:tc>
      </w:tr>
      <w:tr w:rsidR="00063F10" w:rsidRPr="00063F10" w14:paraId="2F6124F2" w14:textId="77777777" w:rsidTr="00063F10">
        <w:tc>
          <w:tcPr>
            <w:tcW w:w="741" w:type="dxa"/>
            <w:vMerge/>
          </w:tcPr>
          <w:p w14:paraId="1A9D99F0" w14:textId="77777777" w:rsidR="00063F10" w:rsidRPr="00063F10" w:rsidRDefault="00063F10" w:rsidP="00063F10">
            <w:pPr>
              <w:rPr>
                <w:rFonts w:ascii="Calibri" w:eastAsia="Yu Mincho" w:hAnsi="Calibri"/>
                <w:sz w:val="22"/>
                <w:szCs w:val="22"/>
              </w:rPr>
            </w:pPr>
          </w:p>
        </w:tc>
        <w:tc>
          <w:tcPr>
            <w:tcW w:w="1948" w:type="dxa"/>
          </w:tcPr>
          <w:p w14:paraId="2B274223"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color w:val="231F20"/>
                <w:sz w:val="20"/>
                <w:szCs w:val="20"/>
              </w:rPr>
              <w:t>30 juin</w:t>
            </w:r>
          </w:p>
          <w:p w14:paraId="1C210A2A" w14:textId="77777777" w:rsidR="00063F10" w:rsidRPr="00063F10" w:rsidRDefault="00063F10" w:rsidP="00063F10">
            <w:pPr>
              <w:rPr>
                <w:rFonts w:ascii="Calibri" w:eastAsia="Yu Mincho" w:hAnsi="Calibri"/>
                <w:color w:val="231F20"/>
                <w:sz w:val="20"/>
                <w:szCs w:val="20"/>
              </w:rPr>
            </w:pPr>
            <w:r w:rsidRPr="00063F10">
              <w:rPr>
                <w:rFonts w:ascii="Calibri" w:eastAsia="Yu Mincho" w:hAnsi="Calibri"/>
                <w:color w:val="231F20"/>
                <w:sz w:val="20"/>
                <w:szCs w:val="20"/>
              </w:rPr>
              <w:t>Année 1</w:t>
            </w:r>
          </w:p>
        </w:tc>
        <w:tc>
          <w:tcPr>
            <w:tcW w:w="4458" w:type="dxa"/>
          </w:tcPr>
          <w:p w14:paraId="3A8FB1BE"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sz w:val="20"/>
                <w:szCs w:val="20"/>
              </w:rPr>
              <w:t>Date limite à laquelle le Secrétariat doit avoir traité les dossiers, y compris l’enregistrement et l’accusé de réception. Si un dossier est incomplet, l’État partie est invité à le compléter.</w:t>
            </w:r>
          </w:p>
        </w:tc>
        <w:tc>
          <w:tcPr>
            <w:tcW w:w="779" w:type="dxa"/>
          </w:tcPr>
          <w:p w14:paraId="35A2A09D" w14:textId="77777777" w:rsidR="00063F10" w:rsidRPr="00063F10" w:rsidRDefault="00063F10" w:rsidP="00063F10">
            <w:pPr>
              <w:rPr>
                <w:rFonts w:ascii="Calibri" w:eastAsia="Yu Mincho" w:hAnsi="Calibri"/>
                <w:sz w:val="22"/>
                <w:szCs w:val="22"/>
              </w:rPr>
            </w:pPr>
          </w:p>
        </w:tc>
        <w:tc>
          <w:tcPr>
            <w:tcW w:w="1748" w:type="dxa"/>
          </w:tcPr>
          <w:p w14:paraId="3AF871AA"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color w:val="231F20"/>
                <w:sz w:val="20"/>
                <w:szCs w:val="20"/>
              </w:rPr>
              <w:t>[Sans changement.]</w:t>
            </w:r>
          </w:p>
        </w:tc>
        <w:tc>
          <w:tcPr>
            <w:tcW w:w="4605" w:type="dxa"/>
          </w:tcPr>
          <w:p w14:paraId="682D5D4C"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color w:val="231F20"/>
                <w:sz w:val="20"/>
                <w:szCs w:val="20"/>
              </w:rPr>
              <w:t>[Sans changement.]</w:t>
            </w:r>
          </w:p>
        </w:tc>
      </w:tr>
      <w:tr w:rsidR="00063F10" w:rsidRPr="00063F10" w14:paraId="3C9E2EE6" w14:textId="77777777" w:rsidTr="00063F10">
        <w:tc>
          <w:tcPr>
            <w:tcW w:w="741" w:type="dxa"/>
            <w:vMerge/>
          </w:tcPr>
          <w:p w14:paraId="3CD326D0" w14:textId="77777777" w:rsidR="00063F10" w:rsidRPr="00063F10" w:rsidRDefault="00063F10" w:rsidP="00063F10">
            <w:pPr>
              <w:rPr>
                <w:rFonts w:ascii="Calibri" w:eastAsia="Yu Mincho" w:hAnsi="Calibri"/>
                <w:sz w:val="22"/>
                <w:szCs w:val="22"/>
              </w:rPr>
            </w:pPr>
          </w:p>
        </w:tc>
        <w:tc>
          <w:tcPr>
            <w:tcW w:w="1948" w:type="dxa"/>
          </w:tcPr>
          <w:p w14:paraId="0B84DDAC"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color w:val="231F20"/>
                <w:sz w:val="20"/>
                <w:szCs w:val="20"/>
              </w:rPr>
              <w:t>30 septembre</w:t>
            </w:r>
          </w:p>
          <w:p w14:paraId="0338B660" w14:textId="77777777" w:rsidR="00063F10" w:rsidRPr="00063F10" w:rsidRDefault="00063F10" w:rsidP="00063F10">
            <w:pPr>
              <w:rPr>
                <w:rFonts w:ascii="Calibri" w:eastAsia="Yu Mincho" w:hAnsi="Calibri"/>
                <w:color w:val="231F20"/>
                <w:sz w:val="20"/>
                <w:szCs w:val="20"/>
              </w:rPr>
            </w:pPr>
            <w:r w:rsidRPr="00063F10">
              <w:rPr>
                <w:rFonts w:ascii="Calibri" w:eastAsia="Yu Mincho" w:hAnsi="Calibri"/>
                <w:color w:val="231F20"/>
                <w:sz w:val="20"/>
                <w:szCs w:val="20"/>
              </w:rPr>
              <w:t>Année 1</w:t>
            </w:r>
          </w:p>
        </w:tc>
        <w:tc>
          <w:tcPr>
            <w:tcW w:w="4458" w:type="dxa"/>
          </w:tcPr>
          <w:p w14:paraId="31B93EC4"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sz w:val="20"/>
                <w:szCs w:val="20"/>
              </w:rPr>
              <w:t xml:space="preserve">Date limite à laquelle les informations manquantes requises pour compléter le dossier, si nécessaire, doivent être soumises par l’État partie au Secrétariat. Les dossiers restés incomplets sont retournés aux États parties qui peuvent les compléter pour un prochain cycle. Les dossiers révisés par les États soumissionnaires et transmis au Secrétariat </w:t>
            </w:r>
            <w:proofErr w:type="gramStart"/>
            <w:r w:rsidRPr="00063F10">
              <w:rPr>
                <w:rFonts w:ascii="Calibri" w:eastAsia="Yu Mincho" w:hAnsi="Calibri"/>
                <w:sz w:val="20"/>
                <w:szCs w:val="20"/>
              </w:rPr>
              <w:t>suite à</w:t>
            </w:r>
            <w:proofErr w:type="gramEnd"/>
            <w:r w:rsidRPr="00063F10">
              <w:rPr>
                <w:rFonts w:ascii="Calibri" w:eastAsia="Yu Mincho" w:hAnsi="Calibri"/>
                <w:sz w:val="20"/>
                <w:szCs w:val="20"/>
              </w:rPr>
              <w:t xml:space="preserve"> ses demandes d’informations complémentaires sont publiés sur le site et remplacent les dossiers initialement reçus. Leurs traductions en anglais ou en français sont également publiées sur le site dès qu’elles sont disponibles.</w:t>
            </w:r>
          </w:p>
        </w:tc>
        <w:tc>
          <w:tcPr>
            <w:tcW w:w="779" w:type="dxa"/>
          </w:tcPr>
          <w:p w14:paraId="2AA9C065" w14:textId="77777777" w:rsidR="00063F10" w:rsidRPr="00063F10" w:rsidRDefault="00063F10" w:rsidP="00063F10">
            <w:pPr>
              <w:rPr>
                <w:rFonts w:ascii="Calibri" w:eastAsia="Yu Mincho" w:hAnsi="Calibri"/>
                <w:sz w:val="22"/>
                <w:szCs w:val="22"/>
              </w:rPr>
            </w:pPr>
          </w:p>
        </w:tc>
        <w:tc>
          <w:tcPr>
            <w:tcW w:w="1748" w:type="dxa"/>
          </w:tcPr>
          <w:p w14:paraId="4D46AF58"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color w:val="231F20"/>
                <w:sz w:val="20"/>
                <w:szCs w:val="20"/>
              </w:rPr>
              <w:t>[Sans changement.]</w:t>
            </w:r>
          </w:p>
        </w:tc>
        <w:tc>
          <w:tcPr>
            <w:tcW w:w="4605" w:type="dxa"/>
          </w:tcPr>
          <w:p w14:paraId="2BC195D7"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color w:val="231F20"/>
                <w:sz w:val="20"/>
                <w:szCs w:val="20"/>
              </w:rPr>
              <w:t>[Sans changement.]</w:t>
            </w:r>
          </w:p>
        </w:tc>
      </w:tr>
      <w:tr w:rsidR="00063F10" w:rsidRPr="00063F10" w14:paraId="6911657B" w14:textId="77777777" w:rsidTr="00063F10">
        <w:tc>
          <w:tcPr>
            <w:tcW w:w="741" w:type="dxa"/>
          </w:tcPr>
          <w:p w14:paraId="1B7A0692" w14:textId="77777777" w:rsidR="00063F10" w:rsidRPr="00063F10" w:rsidRDefault="00063F10" w:rsidP="00063F10">
            <w:pPr>
              <w:rPr>
                <w:rFonts w:ascii="Calibri" w:eastAsia="Yu Mincho" w:hAnsi="Calibri"/>
                <w:sz w:val="22"/>
                <w:szCs w:val="22"/>
              </w:rPr>
            </w:pPr>
          </w:p>
        </w:tc>
        <w:tc>
          <w:tcPr>
            <w:tcW w:w="1948" w:type="dxa"/>
          </w:tcPr>
          <w:p w14:paraId="335AE0C9" w14:textId="77777777" w:rsidR="00063F10" w:rsidRPr="00063F10" w:rsidRDefault="00063F10" w:rsidP="00063F10">
            <w:pPr>
              <w:rPr>
                <w:rFonts w:ascii="Calibri" w:eastAsia="Yu Mincho" w:hAnsi="Calibri"/>
                <w:color w:val="231F20"/>
                <w:sz w:val="20"/>
                <w:szCs w:val="20"/>
              </w:rPr>
            </w:pPr>
          </w:p>
        </w:tc>
        <w:tc>
          <w:tcPr>
            <w:tcW w:w="4458" w:type="dxa"/>
          </w:tcPr>
          <w:p w14:paraId="406E5F61" w14:textId="77777777" w:rsidR="00063F10" w:rsidRPr="00063F10" w:rsidRDefault="00063F10" w:rsidP="00063F10">
            <w:pPr>
              <w:rPr>
                <w:rFonts w:ascii="Calibri" w:eastAsia="Yu Mincho" w:hAnsi="Calibri"/>
                <w:color w:val="231F20"/>
                <w:sz w:val="20"/>
                <w:szCs w:val="20"/>
              </w:rPr>
            </w:pPr>
            <w:r w:rsidRPr="00063F10">
              <w:rPr>
                <w:rFonts w:ascii="Calibri" w:eastAsia="Yu Mincho" w:hAnsi="Calibri"/>
                <w:color w:val="231F20"/>
                <w:sz w:val="20"/>
                <w:szCs w:val="20"/>
              </w:rPr>
              <w:t>--</w:t>
            </w:r>
          </w:p>
        </w:tc>
        <w:tc>
          <w:tcPr>
            <w:tcW w:w="779" w:type="dxa"/>
          </w:tcPr>
          <w:p w14:paraId="654DD657" w14:textId="77777777" w:rsidR="00063F10" w:rsidRPr="00063F10" w:rsidRDefault="00063F10" w:rsidP="00063F10">
            <w:pPr>
              <w:rPr>
                <w:rFonts w:ascii="Calibri" w:eastAsia="Yu Mincho" w:hAnsi="Calibri"/>
                <w:sz w:val="22"/>
                <w:szCs w:val="22"/>
              </w:rPr>
            </w:pPr>
          </w:p>
        </w:tc>
        <w:tc>
          <w:tcPr>
            <w:tcW w:w="1748" w:type="dxa"/>
          </w:tcPr>
          <w:p w14:paraId="7624BA18" w14:textId="77777777" w:rsidR="00063F10" w:rsidRPr="00063F10" w:rsidRDefault="00063F10" w:rsidP="00063F10">
            <w:pPr>
              <w:keepLines/>
              <w:spacing w:before="60" w:after="60"/>
              <w:rPr>
                <w:rFonts w:ascii="Calibri" w:eastAsia="Yu Mincho" w:hAnsi="Calibri"/>
                <w:color w:val="231F20"/>
                <w:sz w:val="20"/>
                <w:szCs w:val="20"/>
              </w:rPr>
            </w:pPr>
            <w:r w:rsidRPr="00063F10">
              <w:rPr>
                <w:rFonts w:ascii="Calibri" w:eastAsia="Yu Mincho" w:hAnsi="Calibri"/>
                <w:color w:val="231F20"/>
                <w:sz w:val="20"/>
                <w:szCs w:val="20"/>
              </w:rPr>
              <w:t>31 janvier</w:t>
            </w:r>
            <w:r w:rsidRPr="00063F10">
              <w:rPr>
                <w:rFonts w:ascii="Calibri" w:eastAsia="Yu Mincho" w:hAnsi="Calibri"/>
                <w:color w:val="231F20"/>
                <w:sz w:val="20"/>
                <w:szCs w:val="20"/>
                <w:vertAlign w:val="superscript"/>
              </w:rPr>
              <w:footnoteReference w:id="29"/>
            </w:r>
          </w:p>
          <w:p w14:paraId="7A041989" w14:textId="77777777" w:rsidR="00063F10" w:rsidRPr="00063F10" w:rsidRDefault="00063F10" w:rsidP="00063F10">
            <w:pPr>
              <w:rPr>
                <w:rFonts w:ascii="Calibri" w:eastAsia="Yu Mincho" w:hAnsi="Calibri"/>
                <w:color w:val="231F20"/>
                <w:sz w:val="20"/>
                <w:szCs w:val="20"/>
              </w:rPr>
            </w:pPr>
            <w:r w:rsidRPr="00063F10">
              <w:rPr>
                <w:rFonts w:ascii="Calibri" w:eastAsia="Yu Mincho" w:hAnsi="Calibri"/>
                <w:color w:val="231F20"/>
                <w:sz w:val="20"/>
                <w:szCs w:val="20"/>
              </w:rPr>
              <w:t>Année 2</w:t>
            </w:r>
          </w:p>
        </w:tc>
        <w:tc>
          <w:tcPr>
            <w:tcW w:w="4605" w:type="dxa"/>
          </w:tcPr>
          <w:p w14:paraId="0A548F7D" w14:textId="77777777" w:rsidR="00063F10" w:rsidRPr="00063F10" w:rsidRDefault="00063F10" w:rsidP="00063F10">
            <w:pPr>
              <w:keepLines/>
              <w:spacing w:before="60" w:after="60"/>
              <w:rPr>
                <w:rFonts w:ascii="Calibri" w:eastAsia="Yu Mincho" w:hAnsi="Calibri"/>
                <w:color w:val="231F20"/>
                <w:sz w:val="20"/>
                <w:szCs w:val="20"/>
                <w:u w:val="single"/>
              </w:rPr>
            </w:pPr>
            <w:r w:rsidRPr="00063F10">
              <w:rPr>
                <w:rFonts w:ascii="Calibri" w:eastAsia="Yu Mincho" w:hAnsi="Calibri"/>
                <w:color w:val="231F20"/>
                <w:sz w:val="20"/>
                <w:szCs w:val="20"/>
                <w:u w:val="single"/>
              </w:rPr>
              <w:t xml:space="preserve">Date limite à laquelle les demandes de transfert de la Liste représentative du patrimoine culturel immatériel de l’humanité à la </w:t>
            </w:r>
            <w:r w:rsidRPr="00063F10">
              <w:rPr>
                <w:rFonts w:ascii="Calibri" w:eastAsia="Yu Mincho" w:hAnsi="Calibri"/>
                <w:sz w:val="20"/>
                <w:szCs w:val="20"/>
                <w:u w:val="single"/>
              </w:rPr>
              <w:t>Liste du patrimoine culturel immatériel nécessitant une sauvegarde urgente</w:t>
            </w:r>
            <w:r w:rsidRPr="00063F10">
              <w:rPr>
                <w:rFonts w:ascii="Calibri" w:eastAsia="Yu Mincho" w:hAnsi="Calibri"/>
                <w:color w:val="231F20"/>
                <w:sz w:val="20"/>
                <w:szCs w:val="20"/>
                <w:u w:val="single"/>
              </w:rPr>
              <w:t xml:space="preserve"> </w:t>
            </w:r>
            <w:proofErr w:type="gramStart"/>
            <w:r w:rsidRPr="00063F10">
              <w:rPr>
                <w:rFonts w:ascii="Calibri" w:eastAsia="Yu Mincho" w:hAnsi="Calibri"/>
                <w:color w:val="231F20"/>
                <w:sz w:val="20"/>
                <w:szCs w:val="20"/>
                <w:u w:val="single"/>
              </w:rPr>
              <w:t>doivent</w:t>
            </w:r>
            <w:proofErr w:type="gramEnd"/>
            <w:r w:rsidRPr="00063F10">
              <w:rPr>
                <w:rFonts w:ascii="Calibri" w:eastAsia="Yu Mincho" w:hAnsi="Calibri"/>
                <w:color w:val="231F20"/>
                <w:sz w:val="20"/>
                <w:szCs w:val="20"/>
                <w:u w:val="single"/>
              </w:rPr>
              <w:t xml:space="preserve"> être reçues par le Secrétariat. Le Secrétariat enregistre les demandes. Les demandes sont transmises à l’Organe d’évaluation la même année que leur soumission, sans vérifier si le dossier est complet.</w:t>
            </w:r>
            <w:r w:rsidRPr="00063F10">
              <w:rPr>
                <w:rFonts w:ascii="Calibri" w:eastAsia="Yu Mincho" w:hAnsi="Calibri"/>
                <w:sz w:val="20"/>
                <w:szCs w:val="20"/>
                <w:u w:val="single"/>
                <w:vertAlign w:val="superscript"/>
              </w:rPr>
              <w:footnoteReference w:id="30"/>
            </w:r>
          </w:p>
        </w:tc>
      </w:tr>
    </w:tbl>
    <w:p w14:paraId="5B6F0CED" w14:textId="77777777" w:rsidR="00063F10" w:rsidRPr="00063F10" w:rsidRDefault="00063F10" w:rsidP="00063F10">
      <w:pPr>
        <w:spacing w:after="160" w:line="259" w:lineRule="auto"/>
        <w:rPr>
          <w:rFonts w:ascii="Calibri" w:eastAsia="Yu Mincho" w:hAnsi="Calibri" w:cs="Arial"/>
          <w:sz w:val="22"/>
          <w:szCs w:val="22"/>
          <w:lang w:eastAsia="ja-JP"/>
        </w:rPr>
      </w:pPr>
    </w:p>
    <w:p w14:paraId="1B9E9F56" w14:textId="77777777" w:rsidR="00063F10" w:rsidRPr="00063F10" w:rsidRDefault="00063F10" w:rsidP="00063F10"/>
    <w:sectPr w:rsidR="00063F10" w:rsidRPr="00063F10" w:rsidSect="00063F10">
      <w:headerReference w:type="first" r:id="rId57"/>
      <w:pgSz w:w="16838" w:h="11906" w:orient="landscape" w:code="9"/>
      <w:pgMar w:top="1134" w:right="1418"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F2C9A" w14:textId="77777777" w:rsidR="00FD026F" w:rsidRDefault="00FD026F" w:rsidP="00655736">
      <w:r>
        <w:separator/>
      </w:r>
    </w:p>
    <w:p w14:paraId="5B4ED301" w14:textId="77777777" w:rsidR="00FD026F" w:rsidRDefault="00FD026F"/>
    <w:p w14:paraId="7A01BD01" w14:textId="77777777" w:rsidR="00FD026F" w:rsidRDefault="00FD026F" w:rsidP="002E58D4"/>
    <w:p w14:paraId="2FBCCD65" w14:textId="77777777" w:rsidR="00FD026F" w:rsidRDefault="00FD026F" w:rsidP="002E58D4"/>
    <w:p w14:paraId="7920633F" w14:textId="77777777" w:rsidR="00FD026F" w:rsidRDefault="00FD026F" w:rsidP="002E58D4"/>
  </w:endnote>
  <w:endnote w:type="continuationSeparator" w:id="0">
    <w:p w14:paraId="24714F7C" w14:textId="77777777" w:rsidR="00FD026F" w:rsidRDefault="00FD026F" w:rsidP="00655736">
      <w:r>
        <w:continuationSeparator/>
      </w:r>
    </w:p>
    <w:p w14:paraId="2A031586" w14:textId="77777777" w:rsidR="00FD026F" w:rsidRDefault="00FD026F"/>
    <w:p w14:paraId="535D8879" w14:textId="77777777" w:rsidR="00FD026F" w:rsidRDefault="00FD026F" w:rsidP="002E58D4"/>
    <w:p w14:paraId="46497F25" w14:textId="77777777" w:rsidR="00FD026F" w:rsidRDefault="00FD026F" w:rsidP="002E58D4"/>
    <w:p w14:paraId="0C9F8B95" w14:textId="77777777" w:rsidR="00FD026F" w:rsidRDefault="00FD026F"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Corps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755FD" w14:textId="4FC2A606" w:rsidR="00FD026F" w:rsidRDefault="00FD026F" w:rsidP="00FD026F">
      <w:r>
        <w:separator/>
      </w:r>
    </w:p>
  </w:footnote>
  <w:footnote w:type="continuationSeparator" w:id="0">
    <w:p w14:paraId="512413A2" w14:textId="179394CD" w:rsidR="00FD026F" w:rsidRDefault="00FD026F" w:rsidP="00FD026F">
      <w:r>
        <w:continuationSeparator/>
      </w:r>
    </w:p>
  </w:footnote>
  <w:footnote w:id="1">
    <w:p w14:paraId="40E92B17" w14:textId="77777777" w:rsidR="00FD026F" w:rsidRPr="005D23D7" w:rsidRDefault="00FD026F" w:rsidP="00212E43">
      <w:pPr>
        <w:pStyle w:val="Notedebasdepage"/>
        <w:ind w:left="567" w:hanging="567"/>
        <w:jc w:val="both"/>
        <w:rPr>
          <w:sz w:val="18"/>
          <w:szCs w:val="18"/>
        </w:rPr>
      </w:pPr>
      <w:r>
        <w:rPr>
          <w:rStyle w:val="Appelnotedebasdep"/>
        </w:rPr>
        <w:footnoteRef/>
      </w:r>
      <w:r>
        <w:t xml:space="preserve"> </w:t>
      </w:r>
      <w:r>
        <w:rPr>
          <w:sz w:val="18"/>
        </w:rPr>
        <w:tab/>
        <w:t xml:space="preserve">Des documents de référence et des informations à jour sur le processus de réflexion globale sont disponibles sur la page Web de la Convention de 2003 : </w:t>
      </w:r>
      <w:hyperlink r:id="rId1" w:history="1">
        <w:r>
          <w:rPr>
            <w:rStyle w:val="Lienhypertexte"/>
            <w:sz w:val="18"/>
          </w:rPr>
          <w:t>https://ich.unesco.org/fr/rflexion-globale-sur-les-mcanismes-dinscription-sur-les-listes-01164</w:t>
        </w:r>
      </w:hyperlink>
      <w:r>
        <w:rPr>
          <w:sz w:val="18"/>
        </w:rPr>
        <w:t>.</w:t>
      </w:r>
    </w:p>
  </w:footnote>
  <w:footnote w:id="2">
    <w:p w14:paraId="4C26E580" w14:textId="3FC84DF3" w:rsidR="00FD026F" w:rsidRPr="005D23D7" w:rsidRDefault="00FD026F" w:rsidP="00212E43">
      <w:pPr>
        <w:pStyle w:val="Notedebasdepage"/>
        <w:ind w:left="567" w:hanging="567"/>
        <w:jc w:val="both"/>
        <w:rPr>
          <w:sz w:val="18"/>
          <w:szCs w:val="18"/>
        </w:rPr>
      </w:pPr>
      <w:r>
        <w:rPr>
          <w:rStyle w:val="Appelnotedebasdep"/>
          <w:sz w:val="18"/>
          <w:szCs w:val="18"/>
        </w:rPr>
        <w:footnoteRef/>
      </w:r>
      <w:r>
        <w:rPr>
          <w:sz w:val="18"/>
        </w:rPr>
        <w:tab/>
        <w:t>Ce processus a abouti à un résultat concret, appelé « récolte précoce », concernant l’inclusion d'un dialogue, dans le cadre de l’examen des candidatures, entre l’Organe d’évaluation et les États soumissionnaires. En 2020, lors de sa huitième session, l’Assemblée générale a révisé les Directives opérationnelles afin d'officialiser cette étape supplémentaire (</w:t>
      </w:r>
      <w:r w:rsidRPr="00B75BB7">
        <w:rPr>
          <w:sz w:val="18"/>
        </w:rPr>
        <w:t>Résolution </w:t>
      </w:r>
      <w:hyperlink r:id="rId2" w:history="1">
        <w:r>
          <w:rPr>
            <w:rStyle w:val="Lienhypertexte"/>
            <w:sz w:val="18"/>
          </w:rPr>
          <w:t>8.GA 10</w:t>
        </w:r>
      </w:hyperlink>
      <w:r>
        <w:rPr>
          <w:sz w:val="18"/>
        </w:rPr>
        <w:t>).</w:t>
      </w:r>
    </w:p>
  </w:footnote>
  <w:footnote w:id="3">
    <w:p w14:paraId="136DB172" w14:textId="77777777" w:rsidR="00FD026F" w:rsidRPr="005D23D7" w:rsidRDefault="00FD026F" w:rsidP="00212E43">
      <w:pPr>
        <w:pStyle w:val="Notedebasdepage"/>
        <w:ind w:left="567" w:hanging="567"/>
        <w:jc w:val="both"/>
        <w:rPr>
          <w:sz w:val="18"/>
          <w:szCs w:val="18"/>
        </w:rPr>
      </w:pPr>
      <w:r>
        <w:rPr>
          <w:rStyle w:val="Appelnotedebasdep"/>
          <w:sz w:val="18"/>
          <w:szCs w:val="18"/>
        </w:rPr>
        <w:footnoteRef/>
      </w:r>
      <w:r>
        <w:rPr>
          <w:sz w:val="18"/>
        </w:rPr>
        <w:tab/>
        <w:t xml:space="preserve">L'enquête, notamment le mode de sélection des experts et ses résultats, est présentée en détail dans le document </w:t>
      </w:r>
      <w:hyperlink r:id="rId3" w:history="1">
        <w:r>
          <w:rPr>
            <w:rStyle w:val="Lienhypertexte"/>
            <w:sz w:val="18"/>
          </w:rPr>
          <w:t>LHE/21/EXP/5</w:t>
        </w:r>
      </w:hyperlink>
      <w:r>
        <w:rPr>
          <w:sz w:val="18"/>
        </w:rPr>
        <w:t xml:space="preserve"> (voir également la </w:t>
      </w:r>
      <w:hyperlink r:id="rId4" w:history="1">
        <w:r>
          <w:rPr>
            <w:rStyle w:val="Lienhypertexte"/>
            <w:sz w:val="18"/>
          </w:rPr>
          <w:t>compilation</w:t>
        </w:r>
      </w:hyperlink>
      <w:r>
        <w:rPr>
          <w:sz w:val="18"/>
        </w:rPr>
        <w:t xml:space="preserve"> des réponses).</w:t>
      </w:r>
    </w:p>
  </w:footnote>
  <w:footnote w:id="4">
    <w:p w14:paraId="723D142A" w14:textId="77777777" w:rsidR="00FD026F" w:rsidRPr="002E7AD7" w:rsidRDefault="00FD026F" w:rsidP="00212E43">
      <w:pPr>
        <w:pStyle w:val="Notedebasdepage"/>
        <w:ind w:left="567" w:hanging="567"/>
        <w:jc w:val="both"/>
      </w:pPr>
      <w:r>
        <w:rPr>
          <w:rStyle w:val="Appelnotedebasdep"/>
          <w:sz w:val="18"/>
          <w:szCs w:val="18"/>
        </w:rPr>
        <w:footnoteRef/>
      </w:r>
      <w:r>
        <w:rPr>
          <w:sz w:val="18"/>
        </w:rPr>
        <w:tab/>
        <w:t xml:space="preserve">Consulter la page </w:t>
      </w:r>
      <w:hyperlink r:id="rId5" w:history="1">
        <w:r>
          <w:rPr>
            <w:rStyle w:val="Lienhypertexte"/>
            <w:sz w:val="18"/>
          </w:rPr>
          <w:t>https://ich.unesco.org/fr/runion-dexperts-en-ligne-catgorie-vi-01165</w:t>
        </w:r>
      </w:hyperlink>
      <w:r>
        <w:rPr>
          <w:sz w:val="18"/>
        </w:rPr>
        <w:t xml:space="preserve"> pour connaître l'ordre du jour et le calendrier, la liste des participants et le document de référence.</w:t>
      </w:r>
    </w:p>
  </w:footnote>
  <w:footnote w:id="5">
    <w:p w14:paraId="60E10ED3" w14:textId="77777777" w:rsidR="00FD026F" w:rsidRPr="008751D9" w:rsidRDefault="00FD026F" w:rsidP="00063F10">
      <w:pPr>
        <w:pStyle w:val="Notedebasdepage"/>
      </w:pPr>
      <w:r w:rsidRPr="008751D9">
        <w:rPr>
          <w:rStyle w:val="Appelnotedebasdep"/>
        </w:rPr>
        <w:footnoteRef/>
      </w:r>
      <w:r w:rsidRPr="008751D9">
        <w:t xml:space="preserve"> Recommandation 3.</w:t>
      </w:r>
    </w:p>
  </w:footnote>
  <w:footnote w:id="6">
    <w:p w14:paraId="3502AE56" w14:textId="77777777" w:rsidR="00FD026F" w:rsidRPr="008751D9" w:rsidRDefault="00FD026F" w:rsidP="00063F10">
      <w:pPr>
        <w:pStyle w:val="Notedebasdepage"/>
      </w:pPr>
      <w:r w:rsidRPr="008751D9">
        <w:rPr>
          <w:rStyle w:val="Appelnotedebasdep"/>
        </w:rPr>
        <w:footnoteRef/>
      </w:r>
      <w:r w:rsidRPr="008751D9">
        <w:t xml:space="preserve"> Voir nouveau 16.3 et 16.4 pour le consentement des communautés.</w:t>
      </w:r>
    </w:p>
  </w:footnote>
  <w:footnote w:id="7">
    <w:p w14:paraId="42E6F27B" w14:textId="77777777" w:rsidR="00FD026F" w:rsidRPr="008751D9" w:rsidRDefault="00FD026F" w:rsidP="00063F10">
      <w:pPr>
        <w:pStyle w:val="Notedebasdepage"/>
      </w:pPr>
      <w:r w:rsidRPr="008751D9">
        <w:rPr>
          <w:rStyle w:val="Appelnotedebasdep"/>
        </w:rPr>
        <w:footnoteRef/>
      </w:r>
      <w:r w:rsidRPr="008751D9">
        <w:t xml:space="preserve"> Recommandation 7, Étape 0, point 1.</w:t>
      </w:r>
    </w:p>
  </w:footnote>
  <w:footnote w:id="8">
    <w:p w14:paraId="30F13F56" w14:textId="77777777" w:rsidR="00FD026F" w:rsidRPr="008751D9" w:rsidRDefault="00FD026F" w:rsidP="00063F10">
      <w:pPr>
        <w:pStyle w:val="Notedebasdepage"/>
      </w:pPr>
      <w:r w:rsidRPr="008751D9">
        <w:rPr>
          <w:rStyle w:val="Appelnotedebasdep"/>
        </w:rPr>
        <w:footnoteRef/>
      </w:r>
      <w:r w:rsidRPr="008751D9">
        <w:t xml:space="preserve"> Recommandation 7, Étape 1.a et b. </w:t>
      </w:r>
    </w:p>
  </w:footnote>
  <w:footnote w:id="9">
    <w:p w14:paraId="32179A3D" w14:textId="77777777" w:rsidR="00FD026F" w:rsidRPr="008751D9" w:rsidRDefault="00FD026F" w:rsidP="00063F10">
      <w:pPr>
        <w:pStyle w:val="Notedebasdepage"/>
      </w:pPr>
      <w:r w:rsidRPr="008751D9">
        <w:rPr>
          <w:rStyle w:val="Appelnotedebasdep"/>
        </w:rPr>
        <w:footnoteRef/>
      </w:r>
      <w:r w:rsidRPr="008751D9">
        <w:t xml:space="preserve"> Recommandation 7, Étape 1.a et b.</w:t>
      </w:r>
    </w:p>
  </w:footnote>
  <w:footnote w:id="10">
    <w:p w14:paraId="4E84E163" w14:textId="77777777" w:rsidR="00FD026F" w:rsidRPr="008751D9" w:rsidRDefault="00FD026F" w:rsidP="00063F10">
      <w:pPr>
        <w:pStyle w:val="Notedebasdepage"/>
      </w:pPr>
      <w:r w:rsidRPr="008751D9">
        <w:rPr>
          <w:rStyle w:val="Appelnotedebasdep"/>
        </w:rPr>
        <w:footnoteRef/>
      </w:r>
      <w:r w:rsidRPr="008751D9">
        <w:t xml:space="preserve"> Recommandation 8. </w:t>
      </w:r>
    </w:p>
  </w:footnote>
  <w:footnote w:id="11">
    <w:p w14:paraId="5AC77AE4" w14:textId="2D6124DA" w:rsidR="00FD026F" w:rsidRPr="008751D9" w:rsidRDefault="00FD026F" w:rsidP="00063F10">
      <w:pPr>
        <w:pStyle w:val="Notedebasdepage"/>
      </w:pPr>
      <w:r w:rsidRPr="008751D9">
        <w:rPr>
          <w:rStyle w:val="Appelnotedebasdep"/>
        </w:rPr>
        <w:footnoteRef/>
      </w:r>
      <w:r w:rsidRPr="008751D9">
        <w:t xml:space="preserve"> Recommandation 7, Étape 1.a et b.</w:t>
      </w:r>
    </w:p>
  </w:footnote>
  <w:footnote w:id="12">
    <w:p w14:paraId="31C25432" w14:textId="77777777" w:rsidR="00FD026F" w:rsidRPr="008751D9" w:rsidRDefault="00FD026F" w:rsidP="00063F10">
      <w:pPr>
        <w:pStyle w:val="Notedebasdepage"/>
      </w:pPr>
      <w:r w:rsidRPr="008751D9">
        <w:rPr>
          <w:rStyle w:val="Appelnotedebasdep"/>
        </w:rPr>
        <w:footnoteRef/>
      </w:r>
      <w:r w:rsidRPr="008751D9">
        <w:t xml:space="preserve"> Recommandation 5, Étape 1, points 5 et 9.</w:t>
      </w:r>
    </w:p>
  </w:footnote>
  <w:footnote w:id="13">
    <w:p w14:paraId="0724D411" w14:textId="77777777" w:rsidR="00FD026F" w:rsidRPr="008751D9" w:rsidRDefault="00FD026F" w:rsidP="00063F10">
      <w:pPr>
        <w:pStyle w:val="Notedebasdepage"/>
      </w:pPr>
      <w:r w:rsidRPr="008751D9">
        <w:rPr>
          <w:rStyle w:val="Appelnotedebasdep"/>
        </w:rPr>
        <w:footnoteRef/>
      </w:r>
      <w:r w:rsidRPr="008751D9">
        <w:t xml:space="preserve"> Recommandation 5, Étape 0, point 1.</w:t>
      </w:r>
    </w:p>
  </w:footnote>
  <w:footnote w:id="14">
    <w:p w14:paraId="2AE831BF" w14:textId="77777777" w:rsidR="00FD026F" w:rsidRPr="008751D9" w:rsidRDefault="00FD026F" w:rsidP="00063F10">
      <w:pPr>
        <w:pStyle w:val="Notedebasdepage"/>
      </w:pPr>
      <w:r w:rsidRPr="008751D9">
        <w:rPr>
          <w:rStyle w:val="Appelnotedebasdep"/>
        </w:rPr>
        <w:footnoteRef/>
      </w:r>
      <w:r w:rsidRPr="008751D9">
        <w:t xml:space="preserve"> Recommandation 5, Étape 0, point 1.</w:t>
      </w:r>
    </w:p>
  </w:footnote>
  <w:footnote w:id="15">
    <w:p w14:paraId="28C92E40" w14:textId="77777777" w:rsidR="00FD026F" w:rsidRPr="008751D9" w:rsidRDefault="00FD026F" w:rsidP="00063F10">
      <w:pPr>
        <w:pStyle w:val="Notedebasdepage"/>
      </w:pPr>
      <w:r w:rsidRPr="008751D9">
        <w:rPr>
          <w:rStyle w:val="Appelnotedebasdep"/>
        </w:rPr>
        <w:footnoteRef/>
      </w:r>
      <w:r w:rsidRPr="008751D9">
        <w:t xml:space="preserve"> Recommandation 7, Étape 0, point 2.</w:t>
      </w:r>
    </w:p>
  </w:footnote>
  <w:footnote w:id="16">
    <w:p w14:paraId="49001A20" w14:textId="77777777" w:rsidR="00FD026F" w:rsidRPr="008751D9" w:rsidRDefault="00FD026F" w:rsidP="00063F10">
      <w:pPr>
        <w:pStyle w:val="Notedebasdepage"/>
      </w:pPr>
      <w:r w:rsidRPr="008751D9">
        <w:rPr>
          <w:rStyle w:val="Appelnotedebasdep"/>
        </w:rPr>
        <w:footnoteRef/>
      </w:r>
      <w:r w:rsidRPr="008751D9">
        <w:t xml:space="preserve"> Recommandation 5, Étape 1, point 1.</w:t>
      </w:r>
    </w:p>
  </w:footnote>
  <w:footnote w:id="17">
    <w:p w14:paraId="23F72567" w14:textId="77777777" w:rsidR="00FD026F" w:rsidRPr="008751D9" w:rsidRDefault="00FD026F" w:rsidP="00063F10">
      <w:pPr>
        <w:pStyle w:val="Notedebasdepage"/>
      </w:pPr>
      <w:r w:rsidRPr="008751D9">
        <w:rPr>
          <w:rStyle w:val="Appelnotedebasdep"/>
        </w:rPr>
        <w:footnoteRef/>
      </w:r>
      <w:r w:rsidRPr="008751D9">
        <w:t xml:space="preserve"> Recommandation 5, Étape 0, point 2.</w:t>
      </w:r>
    </w:p>
  </w:footnote>
  <w:footnote w:id="18">
    <w:p w14:paraId="5B62A9D9" w14:textId="77777777" w:rsidR="00FD026F" w:rsidRPr="008751D9" w:rsidRDefault="00FD026F" w:rsidP="00063F10">
      <w:pPr>
        <w:pStyle w:val="Notedebasdepage"/>
      </w:pPr>
      <w:r w:rsidRPr="008751D9">
        <w:rPr>
          <w:rStyle w:val="Appelnotedebasdep"/>
        </w:rPr>
        <w:footnoteRef/>
      </w:r>
      <w:r w:rsidRPr="008751D9">
        <w:t xml:space="preserve"> Voir nouveau paragraphe 40.1.</w:t>
      </w:r>
    </w:p>
  </w:footnote>
  <w:footnote w:id="19">
    <w:p w14:paraId="731AC3F8" w14:textId="77777777" w:rsidR="00FD026F" w:rsidRPr="008751D9" w:rsidRDefault="00FD026F" w:rsidP="00063F10">
      <w:pPr>
        <w:pStyle w:val="Notedebasdepage"/>
      </w:pPr>
      <w:r w:rsidRPr="008751D9">
        <w:rPr>
          <w:rStyle w:val="Appelnotedebasdep"/>
        </w:rPr>
        <w:footnoteRef/>
      </w:r>
      <w:r w:rsidRPr="008751D9">
        <w:t xml:space="preserve"> Recommandation 5, Étape 2.</w:t>
      </w:r>
    </w:p>
  </w:footnote>
  <w:footnote w:id="20">
    <w:p w14:paraId="64DCEEA3" w14:textId="77777777" w:rsidR="00FD026F" w:rsidRPr="008751D9" w:rsidRDefault="00FD026F" w:rsidP="00063F10">
      <w:pPr>
        <w:pStyle w:val="Notedebasdepage"/>
      </w:pPr>
      <w:r w:rsidRPr="008751D9">
        <w:rPr>
          <w:rStyle w:val="Appelnotedebasdep"/>
        </w:rPr>
        <w:footnoteRef/>
      </w:r>
      <w:r w:rsidRPr="008751D9">
        <w:t xml:space="preserve"> Recommandation 5, Étape 1, point 2.</w:t>
      </w:r>
    </w:p>
  </w:footnote>
  <w:footnote w:id="21">
    <w:p w14:paraId="0ABBD2A3" w14:textId="77777777" w:rsidR="00FD026F" w:rsidRPr="008751D9" w:rsidRDefault="00FD026F" w:rsidP="00063F10">
      <w:pPr>
        <w:pStyle w:val="Notedebasdepage"/>
      </w:pPr>
      <w:r w:rsidRPr="008751D9">
        <w:rPr>
          <w:rStyle w:val="Appelnotedebasdep"/>
        </w:rPr>
        <w:footnoteRef/>
      </w:r>
      <w:r w:rsidRPr="008751D9">
        <w:t xml:space="preserve"> Recommandation 5, Étape 2.</w:t>
      </w:r>
    </w:p>
  </w:footnote>
  <w:footnote w:id="22">
    <w:p w14:paraId="628C6E83" w14:textId="77777777" w:rsidR="00FD026F" w:rsidRPr="008751D9" w:rsidRDefault="00FD026F" w:rsidP="00063F10">
      <w:pPr>
        <w:pStyle w:val="Notedebasdepage"/>
      </w:pPr>
      <w:r w:rsidRPr="008751D9">
        <w:rPr>
          <w:rStyle w:val="Appelnotedebasdep"/>
        </w:rPr>
        <w:footnoteRef/>
      </w:r>
      <w:r w:rsidRPr="008751D9">
        <w:t xml:space="preserve"> Recommandation 5, Étape 2, dernier point. </w:t>
      </w:r>
    </w:p>
  </w:footnote>
  <w:footnote w:id="23">
    <w:p w14:paraId="40787361" w14:textId="77777777" w:rsidR="00FD026F" w:rsidRPr="008751D9" w:rsidRDefault="00FD026F" w:rsidP="00063F10">
      <w:pPr>
        <w:pStyle w:val="Notedebasdepage"/>
      </w:pPr>
      <w:r w:rsidRPr="008751D9">
        <w:rPr>
          <w:rStyle w:val="Appelnotedebasdep"/>
        </w:rPr>
        <w:footnoteRef/>
      </w:r>
      <w:r w:rsidRPr="008751D9">
        <w:t xml:space="preserve"> Recommandation 6, Étape 6.</w:t>
      </w:r>
    </w:p>
  </w:footnote>
  <w:footnote w:id="24">
    <w:p w14:paraId="67EF1745" w14:textId="77777777" w:rsidR="00FD026F" w:rsidRPr="008751D9" w:rsidRDefault="00FD026F" w:rsidP="00063F10">
      <w:pPr>
        <w:pStyle w:val="Notedebasdepage"/>
      </w:pPr>
      <w:r w:rsidRPr="008751D9">
        <w:rPr>
          <w:rStyle w:val="Appelnotedebasdep"/>
        </w:rPr>
        <w:footnoteRef/>
      </w:r>
      <w:r w:rsidRPr="008751D9">
        <w:t xml:space="preserve"> Recommandation 6, Étape 1.</w:t>
      </w:r>
    </w:p>
  </w:footnote>
  <w:footnote w:id="25">
    <w:p w14:paraId="5A5C9366" w14:textId="77777777" w:rsidR="00FD026F" w:rsidRPr="008751D9" w:rsidRDefault="00FD026F" w:rsidP="00063F10">
      <w:pPr>
        <w:pStyle w:val="Notedebasdepage"/>
      </w:pPr>
      <w:r w:rsidRPr="008751D9">
        <w:rPr>
          <w:rStyle w:val="Appelnotedebasdep"/>
        </w:rPr>
        <w:footnoteRef/>
      </w:r>
      <w:r w:rsidRPr="008751D9">
        <w:t xml:space="preserve"> Recommandation 6.</w:t>
      </w:r>
    </w:p>
  </w:footnote>
  <w:footnote w:id="26">
    <w:p w14:paraId="2C8F8806" w14:textId="77777777" w:rsidR="00FD026F" w:rsidRPr="008751D9" w:rsidRDefault="00FD026F" w:rsidP="00063F10">
      <w:pPr>
        <w:pStyle w:val="Notedebasdepage"/>
      </w:pPr>
      <w:r w:rsidRPr="008751D9">
        <w:rPr>
          <w:rStyle w:val="Appelnotedebasdep"/>
        </w:rPr>
        <w:footnoteRef/>
      </w:r>
      <w:r w:rsidRPr="008751D9">
        <w:t xml:space="preserve"> Recommandation 6, Étape 5.</w:t>
      </w:r>
    </w:p>
  </w:footnote>
  <w:footnote w:id="27">
    <w:p w14:paraId="19620B19" w14:textId="77777777" w:rsidR="00FD026F" w:rsidRPr="008751D9" w:rsidRDefault="00FD026F" w:rsidP="00063F10">
      <w:pPr>
        <w:pStyle w:val="Notedebasdepage"/>
      </w:pPr>
      <w:r w:rsidRPr="008751D9">
        <w:rPr>
          <w:rStyle w:val="Appelnotedebasdep"/>
        </w:rPr>
        <w:footnoteRef/>
      </w:r>
      <w:r w:rsidRPr="008751D9">
        <w:t xml:space="preserve"> Recommandation 6.</w:t>
      </w:r>
    </w:p>
  </w:footnote>
  <w:footnote w:id="28">
    <w:p w14:paraId="61508B68" w14:textId="77777777" w:rsidR="00FD026F" w:rsidRPr="008751D9" w:rsidRDefault="00FD026F" w:rsidP="00063F10">
      <w:pPr>
        <w:pStyle w:val="Notedebasdepage"/>
      </w:pPr>
      <w:r w:rsidRPr="008751D9">
        <w:rPr>
          <w:rStyle w:val="Appelnotedebasdep"/>
        </w:rPr>
        <w:footnoteRef/>
      </w:r>
      <w:r w:rsidRPr="008751D9">
        <w:t xml:space="preserve"> Date limite pour les rapports sur le statut d’un élément du patrimoine culturel immatériel inscrit sur la Liste de sauvegarde urgente, tous les quatre ans après l’inscription de l’élément.</w:t>
      </w:r>
    </w:p>
  </w:footnote>
  <w:footnote w:id="29">
    <w:p w14:paraId="6A010000" w14:textId="77777777" w:rsidR="00FD026F" w:rsidRPr="008751D9" w:rsidRDefault="00FD026F" w:rsidP="00063F10">
      <w:pPr>
        <w:pStyle w:val="Notedebasdepage"/>
      </w:pPr>
      <w:r w:rsidRPr="008751D9">
        <w:rPr>
          <w:rStyle w:val="Appelnotedebasdep"/>
        </w:rPr>
        <w:footnoteRef/>
      </w:r>
      <w:r w:rsidRPr="008751D9">
        <w:t xml:space="preserve"> Recommandation 5, Étape 1, point 2.</w:t>
      </w:r>
    </w:p>
  </w:footnote>
  <w:footnote w:id="30">
    <w:p w14:paraId="4369FD6E" w14:textId="77777777" w:rsidR="00FD026F" w:rsidRPr="008751D9" w:rsidRDefault="00FD026F" w:rsidP="00063F10">
      <w:pPr>
        <w:pStyle w:val="Notedebasdepage"/>
      </w:pPr>
      <w:r w:rsidRPr="008751D9">
        <w:rPr>
          <w:rStyle w:val="Appelnotedebasdep"/>
        </w:rPr>
        <w:footnoteRef/>
      </w:r>
      <w:r w:rsidRPr="008751D9">
        <w:t xml:space="preserve"> Recommandation 5, Étape 3, point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35C5C" w14:textId="118528FE" w:rsidR="00FD026F" w:rsidRPr="002E58D4" w:rsidRDefault="00FD026F" w:rsidP="00461168">
    <w:pPr>
      <w:pStyle w:val="En-tte"/>
      <w:rPr>
        <w:rFonts w:ascii="Arial" w:hAnsi="Arial" w:cs="Arial"/>
        <w:lang w:val="en-US"/>
      </w:rPr>
    </w:pPr>
    <w:r>
      <w:rPr>
        <w:rFonts w:ascii="Arial" w:hAnsi="Arial" w:cs="Arial"/>
        <w:sz w:val="20"/>
        <w:szCs w:val="20"/>
        <w:lang w:val="en-US"/>
      </w:rPr>
      <w:t>LHE/21/16.COM/14</w:t>
    </w:r>
    <w:r w:rsidRPr="00EF563B">
      <w:rPr>
        <w:rFonts w:ascii="Arial" w:hAnsi="Arial" w:cs="Arial"/>
        <w:sz w:val="20"/>
        <w:szCs w:val="20"/>
        <w:lang w:val="en-US"/>
      </w:rPr>
      <w:t xml:space="preserve"> – page </w:t>
    </w:r>
    <w:r w:rsidRPr="00EF563B">
      <w:rPr>
        <w:rStyle w:val="Numrodepage"/>
        <w:rFonts w:ascii="Arial" w:hAnsi="Arial" w:cs="Arial"/>
        <w:sz w:val="20"/>
        <w:szCs w:val="20"/>
      </w:rPr>
      <w:fldChar w:fldCharType="begin"/>
    </w:r>
    <w:r w:rsidRPr="00EF563B">
      <w:rPr>
        <w:rStyle w:val="Numrodepage"/>
        <w:rFonts w:ascii="Arial" w:hAnsi="Arial" w:cs="Arial"/>
        <w:sz w:val="20"/>
        <w:szCs w:val="20"/>
        <w:lang w:val="en-US"/>
      </w:rPr>
      <w:instrText xml:space="preserve"> </w:instrText>
    </w:r>
    <w:r>
      <w:rPr>
        <w:rStyle w:val="Numrodepage"/>
        <w:rFonts w:ascii="Arial" w:hAnsi="Arial" w:cs="Arial"/>
        <w:sz w:val="20"/>
        <w:szCs w:val="20"/>
        <w:lang w:val="en-US"/>
      </w:rPr>
      <w:instrText>PAGE</w:instrText>
    </w:r>
    <w:r w:rsidRPr="00EF563B">
      <w:rPr>
        <w:rStyle w:val="Numrodepage"/>
        <w:rFonts w:ascii="Arial" w:hAnsi="Arial" w:cs="Arial"/>
        <w:sz w:val="20"/>
        <w:szCs w:val="20"/>
        <w:lang w:val="en-US"/>
      </w:rPr>
      <w:instrText xml:space="preserve"> </w:instrText>
    </w:r>
    <w:r w:rsidRPr="00EF563B">
      <w:rPr>
        <w:rStyle w:val="Numrodepage"/>
        <w:rFonts w:ascii="Arial" w:hAnsi="Arial" w:cs="Arial"/>
        <w:sz w:val="20"/>
        <w:szCs w:val="20"/>
      </w:rPr>
      <w:fldChar w:fldCharType="separate"/>
    </w:r>
    <w:r>
      <w:rPr>
        <w:rStyle w:val="Numrodepage"/>
        <w:rFonts w:ascii="Arial" w:hAnsi="Arial" w:cs="Arial"/>
        <w:noProof/>
        <w:sz w:val="20"/>
        <w:szCs w:val="20"/>
        <w:lang w:val="en-US"/>
      </w:rPr>
      <w:t>2</w:t>
    </w:r>
    <w:r w:rsidRPr="00EF563B">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F0CBE" w14:textId="12C59660" w:rsidR="00FD026F" w:rsidRPr="00BC3420" w:rsidRDefault="00FD026F" w:rsidP="00461168">
    <w:pPr>
      <w:pStyle w:val="En-tte"/>
      <w:jc w:val="right"/>
      <w:rPr>
        <w:rFonts w:ascii="Arial" w:hAnsi="Arial" w:cs="Arial"/>
        <w:lang w:val="en-US"/>
      </w:rPr>
    </w:pPr>
    <w:r>
      <w:rPr>
        <w:rFonts w:ascii="Arial" w:hAnsi="Arial" w:cs="Arial"/>
        <w:sz w:val="20"/>
        <w:szCs w:val="20"/>
        <w:lang w:val="en-US"/>
      </w:rPr>
      <w:t>LHE/21/16.COM/14</w:t>
    </w:r>
    <w:r w:rsidRPr="00EF563B">
      <w:rPr>
        <w:rFonts w:ascii="Arial" w:hAnsi="Arial" w:cs="Arial"/>
        <w:sz w:val="20"/>
        <w:szCs w:val="20"/>
        <w:lang w:val="en-US"/>
      </w:rPr>
      <w:t xml:space="preserve"> – page </w:t>
    </w:r>
    <w:r w:rsidRPr="00EF563B">
      <w:rPr>
        <w:rStyle w:val="Numrodepage"/>
        <w:rFonts w:ascii="Arial" w:hAnsi="Arial" w:cs="Arial"/>
        <w:sz w:val="20"/>
        <w:szCs w:val="20"/>
      </w:rPr>
      <w:fldChar w:fldCharType="begin"/>
    </w:r>
    <w:r w:rsidRPr="00EF563B">
      <w:rPr>
        <w:rStyle w:val="Numrodepage"/>
        <w:rFonts w:ascii="Arial" w:hAnsi="Arial" w:cs="Arial"/>
        <w:sz w:val="20"/>
        <w:szCs w:val="20"/>
        <w:lang w:val="en-US"/>
      </w:rPr>
      <w:instrText xml:space="preserve"> </w:instrText>
    </w:r>
    <w:r>
      <w:rPr>
        <w:rStyle w:val="Numrodepage"/>
        <w:rFonts w:ascii="Arial" w:hAnsi="Arial" w:cs="Arial"/>
        <w:sz w:val="20"/>
        <w:szCs w:val="20"/>
        <w:lang w:val="en-US"/>
      </w:rPr>
      <w:instrText>PAGE</w:instrText>
    </w:r>
    <w:r w:rsidRPr="00EF563B">
      <w:rPr>
        <w:rStyle w:val="Numrodepage"/>
        <w:rFonts w:ascii="Arial" w:hAnsi="Arial" w:cs="Arial"/>
        <w:sz w:val="20"/>
        <w:szCs w:val="20"/>
        <w:lang w:val="en-US"/>
      </w:rPr>
      <w:instrText xml:space="preserve"> </w:instrText>
    </w:r>
    <w:r w:rsidRPr="00EF563B">
      <w:rPr>
        <w:rStyle w:val="Numrodepage"/>
        <w:rFonts w:ascii="Arial" w:hAnsi="Arial" w:cs="Arial"/>
        <w:sz w:val="20"/>
        <w:szCs w:val="20"/>
      </w:rPr>
      <w:fldChar w:fldCharType="separate"/>
    </w:r>
    <w:r>
      <w:rPr>
        <w:rStyle w:val="Numrodepage"/>
        <w:rFonts w:ascii="Arial" w:hAnsi="Arial" w:cs="Arial"/>
        <w:noProof/>
        <w:sz w:val="20"/>
        <w:szCs w:val="20"/>
        <w:lang w:val="en-US"/>
      </w:rPr>
      <w:t>3</w:t>
    </w:r>
    <w:r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8E5A4" w14:textId="645F339E" w:rsidR="00FD026F" w:rsidRPr="008B64DF" w:rsidRDefault="00FD026F">
    <w:pPr>
      <w:pStyle w:val="En-tte"/>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56FF147C">
          <wp:simplePos x="0" y="0"/>
          <wp:positionH relativeFrom="column">
            <wp:posOffset>0</wp:posOffset>
          </wp:positionH>
          <wp:positionV relativeFrom="paragraph">
            <wp:posOffset>156210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5FD80152" w:rsidR="00FD026F" w:rsidRPr="00C318BF" w:rsidRDefault="00FD026F" w:rsidP="008F09EC">
    <w:pPr>
      <w:pStyle w:val="En-tte"/>
      <w:spacing w:after="520"/>
      <w:jc w:val="right"/>
      <w:rPr>
        <w:rFonts w:ascii="Arial" w:hAnsi="Arial" w:cs="Arial"/>
        <w:b/>
        <w:sz w:val="44"/>
        <w:szCs w:val="44"/>
        <w:lang w:val="pt-PT"/>
      </w:rPr>
    </w:pPr>
    <w:r w:rsidRPr="00C318BF">
      <w:rPr>
        <w:rFonts w:ascii="Arial" w:hAnsi="Arial" w:cs="Arial"/>
        <w:b/>
        <w:sz w:val="44"/>
        <w:szCs w:val="44"/>
        <w:lang w:val="pt-PT"/>
      </w:rPr>
      <w:t>1</w:t>
    </w:r>
    <w:r>
      <w:rPr>
        <w:rFonts w:ascii="Arial" w:hAnsi="Arial" w:cs="Arial"/>
        <w:b/>
        <w:sz w:val="44"/>
        <w:szCs w:val="44"/>
        <w:lang w:val="pt-PT"/>
      </w:rPr>
      <w:t>6</w:t>
    </w:r>
    <w:r w:rsidRPr="00C318BF">
      <w:rPr>
        <w:rFonts w:ascii="Arial" w:hAnsi="Arial" w:cs="Arial"/>
        <w:b/>
        <w:sz w:val="44"/>
        <w:szCs w:val="44"/>
        <w:lang w:val="pt-PT"/>
      </w:rPr>
      <w:t xml:space="preserve"> COM</w:t>
    </w:r>
  </w:p>
  <w:p w14:paraId="4AD38C3D" w14:textId="28ACFD68" w:rsidR="00FD026F" w:rsidRPr="00C318BF" w:rsidRDefault="00FD026F" w:rsidP="008F09EC">
    <w:pPr>
      <w:jc w:val="right"/>
      <w:rPr>
        <w:rFonts w:ascii="Arial" w:hAnsi="Arial" w:cs="Arial"/>
        <w:b/>
        <w:sz w:val="22"/>
        <w:szCs w:val="22"/>
        <w:lang w:val="pt-PT"/>
      </w:rPr>
    </w:pPr>
    <w:r w:rsidRPr="00C318BF">
      <w:rPr>
        <w:rFonts w:ascii="Arial" w:hAnsi="Arial" w:cs="Arial"/>
        <w:b/>
        <w:sz w:val="22"/>
        <w:szCs w:val="22"/>
        <w:lang w:val="pt-PT"/>
      </w:rPr>
      <w:t>LHE/</w:t>
    </w:r>
    <w:r>
      <w:rPr>
        <w:rFonts w:ascii="Arial" w:hAnsi="Arial" w:cs="Arial"/>
        <w:b/>
        <w:sz w:val="22"/>
        <w:szCs w:val="22"/>
        <w:lang w:val="pt-PT"/>
      </w:rPr>
      <w:t>21</w:t>
    </w:r>
    <w:r w:rsidRPr="00C318BF">
      <w:rPr>
        <w:rFonts w:ascii="Arial" w:hAnsi="Arial" w:cs="Arial"/>
        <w:b/>
        <w:sz w:val="22"/>
        <w:szCs w:val="22"/>
        <w:lang w:val="pt-PT"/>
      </w:rPr>
      <w:t>/1</w:t>
    </w:r>
    <w:r>
      <w:rPr>
        <w:rFonts w:ascii="Arial" w:hAnsi="Arial" w:cs="Arial"/>
        <w:b/>
        <w:sz w:val="22"/>
        <w:szCs w:val="22"/>
        <w:lang w:val="pt-PT"/>
      </w:rPr>
      <w:t>6</w:t>
    </w:r>
    <w:r w:rsidRPr="00C318BF">
      <w:rPr>
        <w:rFonts w:ascii="Arial" w:hAnsi="Arial" w:cs="Arial"/>
        <w:b/>
        <w:sz w:val="22"/>
        <w:szCs w:val="22"/>
        <w:lang w:val="pt-PT"/>
      </w:rPr>
      <w:t>.COM/</w:t>
    </w:r>
    <w:r>
      <w:rPr>
        <w:rFonts w:ascii="Arial" w:hAnsi="Arial" w:cs="Arial"/>
        <w:b/>
        <w:sz w:val="22"/>
        <w:szCs w:val="22"/>
        <w:lang w:val="pt-PT"/>
      </w:rPr>
      <w:t>14</w:t>
    </w:r>
  </w:p>
  <w:p w14:paraId="30B7DEB9" w14:textId="2941E03B" w:rsidR="00FD026F" w:rsidRPr="00C318BF" w:rsidRDefault="00FD026F" w:rsidP="007E60C6">
    <w:pPr>
      <w:jc w:val="right"/>
      <w:rPr>
        <w:rFonts w:ascii="Arial" w:eastAsiaTheme="minorEastAsia" w:hAnsi="Arial" w:cs="Arial"/>
        <w:b/>
        <w:sz w:val="22"/>
        <w:szCs w:val="22"/>
        <w:lang w:val="pt-PT" w:eastAsia="ko-KR"/>
      </w:rPr>
    </w:pPr>
    <w:r w:rsidRPr="00C318BF">
      <w:rPr>
        <w:rFonts w:ascii="Arial" w:hAnsi="Arial" w:cs="Arial"/>
        <w:b/>
        <w:sz w:val="22"/>
        <w:szCs w:val="22"/>
        <w:lang w:val="pt-PT"/>
      </w:rPr>
      <w:t xml:space="preserve">Paris, le </w:t>
    </w:r>
    <w:r w:rsidRPr="002D4200">
      <w:rPr>
        <w:rFonts w:ascii="Arial" w:hAnsi="Arial" w:cs="Arial"/>
        <w:b/>
        <w:sz w:val="22"/>
        <w:szCs w:val="22"/>
        <w:lang w:val="pt-PT"/>
      </w:rPr>
      <w:t>15 novembre 2021</w:t>
    </w:r>
  </w:p>
  <w:p w14:paraId="18E81B87" w14:textId="12AEE25F" w:rsidR="00FD026F" w:rsidRPr="002D4200" w:rsidRDefault="00FD026F" w:rsidP="00F84A0B">
    <w:pPr>
      <w:spacing w:after="240"/>
      <w:jc w:val="right"/>
      <w:rPr>
        <w:rFonts w:ascii="Arial" w:hAnsi="Arial" w:cs="Arial"/>
        <w:b/>
        <w:sz w:val="22"/>
        <w:szCs w:val="22"/>
        <w:lang w:val="pt-PT"/>
      </w:rPr>
    </w:pPr>
    <w:r w:rsidRPr="002D4200">
      <w:rPr>
        <w:rFonts w:ascii="Arial" w:hAnsi="Arial" w:cs="Arial"/>
        <w:b/>
        <w:sz w:val="22"/>
        <w:szCs w:val="22"/>
        <w:lang w:val="pt-PT"/>
      </w:rPr>
      <w:t>Original : a</w:t>
    </w:r>
    <w:r>
      <w:rPr>
        <w:rFonts w:ascii="Arial" w:hAnsi="Arial" w:cs="Arial"/>
        <w:b/>
        <w:sz w:val="22"/>
        <w:szCs w:val="22"/>
        <w:lang w:val="pt-PT"/>
      </w:rPr>
      <w:t>nglais</w:t>
    </w:r>
  </w:p>
  <w:p w14:paraId="1B74C5FD" w14:textId="77777777" w:rsidR="00FD026F" w:rsidRPr="002D4200" w:rsidRDefault="00FD026F">
    <w:pPr>
      <w:pStyle w:val="En-tte"/>
      <w:rPr>
        <w:sz w:val="22"/>
        <w:szCs w:val="22"/>
        <w:lang w:val="pt-P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7EB41" w14:textId="77777777" w:rsidR="00FD026F" w:rsidRPr="002D4200" w:rsidRDefault="00FD026F">
    <w:pPr>
      <w:pStyle w:val="En-tte"/>
      <w:rPr>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363B6"/>
    <w:multiLevelType w:val="hybridMultilevel"/>
    <w:tmpl w:val="C10C7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22A14ED"/>
    <w:multiLevelType w:val="hybridMultilevel"/>
    <w:tmpl w:val="B7C6D77C"/>
    <w:lvl w:ilvl="0" w:tplc="2CA87DE8">
      <w:start w:val="1"/>
      <w:numFmt w:val="lowerLetter"/>
      <w:lvlText w:val="(%1)"/>
      <w:lvlJc w:val="left"/>
      <w:pPr>
        <w:ind w:left="2067" w:hanging="42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57185A"/>
    <w:multiLevelType w:val="hybridMultilevel"/>
    <w:tmpl w:val="B484B112"/>
    <w:lvl w:ilvl="0" w:tplc="F00A72DC">
      <w:start w:val="1"/>
      <w:numFmt w:val="lowerLetter"/>
      <w:lvlText w:val="(%1)"/>
      <w:lvlJc w:val="left"/>
      <w:pPr>
        <w:ind w:left="720" w:hanging="360"/>
      </w:pPr>
      <w:rPr>
        <w:rFonts w:ascii="Calibri" w:eastAsia="Calibri" w:hAnsi="Calibri" w:cs="Calibri" w:hint="default"/>
        <w:color w:val="231F20"/>
        <w:w w:val="9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346ACA"/>
    <w:multiLevelType w:val="hybridMultilevel"/>
    <w:tmpl w:val="1AD4A10C"/>
    <w:lvl w:ilvl="0" w:tplc="FE8CD666">
      <w:start w:val="1"/>
      <w:numFmt w:val="lowerLetter"/>
      <w:lvlText w:val="(%1)"/>
      <w:lvlJc w:val="left"/>
      <w:pPr>
        <w:ind w:left="1287" w:hanging="360"/>
      </w:pPr>
      <w:rPr>
        <w:rFonts w:hint="default"/>
      </w:rPr>
    </w:lvl>
    <w:lvl w:ilvl="1" w:tplc="E2602B8E">
      <w:start w:val="1"/>
      <w:numFmt w:val="lowerLetter"/>
      <w:lvlText w:val="(%2)"/>
      <w:lvlJc w:val="left"/>
      <w:pPr>
        <w:ind w:left="2007" w:hanging="360"/>
      </w:pPr>
      <w:rPr>
        <w:rFonts w:hint="default"/>
        <w:i w:val="0"/>
        <w:iCs w:val="0"/>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7110F"/>
    <w:multiLevelType w:val="hybridMultilevel"/>
    <w:tmpl w:val="290E51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23441036"/>
    <w:multiLevelType w:val="hybridMultilevel"/>
    <w:tmpl w:val="8CB6C26E"/>
    <w:lvl w:ilvl="0" w:tplc="87DEB68C">
      <w:start w:val="1"/>
      <w:numFmt w:val="decimal"/>
      <w:lvlText w:val="%1."/>
      <w:lvlJc w:val="left"/>
      <w:pPr>
        <w:ind w:left="845" w:hanging="420"/>
      </w:pPr>
      <w:rPr>
        <w:rFonts w:asciiTheme="minorBidi" w:hAnsiTheme="minorBidi" w:cstheme="minorBidi" w:hint="default"/>
        <w:i w:val="0"/>
        <w:iCs w:val="0"/>
      </w:rPr>
    </w:lvl>
    <w:lvl w:ilvl="1" w:tplc="D0E46A0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C3612"/>
    <w:multiLevelType w:val="hybridMultilevel"/>
    <w:tmpl w:val="2408BAA6"/>
    <w:lvl w:ilvl="0" w:tplc="14543D44">
      <w:start w:val="1"/>
      <w:numFmt w:val="lowerLetter"/>
      <w:lvlText w:val="(%1)"/>
      <w:lvlJc w:val="left"/>
      <w:pPr>
        <w:ind w:left="2067" w:hanging="42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4E47B5"/>
    <w:multiLevelType w:val="hybridMultilevel"/>
    <w:tmpl w:val="68FE4832"/>
    <w:lvl w:ilvl="0" w:tplc="1BC24516">
      <w:start w:val="1"/>
      <w:numFmt w:val="upperRoman"/>
      <w:pStyle w:val="Titre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39787F86"/>
    <w:multiLevelType w:val="hybridMultilevel"/>
    <w:tmpl w:val="1D3001DC"/>
    <w:lvl w:ilvl="0" w:tplc="040C0001">
      <w:start w:val="1"/>
      <w:numFmt w:val="bullet"/>
      <w:lvlText w:val=""/>
      <w:lvlJc w:val="left"/>
      <w:pPr>
        <w:ind w:left="3240" w:hanging="360"/>
      </w:pPr>
      <w:rPr>
        <w:rFonts w:ascii="Symbol" w:hAnsi="Symbol" w:hint="default"/>
      </w:rPr>
    </w:lvl>
    <w:lvl w:ilvl="1" w:tplc="040C0003">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6"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5E35936"/>
    <w:multiLevelType w:val="hybridMultilevel"/>
    <w:tmpl w:val="18B4355E"/>
    <w:lvl w:ilvl="0" w:tplc="CB8C3BEA">
      <w:start w:val="1"/>
      <w:numFmt w:val="lowerLetter"/>
      <w:lvlText w:val="(%1)"/>
      <w:lvlJc w:val="left"/>
      <w:pPr>
        <w:ind w:left="2067" w:hanging="42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514D6D"/>
    <w:multiLevelType w:val="hybridMultilevel"/>
    <w:tmpl w:val="0BD2F828"/>
    <w:lvl w:ilvl="0" w:tplc="FFFFFFFF">
      <w:start w:val="1"/>
      <w:numFmt w:val="lowerLetter"/>
      <w:lvlText w:val="(%1)"/>
      <w:lvlJc w:val="left"/>
      <w:pPr>
        <w:ind w:left="785" w:hanging="360"/>
      </w:pPr>
      <w:rPr>
        <w:rFonts w:ascii="Calibri" w:eastAsia="Calibri" w:hAnsi="Calibri" w:cs="Calibri" w:hint="default"/>
        <w:strike w:val="0"/>
        <w:color w:val="231F20"/>
        <w:w w:val="90"/>
        <w:sz w:val="20"/>
        <w:szCs w:val="20"/>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0" w15:restartNumberingAfterBreak="0">
    <w:nsid w:val="506865AB"/>
    <w:multiLevelType w:val="hybridMultilevel"/>
    <w:tmpl w:val="0BD2F828"/>
    <w:lvl w:ilvl="0" w:tplc="FFFFFFFF">
      <w:start w:val="1"/>
      <w:numFmt w:val="lowerLetter"/>
      <w:lvlText w:val="(%1)"/>
      <w:lvlJc w:val="left"/>
      <w:pPr>
        <w:ind w:left="720" w:hanging="360"/>
      </w:pPr>
      <w:rPr>
        <w:rFonts w:ascii="Calibri" w:eastAsia="Calibri" w:hAnsi="Calibri" w:cs="Calibri" w:hint="default"/>
        <w:strike w:val="0"/>
        <w:color w:val="231F20"/>
        <w:w w:val="9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B3E4C"/>
    <w:multiLevelType w:val="hybridMultilevel"/>
    <w:tmpl w:val="78362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81E2473"/>
    <w:multiLevelType w:val="hybridMultilevel"/>
    <w:tmpl w:val="0BD2F828"/>
    <w:lvl w:ilvl="0" w:tplc="C2AA8E28">
      <w:start w:val="1"/>
      <w:numFmt w:val="lowerLetter"/>
      <w:lvlText w:val="(%1)"/>
      <w:lvlJc w:val="left"/>
      <w:pPr>
        <w:ind w:left="720" w:hanging="360"/>
      </w:pPr>
      <w:rPr>
        <w:rFonts w:ascii="Calibri" w:eastAsia="Calibri" w:hAnsi="Calibri" w:cs="Calibri" w:hint="default"/>
        <w:strike w:val="0"/>
        <w:color w:val="231F20"/>
        <w:w w:val="9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1E4494"/>
    <w:multiLevelType w:val="hybridMultilevel"/>
    <w:tmpl w:val="4304561A"/>
    <w:lvl w:ilvl="0" w:tplc="A7BC4C6A">
      <w:numFmt w:val="bullet"/>
      <w:lvlText w:val="-"/>
      <w:lvlJc w:val="left"/>
      <w:pPr>
        <w:ind w:left="2175" w:hanging="341"/>
      </w:pPr>
      <w:rPr>
        <w:rFonts w:ascii="Calibri" w:eastAsia="Calibri" w:hAnsi="Calibri" w:cs="Calibri" w:hint="default"/>
        <w:color w:val="231F20"/>
        <w:w w:val="97"/>
        <w:sz w:val="20"/>
        <w:szCs w:val="20"/>
      </w:rPr>
    </w:lvl>
    <w:lvl w:ilvl="1" w:tplc="FC445284">
      <w:numFmt w:val="bullet"/>
      <w:lvlText w:val="•"/>
      <w:lvlJc w:val="left"/>
      <w:pPr>
        <w:ind w:left="2984" w:hanging="341"/>
      </w:pPr>
      <w:rPr>
        <w:rFonts w:hint="default"/>
      </w:rPr>
    </w:lvl>
    <w:lvl w:ilvl="2" w:tplc="0B9E1FD2">
      <w:numFmt w:val="bullet"/>
      <w:lvlText w:val="•"/>
      <w:lvlJc w:val="left"/>
      <w:pPr>
        <w:ind w:left="3789" w:hanging="341"/>
      </w:pPr>
      <w:rPr>
        <w:rFonts w:hint="default"/>
      </w:rPr>
    </w:lvl>
    <w:lvl w:ilvl="3" w:tplc="30C09050">
      <w:numFmt w:val="bullet"/>
      <w:lvlText w:val="•"/>
      <w:lvlJc w:val="left"/>
      <w:pPr>
        <w:ind w:left="4593" w:hanging="341"/>
      </w:pPr>
      <w:rPr>
        <w:rFonts w:hint="default"/>
      </w:rPr>
    </w:lvl>
    <w:lvl w:ilvl="4" w:tplc="BA7005BA">
      <w:numFmt w:val="bullet"/>
      <w:lvlText w:val="•"/>
      <w:lvlJc w:val="left"/>
      <w:pPr>
        <w:ind w:left="5398" w:hanging="341"/>
      </w:pPr>
      <w:rPr>
        <w:rFonts w:hint="default"/>
      </w:rPr>
    </w:lvl>
    <w:lvl w:ilvl="5" w:tplc="EBB03C28">
      <w:numFmt w:val="bullet"/>
      <w:lvlText w:val="•"/>
      <w:lvlJc w:val="left"/>
      <w:pPr>
        <w:ind w:left="6202" w:hanging="341"/>
      </w:pPr>
      <w:rPr>
        <w:rFonts w:hint="default"/>
      </w:rPr>
    </w:lvl>
    <w:lvl w:ilvl="6" w:tplc="5AB2D368">
      <w:numFmt w:val="bullet"/>
      <w:lvlText w:val="•"/>
      <w:lvlJc w:val="left"/>
      <w:pPr>
        <w:ind w:left="7007" w:hanging="341"/>
      </w:pPr>
      <w:rPr>
        <w:rFonts w:hint="default"/>
      </w:rPr>
    </w:lvl>
    <w:lvl w:ilvl="7" w:tplc="E08E3CD4">
      <w:numFmt w:val="bullet"/>
      <w:lvlText w:val="•"/>
      <w:lvlJc w:val="left"/>
      <w:pPr>
        <w:ind w:left="7811" w:hanging="341"/>
      </w:pPr>
      <w:rPr>
        <w:rFonts w:hint="default"/>
      </w:rPr>
    </w:lvl>
    <w:lvl w:ilvl="8" w:tplc="2334CAD0">
      <w:numFmt w:val="bullet"/>
      <w:lvlText w:val="•"/>
      <w:lvlJc w:val="left"/>
      <w:pPr>
        <w:ind w:left="8616" w:hanging="341"/>
      </w:pPr>
      <w:rPr>
        <w:rFonts w:hint="default"/>
      </w:rPr>
    </w:lvl>
  </w:abstractNum>
  <w:abstractNum w:abstractNumId="29" w15:restartNumberingAfterBreak="0">
    <w:nsid w:val="737B00F1"/>
    <w:multiLevelType w:val="hybridMultilevel"/>
    <w:tmpl w:val="2B8E4BAE"/>
    <w:lvl w:ilvl="0" w:tplc="A6D00AF2">
      <w:start w:val="1"/>
      <w:numFmt w:val="lowerLetter"/>
      <w:lvlText w:val="(%1)"/>
      <w:lvlJc w:val="left"/>
      <w:pPr>
        <w:ind w:left="2067" w:hanging="420"/>
      </w:pPr>
      <w:rPr>
        <w:rFonts w:hint="default"/>
        <w:i w:val="0"/>
        <w:i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E5C6CFC"/>
    <w:multiLevelType w:val="hybridMultilevel"/>
    <w:tmpl w:val="BA1E8D76"/>
    <w:lvl w:ilvl="0" w:tplc="4ECE9E3E">
      <w:start w:val="1"/>
      <w:numFmt w:val="lowerLetter"/>
      <w:lvlText w:val="(%1)"/>
      <w:lvlJc w:val="left"/>
      <w:pPr>
        <w:ind w:left="2067" w:hanging="42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14"/>
  </w:num>
  <w:num w:numId="3">
    <w:abstractNumId w:val="5"/>
  </w:num>
  <w:num w:numId="4">
    <w:abstractNumId w:val="30"/>
  </w:num>
  <w:num w:numId="5">
    <w:abstractNumId w:val="25"/>
  </w:num>
  <w:num w:numId="6">
    <w:abstractNumId w:val="1"/>
  </w:num>
  <w:num w:numId="7">
    <w:abstractNumId w:val="6"/>
  </w:num>
  <w:num w:numId="8">
    <w:abstractNumId w:val="17"/>
  </w:num>
  <w:num w:numId="9">
    <w:abstractNumId w:val="13"/>
  </w:num>
  <w:num w:numId="10">
    <w:abstractNumId w:val="16"/>
  </w:num>
  <w:num w:numId="11">
    <w:abstractNumId w:val="12"/>
  </w:num>
  <w:num w:numId="12">
    <w:abstractNumId w:val="9"/>
  </w:num>
  <w:num w:numId="13">
    <w:abstractNumId w:val="22"/>
  </w:num>
  <w:num w:numId="14">
    <w:abstractNumId w:val="7"/>
  </w:num>
  <w:num w:numId="15">
    <w:abstractNumId w:val="27"/>
  </w:num>
  <w:num w:numId="16">
    <w:abstractNumId w:val="21"/>
  </w:num>
  <w:num w:numId="17">
    <w:abstractNumId w:val="16"/>
    <w:lvlOverride w:ilvl="0">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3"/>
  </w:num>
  <w:num w:numId="21">
    <w:abstractNumId w:val="0"/>
  </w:num>
  <w:num w:numId="22">
    <w:abstractNumId w:val="4"/>
  </w:num>
  <w:num w:numId="23">
    <w:abstractNumId w:val="2"/>
  </w:num>
  <w:num w:numId="24">
    <w:abstractNumId w:val="18"/>
  </w:num>
  <w:num w:numId="25">
    <w:abstractNumId w:val="11"/>
  </w:num>
  <w:num w:numId="26">
    <w:abstractNumId w:val="31"/>
  </w:num>
  <w:num w:numId="27">
    <w:abstractNumId w:val="29"/>
  </w:num>
  <w:num w:numId="28">
    <w:abstractNumId w:val="15"/>
  </w:num>
  <w:num w:numId="29">
    <w:abstractNumId w:val="8"/>
  </w:num>
  <w:num w:numId="30">
    <w:abstractNumId w:val="28"/>
  </w:num>
  <w:num w:numId="31">
    <w:abstractNumId w:val="3"/>
  </w:num>
  <w:num w:numId="32">
    <w:abstractNumId w:val="26"/>
  </w:num>
  <w:num w:numId="33">
    <w:abstractNumId w:val="2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63BA"/>
    <w:rsid w:val="0003530D"/>
    <w:rsid w:val="0005176E"/>
    <w:rsid w:val="00063F10"/>
    <w:rsid w:val="0007319B"/>
    <w:rsid w:val="00077AB7"/>
    <w:rsid w:val="00081CD8"/>
    <w:rsid w:val="0008329C"/>
    <w:rsid w:val="000A7F0E"/>
    <w:rsid w:val="000E6CD7"/>
    <w:rsid w:val="000F3A3F"/>
    <w:rsid w:val="00111BF7"/>
    <w:rsid w:val="00164D56"/>
    <w:rsid w:val="00165170"/>
    <w:rsid w:val="00167B10"/>
    <w:rsid w:val="0019264E"/>
    <w:rsid w:val="0019267E"/>
    <w:rsid w:val="00196C1B"/>
    <w:rsid w:val="001A766C"/>
    <w:rsid w:val="001B0F73"/>
    <w:rsid w:val="0020150F"/>
    <w:rsid w:val="00212E43"/>
    <w:rsid w:val="00222A2D"/>
    <w:rsid w:val="00227100"/>
    <w:rsid w:val="002407AF"/>
    <w:rsid w:val="002803B8"/>
    <w:rsid w:val="00280D62"/>
    <w:rsid w:val="002A6C11"/>
    <w:rsid w:val="002A6F73"/>
    <w:rsid w:val="002C0D14"/>
    <w:rsid w:val="002D4200"/>
    <w:rsid w:val="002E3D25"/>
    <w:rsid w:val="002E58D4"/>
    <w:rsid w:val="0032583C"/>
    <w:rsid w:val="003732E4"/>
    <w:rsid w:val="003845BE"/>
    <w:rsid w:val="003C1678"/>
    <w:rsid w:val="003D069C"/>
    <w:rsid w:val="003E07D8"/>
    <w:rsid w:val="003E2A08"/>
    <w:rsid w:val="003F113A"/>
    <w:rsid w:val="004239C7"/>
    <w:rsid w:val="00440F9B"/>
    <w:rsid w:val="004421E5"/>
    <w:rsid w:val="00443880"/>
    <w:rsid w:val="00452284"/>
    <w:rsid w:val="00461168"/>
    <w:rsid w:val="00467FBE"/>
    <w:rsid w:val="00486948"/>
    <w:rsid w:val="00495C25"/>
    <w:rsid w:val="0049705E"/>
    <w:rsid w:val="005158FF"/>
    <w:rsid w:val="0052358B"/>
    <w:rsid w:val="00526B7B"/>
    <w:rsid w:val="005308CE"/>
    <w:rsid w:val="00542D41"/>
    <w:rsid w:val="005678AF"/>
    <w:rsid w:val="0057439C"/>
    <w:rsid w:val="00574F2A"/>
    <w:rsid w:val="005B0127"/>
    <w:rsid w:val="005C094D"/>
    <w:rsid w:val="005C4B73"/>
    <w:rsid w:val="005E0731"/>
    <w:rsid w:val="005E4061"/>
    <w:rsid w:val="00600D93"/>
    <w:rsid w:val="00616C7B"/>
    <w:rsid w:val="00627C5C"/>
    <w:rsid w:val="00635807"/>
    <w:rsid w:val="00655736"/>
    <w:rsid w:val="00663B8D"/>
    <w:rsid w:val="006765F3"/>
    <w:rsid w:val="006923BD"/>
    <w:rsid w:val="00696C8D"/>
    <w:rsid w:val="006A2AC2"/>
    <w:rsid w:val="006A3617"/>
    <w:rsid w:val="006B5001"/>
    <w:rsid w:val="006D21D9"/>
    <w:rsid w:val="006D2536"/>
    <w:rsid w:val="006E46E4"/>
    <w:rsid w:val="007047A5"/>
    <w:rsid w:val="00717AAB"/>
    <w:rsid w:val="00717DBD"/>
    <w:rsid w:val="00741016"/>
    <w:rsid w:val="00764CF9"/>
    <w:rsid w:val="00784B8C"/>
    <w:rsid w:val="007C354B"/>
    <w:rsid w:val="007E60C6"/>
    <w:rsid w:val="008064F0"/>
    <w:rsid w:val="00823A11"/>
    <w:rsid w:val="00824EF7"/>
    <w:rsid w:val="0085414A"/>
    <w:rsid w:val="0086269D"/>
    <w:rsid w:val="00863302"/>
    <w:rsid w:val="008712A2"/>
    <w:rsid w:val="00871C8F"/>
    <w:rsid w:val="008724E5"/>
    <w:rsid w:val="00884A9D"/>
    <w:rsid w:val="00885AC0"/>
    <w:rsid w:val="008A4E1E"/>
    <w:rsid w:val="008B64DF"/>
    <w:rsid w:val="008C0E44"/>
    <w:rsid w:val="008C296C"/>
    <w:rsid w:val="008D4305"/>
    <w:rsid w:val="008D4D0D"/>
    <w:rsid w:val="008E4B95"/>
    <w:rsid w:val="008F09EC"/>
    <w:rsid w:val="00913D86"/>
    <w:rsid w:val="009163A7"/>
    <w:rsid w:val="00922E3E"/>
    <w:rsid w:val="00933C6B"/>
    <w:rsid w:val="00945148"/>
    <w:rsid w:val="00950F68"/>
    <w:rsid w:val="00962119"/>
    <w:rsid w:val="00974249"/>
    <w:rsid w:val="00993211"/>
    <w:rsid w:val="009A18CD"/>
    <w:rsid w:val="009B223B"/>
    <w:rsid w:val="009B5302"/>
    <w:rsid w:val="009E1B50"/>
    <w:rsid w:val="009F2271"/>
    <w:rsid w:val="00A12558"/>
    <w:rsid w:val="00A13903"/>
    <w:rsid w:val="00A22951"/>
    <w:rsid w:val="00A34ED5"/>
    <w:rsid w:val="00A45DBF"/>
    <w:rsid w:val="00A61C6E"/>
    <w:rsid w:val="00A755A2"/>
    <w:rsid w:val="00A90761"/>
    <w:rsid w:val="00AB2C36"/>
    <w:rsid w:val="00AC3D80"/>
    <w:rsid w:val="00AD1A86"/>
    <w:rsid w:val="00AE103E"/>
    <w:rsid w:val="00AF0A07"/>
    <w:rsid w:val="00AF5AE5"/>
    <w:rsid w:val="00AF625E"/>
    <w:rsid w:val="00AF721B"/>
    <w:rsid w:val="00B152B1"/>
    <w:rsid w:val="00B43974"/>
    <w:rsid w:val="00B45750"/>
    <w:rsid w:val="00B75BB7"/>
    <w:rsid w:val="00B90701"/>
    <w:rsid w:val="00BC3420"/>
    <w:rsid w:val="00BD52C9"/>
    <w:rsid w:val="00BE6354"/>
    <w:rsid w:val="00C318BF"/>
    <w:rsid w:val="00C338D8"/>
    <w:rsid w:val="00C358C4"/>
    <w:rsid w:val="00C377F5"/>
    <w:rsid w:val="00C70EA7"/>
    <w:rsid w:val="00C7516E"/>
    <w:rsid w:val="00D02494"/>
    <w:rsid w:val="00D17DBB"/>
    <w:rsid w:val="00D24877"/>
    <w:rsid w:val="00D520C1"/>
    <w:rsid w:val="00D60DD0"/>
    <w:rsid w:val="00D75D42"/>
    <w:rsid w:val="00DA36ED"/>
    <w:rsid w:val="00DB323C"/>
    <w:rsid w:val="00DB4A84"/>
    <w:rsid w:val="00DC0F3C"/>
    <w:rsid w:val="00DE34F1"/>
    <w:rsid w:val="00DF4942"/>
    <w:rsid w:val="00E22288"/>
    <w:rsid w:val="00E60B9D"/>
    <w:rsid w:val="00E627B1"/>
    <w:rsid w:val="00E62B4C"/>
    <w:rsid w:val="00E9376C"/>
    <w:rsid w:val="00EA602C"/>
    <w:rsid w:val="00EC1BF7"/>
    <w:rsid w:val="00ED3691"/>
    <w:rsid w:val="00EF74E3"/>
    <w:rsid w:val="00F134B7"/>
    <w:rsid w:val="00F4581D"/>
    <w:rsid w:val="00F576CB"/>
    <w:rsid w:val="00F7285B"/>
    <w:rsid w:val="00F8359B"/>
    <w:rsid w:val="00F84A0B"/>
    <w:rsid w:val="00FC021E"/>
    <w:rsid w:val="00FC2940"/>
    <w:rsid w:val="00FC4715"/>
    <w:rsid w:val="00FD026F"/>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Grilledutableau">
    <w:name w:val="Table Grid"/>
    <w:basedOn w:val="Tableau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Sansinterligne">
    <w:name w:val="No Spacing"/>
    <w:uiPriority w:val="1"/>
    <w:qFormat/>
    <w:rsid w:val="00BC3420"/>
    <w:rPr>
      <w:rFonts w:ascii="Times New Roman" w:eastAsia="Times New Roman" w:hAnsi="Times New Roman"/>
      <w:sz w:val="24"/>
      <w:szCs w:val="24"/>
    </w:rPr>
  </w:style>
  <w:style w:type="table" w:customStyle="1" w:styleId="TableGrid1">
    <w:name w:val="Table Grid1"/>
    <w:basedOn w:val="TableauNormal"/>
    <w:next w:val="Grilledutableau"/>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Paragraphedeliste">
    <w:name w:val="List Paragraph"/>
    <w:basedOn w:val="Normal"/>
    <w:uiPriority w:val="34"/>
    <w:qFormat/>
    <w:rsid w:val="005158FF"/>
    <w:pPr>
      <w:ind w:left="720"/>
      <w:contextualSpacing/>
    </w:pPr>
  </w:style>
  <w:style w:type="character" w:styleId="Lienhypertexte">
    <w:name w:val="Hyperlink"/>
    <w:basedOn w:val="Policepardfaut"/>
    <w:uiPriority w:val="99"/>
    <w:unhideWhenUsed/>
    <w:rsid w:val="009B5302"/>
    <w:rPr>
      <w:color w:val="0000FF" w:themeColor="hyperlink"/>
      <w:u w:val="single"/>
    </w:rPr>
  </w:style>
  <w:style w:type="paragraph" w:customStyle="1" w:styleId="1GAPara">
    <w:name w:val="1. GA Para"/>
    <w:qFormat/>
    <w:rsid w:val="002803B8"/>
    <w:pPr>
      <w:spacing w:after="120"/>
      <w:ind w:left="720" w:hanging="360"/>
    </w:pPr>
    <w:rPr>
      <w:rFonts w:ascii="Arial" w:eastAsia="Times New Roman" w:hAnsi="Arial" w:cs="Arial"/>
      <w:snapToGrid w:val="0"/>
      <w:sz w:val="22"/>
      <w:szCs w:val="22"/>
      <w:lang w:val="en-GB" w:eastAsia="en-US"/>
    </w:rPr>
  </w:style>
  <w:style w:type="paragraph" w:customStyle="1" w:styleId="COMPara">
    <w:name w:val="COM Para"/>
    <w:qFormat/>
    <w:rsid w:val="00212E43"/>
    <w:pPr>
      <w:spacing w:after="120"/>
      <w:ind w:left="720" w:hanging="360"/>
    </w:pPr>
    <w:rPr>
      <w:rFonts w:ascii="Arial" w:eastAsia="Times New Roman" w:hAnsi="Arial" w:cs="Arial"/>
      <w:snapToGrid w:val="0"/>
      <w:sz w:val="22"/>
      <w:szCs w:val="22"/>
      <w:lang w:eastAsia="en-US"/>
    </w:rPr>
  </w:style>
  <w:style w:type="paragraph" w:styleId="Notedebasdepage">
    <w:name w:val="footnote text"/>
    <w:basedOn w:val="Normal"/>
    <w:link w:val="NotedebasdepageCar"/>
    <w:uiPriority w:val="99"/>
    <w:semiHidden/>
    <w:unhideWhenUsed/>
    <w:rsid w:val="00212E43"/>
    <w:pPr>
      <w:widowControl w:val="0"/>
      <w:autoSpaceDE w:val="0"/>
      <w:autoSpaceDN w:val="0"/>
    </w:pPr>
    <w:rPr>
      <w:rFonts w:ascii="Calibri" w:eastAsia="Calibri" w:hAnsi="Calibri" w:cs="Calibri"/>
      <w:sz w:val="20"/>
      <w:szCs w:val="20"/>
      <w:lang w:eastAsia="en-US"/>
    </w:rPr>
  </w:style>
  <w:style w:type="character" w:customStyle="1" w:styleId="NotedebasdepageCar">
    <w:name w:val="Note de bas de page Car"/>
    <w:basedOn w:val="Policepardfaut"/>
    <w:link w:val="Notedebasdepage"/>
    <w:uiPriority w:val="99"/>
    <w:semiHidden/>
    <w:rsid w:val="00212E43"/>
    <w:rPr>
      <w:rFonts w:eastAsia="Calibri" w:cs="Calibri"/>
      <w:lang w:eastAsia="en-US"/>
    </w:rPr>
  </w:style>
  <w:style w:type="character" w:styleId="Appelnotedebasdep">
    <w:name w:val="footnote reference"/>
    <w:basedOn w:val="Policepardfaut"/>
    <w:uiPriority w:val="99"/>
    <w:semiHidden/>
    <w:unhideWhenUsed/>
    <w:rsid w:val="00212E43"/>
    <w:rPr>
      <w:vertAlign w:val="superscript"/>
    </w:rPr>
  </w:style>
  <w:style w:type="character" w:styleId="Mentionnonrsolue">
    <w:name w:val="Unresolved Mention"/>
    <w:basedOn w:val="Policepardfaut"/>
    <w:uiPriority w:val="99"/>
    <w:semiHidden/>
    <w:unhideWhenUsed/>
    <w:rsid w:val="00B75BB7"/>
    <w:rPr>
      <w:color w:val="605E5C"/>
      <w:shd w:val="clear" w:color="auto" w:fill="E1DFDD"/>
    </w:rPr>
  </w:style>
  <w:style w:type="character" w:styleId="Lienhypertextesuivivisit">
    <w:name w:val="FollowedHyperlink"/>
    <w:basedOn w:val="Policepardfaut"/>
    <w:uiPriority w:val="99"/>
    <w:semiHidden/>
    <w:unhideWhenUsed/>
    <w:rsid w:val="00B75BB7"/>
    <w:rPr>
      <w:color w:val="800080" w:themeColor="followedHyperlink"/>
      <w:u w:val="single"/>
    </w:rPr>
  </w:style>
  <w:style w:type="table" w:customStyle="1" w:styleId="Grilledutableau1">
    <w:name w:val="Grille du tableau1"/>
    <w:basedOn w:val="TableauNormal"/>
    <w:next w:val="Grilledutableau"/>
    <w:uiPriority w:val="39"/>
    <w:rsid w:val="00063F10"/>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63F10"/>
    <w:rPr>
      <w:sz w:val="16"/>
      <w:szCs w:val="16"/>
    </w:rPr>
  </w:style>
  <w:style w:type="paragraph" w:styleId="Commentaire">
    <w:name w:val="annotation text"/>
    <w:basedOn w:val="Normal"/>
    <w:link w:val="CommentaireCar"/>
    <w:uiPriority w:val="99"/>
    <w:semiHidden/>
    <w:unhideWhenUsed/>
    <w:rsid w:val="00063F10"/>
    <w:pPr>
      <w:spacing w:after="160"/>
    </w:pPr>
    <w:rPr>
      <w:rFonts w:ascii="Calibri" w:eastAsia="Yu Mincho" w:hAnsi="Calibri" w:cs="Arial"/>
      <w:sz w:val="20"/>
      <w:szCs w:val="20"/>
      <w:lang w:val="en-GB" w:eastAsia="ja-JP"/>
    </w:rPr>
  </w:style>
  <w:style w:type="character" w:customStyle="1" w:styleId="CommentaireCar">
    <w:name w:val="Commentaire Car"/>
    <w:basedOn w:val="Policepardfaut"/>
    <w:link w:val="Commentaire"/>
    <w:uiPriority w:val="99"/>
    <w:semiHidden/>
    <w:rsid w:val="00063F10"/>
    <w:rPr>
      <w:rFonts w:eastAsia="Yu Mincho" w:cs="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997763">
      <w:bodyDiv w:val="1"/>
      <w:marLeft w:val="0"/>
      <w:marRight w:val="0"/>
      <w:marTop w:val="0"/>
      <w:marBottom w:val="0"/>
      <w:divBdr>
        <w:top w:val="none" w:sz="0" w:space="0" w:color="auto"/>
        <w:left w:val="none" w:sz="0" w:space="0" w:color="auto"/>
        <w:bottom w:val="none" w:sz="0" w:space="0" w:color="auto"/>
        <w:right w:val="none" w:sz="0" w:space="0" w:color="auto"/>
      </w:divBdr>
    </w:div>
    <w:div w:id="1600991695">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fr/Decisions/14.COM/10" TargetMode="External"/><Relationship Id="rId18" Type="http://schemas.openxmlformats.org/officeDocument/2006/relationships/hyperlink" Target="https://ich.unesco.org/fr/Decisions/8.GA/11" TargetMode="External"/><Relationship Id="rId26" Type="http://schemas.openxmlformats.org/officeDocument/2006/relationships/hyperlink" Target="https://ich.unesco.org/doc/src/LHE-21-16.COM-INF.14-FR.docx" TargetMode="External"/><Relationship Id="rId39" Type="http://schemas.openxmlformats.org/officeDocument/2006/relationships/hyperlink" Target="https://ich.unesco.org/fr/Decisions/12.COM/14" TargetMode="External"/><Relationship Id="rId21" Type="http://schemas.openxmlformats.org/officeDocument/2006/relationships/hyperlink" Target="https://ich.unesco.org/fr/Decisions/8.GA/11" TargetMode="External"/><Relationship Id="rId34" Type="http://schemas.openxmlformats.org/officeDocument/2006/relationships/hyperlink" Target="https://ich.unesco.org/doc/src/LHE-21-16.COM_WG-8-FR.docx" TargetMode="External"/><Relationship Id="rId42" Type="http://schemas.openxmlformats.org/officeDocument/2006/relationships/hyperlink" Target="https://ich.unesco.org/fr/decisions/13.COM/10" TargetMode="External"/><Relationship Id="rId47" Type="http://schemas.openxmlformats.org/officeDocument/2006/relationships/hyperlink" Target="https://ich.unesco.org/fr/Decisions/8.GA/11" TargetMode="External"/><Relationship Id="rId50" Type="http://schemas.openxmlformats.org/officeDocument/2006/relationships/hyperlink" Target="https://ich.unesco.org/doc/src/LHE-21-16.COM_WG-6-FR-.docx"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ch.unesco.org/fr/Decisions/13.COM/10" TargetMode="External"/><Relationship Id="rId17" Type="http://schemas.openxmlformats.org/officeDocument/2006/relationships/hyperlink" Target="https://ich.unesco.org/fr/Decisions/14.COM/14" TargetMode="External"/><Relationship Id="rId25" Type="http://schemas.openxmlformats.org/officeDocument/2006/relationships/hyperlink" Target="https://ich.unesco.org/doc/src/LHE-21-EXP-7-FR.docx" TargetMode="External"/><Relationship Id="rId33" Type="http://schemas.openxmlformats.org/officeDocument/2006/relationships/hyperlink" Target="https://ich.unesco.org/doc/src/LHE-21-16.COM_WG-7-FR.docx" TargetMode="External"/><Relationship Id="rId38" Type="http://schemas.openxmlformats.org/officeDocument/2006/relationships/hyperlink" Target="https://ich.unesco.org/fr/Decisions/10.COM/19" TargetMode="External"/><Relationship Id="rId46" Type="http://schemas.openxmlformats.org/officeDocument/2006/relationships/hyperlink" Target="https://ich.unesco.org/fr/Decisions/15.COM/8"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fr/Decisions/12.COM/14" TargetMode="External"/><Relationship Id="rId20" Type="http://schemas.openxmlformats.org/officeDocument/2006/relationships/hyperlink" Target="https://ich.unesco.org/fr/Decisions/15.COM/7" TargetMode="External"/><Relationship Id="rId29" Type="http://schemas.openxmlformats.org/officeDocument/2006/relationships/hyperlink" Target="https://ich.unesco.org/doc/src/LHE-21-16.COM_WG-3-FR.docx" TargetMode="External"/><Relationship Id="rId41" Type="http://schemas.openxmlformats.org/officeDocument/2006/relationships/hyperlink" Target="https://ich.unesco.org/fr/Decisions/13.COM/9"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4.COM/14" TargetMode="External"/><Relationship Id="rId24" Type="http://schemas.openxmlformats.org/officeDocument/2006/relationships/hyperlink" Target="https://ich.unesco.org/fr/Decisions/15.COM/8" TargetMode="External"/><Relationship Id="rId32" Type="http://schemas.openxmlformats.org/officeDocument/2006/relationships/hyperlink" Target="https://ich.unesco.org/doc/src/LHE-21-16.COM_WG-6-FR.docx" TargetMode="External"/><Relationship Id="rId37" Type="http://schemas.openxmlformats.org/officeDocument/2006/relationships/hyperlink" Target="https://ich.unesco.org/doc/src/LHE-21-16.COM-12-FR.docx" TargetMode="External"/><Relationship Id="rId40" Type="http://schemas.openxmlformats.org/officeDocument/2006/relationships/hyperlink" Target="https://ich.unesco.org/fr/decisions/13.COM/6" TargetMode="External"/><Relationship Id="rId45" Type="http://schemas.openxmlformats.org/officeDocument/2006/relationships/hyperlink" Target="https://ich.unesco.org/fr/Decisions/15.COM/7" TargetMode="External"/><Relationship Id="rId53" Type="http://schemas.openxmlformats.org/officeDocument/2006/relationships/hyperlink" Target="https://ich.unesco.org/doc/src/LHE-21-16.COM_WG-6-FR-.docx"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fr/Decisions/10.COM/19" TargetMode="External"/><Relationship Id="rId23" Type="http://schemas.openxmlformats.org/officeDocument/2006/relationships/hyperlink" Target="https://ich.unesco.org/fr/Decisions/14.COM/14" TargetMode="External"/><Relationship Id="rId28" Type="http://schemas.openxmlformats.org/officeDocument/2006/relationships/hyperlink" Target="https://ich.unesco.org/doc/src/LHE-21-16.COM_WG-2-FR.docx" TargetMode="External"/><Relationship Id="rId36" Type="http://schemas.openxmlformats.org/officeDocument/2006/relationships/hyperlink" Target="https://ich.unesco.org/doc/src/LHE-21-16.COM_WG-Recommandations_FR.docx" TargetMode="External"/><Relationship Id="rId49" Type="http://schemas.openxmlformats.org/officeDocument/2006/relationships/hyperlink" Target="https://ich.unesco.org/fr/D%C3%A9cisions/14.COM/14" TargetMode="External"/><Relationship Id="rId57" Type="http://schemas.openxmlformats.org/officeDocument/2006/relationships/header" Target="header4.xml"/><Relationship Id="rId10" Type="http://schemas.openxmlformats.org/officeDocument/2006/relationships/hyperlink" Target="https://ich.unesco.org/doc/src/LHE-19-14.COM-14-FR.docx" TargetMode="External"/><Relationship Id="rId19" Type="http://schemas.openxmlformats.org/officeDocument/2006/relationships/hyperlink" Target="https://ich.unesco.org/fr/Decisions/13.COM/9" TargetMode="External"/><Relationship Id="rId31" Type="http://schemas.openxmlformats.org/officeDocument/2006/relationships/hyperlink" Target="https://ich.unesco.org/doc/src/LHE-21-16.COM_WG-5-FR.docx" TargetMode="External"/><Relationship Id="rId44" Type="http://schemas.openxmlformats.org/officeDocument/2006/relationships/hyperlink" Target="https://ich.unesco.org/fr/Decisions/14.COM/14" TargetMode="External"/><Relationship Id="rId52" Type="http://schemas.openxmlformats.org/officeDocument/2006/relationships/hyperlink" Target="https://ich.unesco.org/fr/D%C3%A9cisions/10.COM/10" TargetMode="External"/><Relationship Id="rId4" Type="http://schemas.openxmlformats.org/officeDocument/2006/relationships/settings" Target="settings.xml"/><Relationship Id="rId9" Type="http://schemas.openxmlformats.org/officeDocument/2006/relationships/hyperlink" Target="https://ich.unesco.org/fr/decisions/13.COM/10" TargetMode="External"/><Relationship Id="rId14" Type="http://schemas.openxmlformats.org/officeDocument/2006/relationships/hyperlink" Target="https://ich.unesco.org/fr/Decisions/14.COM/14" TargetMode="External"/><Relationship Id="rId22" Type="http://schemas.openxmlformats.org/officeDocument/2006/relationships/hyperlink" Target="https://ich.unesco.org/fr/Decisions/15.COM/8" TargetMode="External"/><Relationship Id="rId27" Type="http://schemas.openxmlformats.org/officeDocument/2006/relationships/hyperlink" Target="https://ich.unesco.org/doc/src/LHE-21-16.COM_WG-1-FR.docx" TargetMode="External"/><Relationship Id="rId30" Type="http://schemas.openxmlformats.org/officeDocument/2006/relationships/hyperlink" Target="https://ich.unesco.org/doc/src/LHE-21-16.COM_WG-4-FR.docx" TargetMode="External"/><Relationship Id="rId35" Type="http://schemas.openxmlformats.org/officeDocument/2006/relationships/hyperlink" Target="https://ich.unesco.org/doc/src/LHE-21-16.COM_WG-8-Ways_forward-EN-FR.docx" TargetMode="External"/><Relationship Id="rId43" Type="http://schemas.openxmlformats.org/officeDocument/2006/relationships/hyperlink" Target="https://ich.unesco.org/fr/Decisions/14.COM/10" TargetMode="External"/><Relationship Id="rId48" Type="http://schemas.openxmlformats.org/officeDocument/2006/relationships/hyperlink" Target="https://ich.unesco.org/doc/src/LHE-21-16.COM_WG-6-FR-.docx" TargetMode="External"/><Relationship Id="rId56" Type="http://schemas.openxmlformats.org/officeDocument/2006/relationships/header" Target="header3.xml"/><Relationship Id="rId8" Type="http://schemas.openxmlformats.org/officeDocument/2006/relationships/hyperlink" Target="https://ich.unesco.org/fr/decisions/13.COM/6" TargetMode="External"/><Relationship Id="rId51" Type="http://schemas.openxmlformats.org/officeDocument/2006/relationships/hyperlink" Target="https://ich.unesco.org/fr/decisions/7.COM/14"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doc/src/LHE-21-EXP-5-FR.docx" TargetMode="External"/><Relationship Id="rId2" Type="http://schemas.openxmlformats.org/officeDocument/2006/relationships/hyperlink" Target="https://ich.unesco.org/fr/Decisions/8.GA/10" TargetMode="External"/><Relationship Id="rId1" Type="http://schemas.openxmlformats.org/officeDocument/2006/relationships/hyperlink" Target="https://ich.unesco.org/fr/rflexion-globale-sur-les-mcanismes-dinscription-sur-les-listes-01164" TargetMode="External"/><Relationship Id="rId5" Type="http://schemas.openxmlformats.org/officeDocument/2006/relationships/hyperlink" Target="https://ich.unesco.org/fr/online-meeting-of-experts-category-vi-01165" TargetMode="External"/><Relationship Id="rId4" Type="http://schemas.openxmlformats.org/officeDocument/2006/relationships/hyperlink" Target="https://ich.unesco.org/doc/src/LHE-21-EXP-INF.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document_FR.dotx</Template>
  <TotalTime>16</TotalTime>
  <Pages>25</Pages>
  <Words>9180</Words>
  <Characters>52330</Characters>
  <Application>Microsoft Office Word</Application>
  <DocSecurity>0</DocSecurity>
  <Lines>436</Lines>
  <Paragraphs>122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61388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Thebaut, Camille</cp:lastModifiedBy>
  <cp:revision>4</cp:revision>
  <cp:lastPrinted>2011-08-06T10:22:00Z</cp:lastPrinted>
  <dcterms:created xsi:type="dcterms:W3CDTF">2021-11-15T22:10:00Z</dcterms:created>
  <dcterms:modified xsi:type="dcterms:W3CDTF">2021-11-16T15:29:00Z</dcterms:modified>
</cp:coreProperties>
</file>