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B669E" w14:textId="77777777" w:rsidR="00681958" w:rsidRDefault="00681958" w:rsidP="00681958">
      <w:pPr>
        <w:spacing w:before="1440"/>
        <w:rPr>
          <w:rFonts w:ascii="Arial" w:hAnsi="Arial" w:cs="Arial"/>
          <w:b/>
          <w:szCs w:val="22"/>
        </w:rPr>
      </w:pPr>
    </w:p>
    <w:p w14:paraId="61630F31" w14:textId="77777777" w:rsidR="00681958" w:rsidRDefault="00681958" w:rsidP="00681958">
      <w:pPr>
        <w:spacing w:after="0"/>
        <w:jc w:val="center"/>
        <w:rPr>
          <w:rFonts w:ascii="Arial" w:hAnsi="Arial" w:cs="Arial"/>
          <w:b/>
          <w:szCs w:val="22"/>
        </w:rPr>
      </w:pPr>
      <w:r w:rsidRPr="00A61C6E">
        <w:rPr>
          <w:rFonts w:ascii="Arial" w:hAnsi="Arial" w:cs="Arial"/>
          <w:b/>
          <w:szCs w:val="22"/>
        </w:rPr>
        <w:t>CONVENTION POUR LA SAUVEGARDE DU</w:t>
      </w:r>
      <w:r>
        <w:rPr>
          <w:rFonts w:ascii="Arial" w:hAnsi="Arial" w:cs="Arial"/>
          <w:b/>
          <w:szCs w:val="22"/>
        </w:rPr>
        <w:t xml:space="preserve"> </w:t>
      </w:r>
    </w:p>
    <w:p w14:paraId="4C2F3634" w14:textId="1EC0B16B" w:rsidR="00681958" w:rsidRPr="00A61C6E" w:rsidRDefault="00681958" w:rsidP="00681958">
      <w:pPr>
        <w:spacing w:after="0"/>
        <w:jc w:val="center"/>
        <w:rPr>
          <w:rFonts w:ascii="Arial" w:hAnsi="Arial" w:cs="Arial"/>
          <w:b/>
          <w:szCs w:val="22"/>
        </w:rPr>
      </w:pPr>
      <w:r w:rsidRPr="00A61C6E">
        <w:rPr>
          <w:rFonts w:ascii="Arial" w:hAnsi="Arial" w:cs="Arial"/>
          <w:b/>
          <w:szCs w:val="22"/>
        </w:rPr>
        <w:t>PATRIMOINE CULTUREL IMMATÉRIEL</w:t>
      </w:r>
    </w:p>
    <w:p w14:paraId="4A3F5769" w14:textId="77777777" w:rsidR="00681958" w:rsidRPr="00A61C6E" w:rsidRDefault="00681958" w:rsidP="00681958">
      <w:pPr>
        <w:spacing w:before="1200"/>
        <w:jc w:val="center"/>
        <w:rPr>
          <w:rFonts w:ascii="Arial" w:hAnsi="Arial" w:cs="Arial"/>
          <w:b/>
          <w:szCs w:val="22"/>
        </w:rPr>
      </w:pPr>
      <w:r w:rsidRPr="00A61C6E">
        <w:rPr>
          <w:rFonts w:ascii="Arial" w:hAnsi="Arial" w:cs="Arial"/>
          <w:b/>
          <w:szCs w:val="22"/>
        </w:rPr>
        <w:t>COMITÉ INTERGOUVERNEMENTAL DE SAUVEGARDE</w:t>
      </w:r>
      <w:r w:rsidRPr="00A61C6E">
        <w:rPr>
          <w:rFonts w:ascii="Arial" w:hAnsi="Arial" w:cs="Arial"/>
          <w:b/>
          <w:szCs w:val="22"/>
        </w:rPr>
        <w:br/>
        <w:t>DU PATRIMOINE CULTUREL IMMATÉRIEL</w:t>
      </w:r>
    </w:p>
    <w:p w14:paraId="7B092DE9" w14:textId="77777777" w:rsidR="00681958" w:rsidRPr="00B43974" w:rsidRDefault="00681958" w:rsidP="00681958">
      <w:pPr>
        <w:spacing w:before="840" w:after="0"/>
        <w:jc w:val="center"/>
        <w:rPr>
          <w:rFonts w:ascii="Arial" w:hAnsi="Arial" w:cs="Arial"/>
          <w:b/>
          <w:szCs w:val="22"/>
        </w:rPr>
      </w:pPr>
      <w:r w:rsidRPr="00F4581D">
        <w:rPr>
          <w:rFonts w:ascii="Arial" w:hAnsi="Arial" w:cs="Arial"/>
          <w:b/>
          <w:szCs w:val="22"/>
        </w:rPr>
        <w:t xml:space="preserve">Seizième </w:t>
      </w:r>
      <w:r w:rsidRPr="00B43974">
        <w:rPr>
          <w:rFonts w:ascii="Arial" w:hAnsi="Arial" w:cs="Arial"/>
          <w:b/>
          <w:szCs w:val="22"/>
        </w:rPr>
        <w:t>session</w:t>
      </w:r>
    </w:p>
    <w:p w14:paraId="2A332A86" w14:textId="4DEA2F72" w:rsidR="00681958" w:rsidRPr="00F4581D" w:rsidRDefault="00116C2A" w:rsidP="00681958">
      <w:pPr>
        <w:spacing w:after="0"/>
        <w:jc w:val="center"/>
        <w:rPr>
          <w:rFonts w:ascii="Arial" w:hAnsi="Arial"/>
          <w:b/>
        </w:rPr>
      </w:pPr>
      <w:r>
        <w:rPr>
          <w:rFonts w:ascii="Arial" w:hAnsi="Arial"/>
          <w:b/>
        </w:rPr>
        <w:t>En ligne</w:t>
      </w:r>
    </w:p>
    <w:p w14:paraId="07F3194B" w14:textId="77777777" w:rsidR="00681958" w:rsidRPr="00F4581D" w:rsidRDefault="00681958" w:rsidP="00681958">
      <w:pPr>
        <w:spacing w:after="0"/>
        <w:jc w:val="center"/>
        <w:rPr>
          <w:rFonts w:ascii="Arial" w:hAnsi="Arial"/>
          <w:b/>
        </w:rPr>
      </w:pPr>
      <w:r w:rsidRPr="00F4581D">
        <w:rPr>
          <w:rFonts w:ascii="Arial" w:hAnsi="Arial"/>
          <w:b/>
        </w:rPr>
        <w:t>13 - 18 décembre 2021</w:t>
      </w:r>
    </w:p>
    <w:p w14:paraId="31E7D658" w14:textId="59CDBD76" w:rsidR="002459E4" w:rsidRPr="00293C60" w:rsidRDefault="002459E4" w:rsidP="008E3F0F">
      <w:pPr>
        <w:pStyle w:val="Sansinterligne2"/>
        <w:spacing w:before="1200"/>
        <w:jc w:val="center"/>
        <w:rPr>
          <w:rFonts w:ascii="Arial" w:hAnsi="Arial" w:cs="Arial"/>
          <w:b/>
          <w:sz w:val="22"/>
          <w:szCs w:val="22"/>
        </w:rPr>
      </w:pPr>
      <w:r>
        <w:rPr>
          <w:rFonts w:ascii="Arial" w:hAnsi="Arial"/>
          <w:b/>
          <w:sz w:val="22"/>
          <w:u w:val="single"/>
        </w:rPr>
        <w:t>Point 12 de l</w:t>
      </w:r>
      <w:r w:rsidR="00C62E8C">
        <w:rPr>
          <w:rFonts w:ascii="Arial" w:hAnsi="Arial"/>
          <w:b/>
          <w:sz w:val="22"/>
          <w:u w:val="single"/>
        </w:rPr>
        <w:t>’</w:t>
      </w:r>
      <w:r>
        <w:rPr>
          <w:rFonts w:ascii="Arial" w:hAnsi="Arial"/>
          <w:b/>
          <w:sz w:val="22"/>
          <w:u w:val="single"/>
        </w:rPr>
        <w:t>ordre du jour provisoire</w:t>
      </w:r>
      <w:r>
        <w:rPr>
          <w:rFonts w:ascii="Arial" w:hAnsi="Arial"/>
          <w:b/>
          <w:sz w:val="22"/>
        </w:rPr>
        <w:t> :</w:t>
      </w:r>
    </w:p>
    <w:p w14:paraId="2616C2A4" w14:textId="5A7C5584" w:rsidR="002459E4" w:rsidRDefault="002459E4" w:rsidP="008E3F0F">
      <w:pPr>
        <w:pStyle w:val="Sansinterligne2"/>
        <w:spacing w:after="1200"/>
        <w:contextualSpacing/>
        <w:jc w:val="center"/>
        <w:rPr>
          <w:rFonts w:ascii="Arial" w:hAnsi="Arial" w:cs="Arial"/>
          <w:b/>
          <w:sz w:val="22"/>
          <w:szCs w:val="22"/>
        </w:rPr>
      </w:pPr>
      <w:r>
        <w:rPr>
          <w:rFonts w:ascii="Arial" w:hAnsi="Arial"/>
          <w:b/>
          <w:sz w:val="22"/>
        </w:rPr>
        <w:t>Fonds du patrimoine culturel immatériel :</w:t>
      </w:r>
    </w:p>
    <w:p w14:paraId="5235CACB" w14:textId="77777777" w:rsidR="002459E4" w:rsidRPr="00293C60" w:rsidRDefault="002459E4" w:rsidP="002459E4">
      <w:pPr>
        <w:pStyle w:val="Sansinterligne2"/>
        <w:spacing w:after="960"/>
        <w:jc w:val="center"/>
        <w:rPr>
          <w:rFonts w:ascii="Arial" w:hAnsi="Arial" w:cs="Arial"/>
          <w:b/>
          <w:sz w:val="22"/>
          <w:szCs w:val="22"/>
        </w:rPr>
      </w:pPr>
      <w:r>
        <w:rPr>
          <w:rFonts w:ascii="Arial" w:hAnsi="Arial"/>
          <w:b/>
          <w:sz w:val="22"/>
        </w:rPr>
        <w:t>contributions volontaires supplémentaires et autres questions</w:t>
      </w:r>
    </w:p>
    <w:tbl>
      <w:tblPr>
        <w:tblW w:w="58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1"/>
      </w:tblGrid>
      <w:tr w:rsidR="003F682C" w:rsidRPr="00F3686A" w14:paraId="2B92B843" w14:textId="77777777" w:rsidTr="00D52F4A">
        <w:trPr>
          <w:trHeight w:val="3871"/>
          <w:jc w:val="center"/>
        </w:trPr>
        <w:tc>
          <w:tcPr>
            <w:tcW w:w="5801" w:type="dxa"/>
            <w:vAlign w:val="center"/>
          </w:tcPr>
          <w:p w14:paraId="469A4BF6" w14:textId="77777777" w:rsidR="003F682C" w:rsidRPr="00293C60" w:rsidRDefault="003F682C" w:rsidP="008E3F0F">
            <w:pPr>
              <w:pStyle w:val="Sansinterligne1"/>
              <w:spacing w:before="200" w:after="200"/>
              <w:jc w:val="center"/>
              <w:rPr>
                <w:rFonts w:ascii="Arial" w:hAnsi="Arial" w:cs="Arial"/>
                <w:b/>
                <w:sz w:val="22"/>
                <w:szCs w:val="22"/>
              </w:rPr>
            </w:pPr>
            <w:r>
              <w:rPr>
                <w:rFonts w:ascii="Arial" w:hAnsi="Arial"/>
                <w:b/>
                <w:sz w:val="22"/>
              </w:rPr>
              <w:t>Résumé</w:t>
            </w:r>
          </w:p>
          <w:p w14:paraId="35802C12" w14:textId="2BF79C49" w:rsidR="002459E4" w:rsidRDefault="002459E4" w:rsidP="002459E4">
            <w:pPr>
              <w:pStyle w:val="Sansinterligne2"/>
              <w:spacing w:before="200" w:after="200"/>
              <w:jc w:val="both"/>
              <w:rPr>
                <w:rFonts w:ascii="Arial" w:hAnsi="Arial" w:cs="Arial"/>
                <w:sz w:val="22"/>
                <w:szCs w:val="22"/>
              </w:rPr>
            </w:pPr>
            <w:r>
              <w:rPr>
                <w:rFonts w:ascii="Arial" w:hAnsi="Arial"/>
                <w:sz w:val="22"/>
              </w:rPr>
              <w:t>Conformément à l</w:t>
            </w:r>
            <w:r w:rsidR="00C62E8C">
              <w:rPr>
                <w:rFonts w:ascii="Arial" w:hAnsi="Arial"/>
                <w:sz w:val="22"/>
              </w:rPr>
              <w:t>’</w:t>
            </w:r>
            <w:r>
              <w:rPr>
                <w:rFonts w:ascii="Arial" w:hAnsi="Arial"/>
                <w:sz w:val="22"/>
              </w:rPr>
              <w:t>article 25.5 de la Convention, le Comité peut accepter des contributions au Fonds du patrimoine culturel immatériel à des fins spécifiques se rapportant à des projets déterminés, pourvu que ces projets soient approuvés par le Comité. Le présent document : (1) rend compte de ces contributions et d</w:t>
            </w:r>
            <w:r w:rsidR="00C62E8C">
              <w:rPr>
                <w:rFonts w:ascii="Arial" w:hAnsi="Arial"/>
                <w:sz w:val="22"/>
              </w:rPr>
              <w:t>’</w:t>
            </w:r>
            <w:r>
              <w:rPr>
                <w:rFonts w:ascii="Arial" w:hAnsi="Arial"/>
                <w:sz w:val="22"/>
              </w:rPr>
              <w:t>autres types de contributions volontaires reçues depuis la quatorzième session du Comité en décembre 2019 ; et (2) présente deux priorités de financement pour la période 2022-2025.</w:t>
            </w:r>
          </w:p>
          <w:p w14:paraId="2860FB3A" w14:textId="126B3E1F" w:rsidR="003F682C" w:rsidRPr="004B472F" w:rsidRDefault="002459E4" w:rsidP="002459E4">
            <w:pPr>
              <w:pStyle w:val="Sansinterligne2"/>
              <w:spacing w:before="200" w:after="200"/>
              <w:jc w:val="both"/>
              <w:rPr>
                <w:rFonts w:ascii="Arial" w:hAnsi="Arial" w:cs="Arial"/>
                <w:sz w:val="22"/>
                <w:szCs w:val="22"/>
              </w:rPr>
            </w:pPr>
            <w:r>
              <w:rPr>
                <w:rFonts w:ascii="Arial" w:hAnsi="Arial"/>
                <w:b/>
                <w:bCs/>
                <w:sz w:val="22"/>
              </w:rPr>
              <w:t xml:space="preserve">Décision requise : </w:t>
            </w:r>
            <w:r>
              <w:rPr>
                <w:rFonts w:ascii="Arial" w:hAnsi="Arial"/>
                <w:sz w:val="22"/>
              </w:rPr>
              <w:t xml:space="preserve">paragraphe </w:t>
            </w:r>
            <w:r w:rsidR="00E25992">
              <w:rPr>
                <w:rFonts w:ascii="Arial" w:hAnsi="Arial"/>
                <w:sz w:val="22"/>
              </w:rPr>
              <w:t>23</w:t>
            </w:r>
          </w:p>
        </w:tc>
      </w:tr>
    </w:tbl>
    <w:p w14:paraId="2B9874AD" w14:textId="3133E5E6" w:rsidR="002459E4" w:rsidRPr="00BF1B64" w:rsidRDefault="00851458" w:rsidP="002459E4">
      <w:pPr>
        <w:pStyle w:val="COMPara"/>
        <w:numPr>
          <w:ilvl w:val="0"/>
          <w:numId w:val="10"/>
        </w:numPr>
        <w:ind w:left="567" w:hanging="567"/>
        <w:jc w:val="both"/>
      </w:pPr>
      <w:r>
        <w:br w:type="page"/>
      </w:r>
      <w:r>
        <w:lastRenderedPageBreak/>
        <w:t>Le chapitre VI de la Convention concernant le Fonds pour la sauvegarde du patrimoine culturel immatériel (ci-après dénommé « le Fonds ») stipule que les États parties peuvent souhaiter verser des contributions volontaires supplémentaires (article 27) en sus de leurs contributions obligatoires (article 26). Conformément à l</w:t>
      </w:r>
      <w:r w:rsidR="00C62E8C">
        <w:t>’</w:t>
      </w:r>
      <w:r>
        <w:t>article 25.5, ces contributions peuvent se rapporter à des projets déterminés, « pourvu que ces projets soient approuvés par le Comité ».</w:t>
      </w:r>
    </w:p>
    <w:p w14:paraId="33F47B8A" w14:textId="3E456037" w:rsidR="00004349" w:rsidRPr="006B2F24" w:rsidRDefault="004C486D" w:rsidP="008E3F0F">
      <w:pPr>
        <w:pStyle w:val="COMPara"/>
        <w:numPr>
          <w:ilvl w:val="0"/>
          <w:numId w:val="8"/>
        </w:numPr>
        <w:ind w:left="567" w:hanging="567"/>
        <w:jc w:val="both"/>
      </w:pPr>
      <w:r>
        <w:rPr>
          <w:rFonts w:asciiTheme="minorBidi" w:hAnsiTheme="minorBidi"/>
        </w:rPr>
        <w:t>En raison de l</w:t>
      </w:r>
      <w:r w:rsidR="00C62E8C">
        <w:rPr>
          <w:rFonts w:asciiTheme="minorBidi" w:hAnsiTheme="minorBidi"/>
        </w:rPr>
        <w:t>’</w:t>
      </w:r>
      <w:r>
        <w:rPr>
          <w:rFonts w:asciiTheme="minorBidi" w:hAnsiTheme="minorBidi"/>
        </w:rPr>
        <w:t>impact de la pandémie de COVID-19 en cours sur l</w:t>
      </w:r>
      <w:r w:rsidR="00C62E8C">
        <w:rPr>
          <w:rFonts w:asciiTheme="minorBidi" w:hAnsiTheme="minorBidi"/>
        </w:rPr>
        <w:t>’</w:t>
      </w:r>
      <w:r>
        <w:rPr>
          <w:rFonts w:asciiTheme="minorBidi" w:hAnsiTheme="minorBidi"/>
        </w:rPr>
        <w:t>organisation de la quinzième session du Comité, qui s</w:t>
      </w:r>
      <w:r w:rsidR="00C62E8C">
        <w:rPr>
          <w:rFonts w:asciiTheme="minorBidi" w:hAnsiTheme="minorBidi"/>
        </w:rPr>
        <w:t>’</w:t>
      </w:r>
      <w:r>
        <w:rPr>
          <w:rFonts w:asciiTheme="minorBidi" w:hAnsiTheme="minorBidi"/>
        </w:rPr>
        <w:t>est tenue en tant que réunion entièrement en ligne en décembre 2020, le Comité avait adopté un ordre du jour comportant moins de points et aucun point n</w:t>
      </w:r>
      <w:r w:rsidR="00C62E8C">
        <w:rPr>
          <w:rFonts w:asciiTheme="minorBidi" w:hAnsiTheme="minorBidi"/>
        </w:rPr>
        <w:t>’</w:t>
      </w:r>
      <w:r>
        <w:rPr>
          <w:rFonts w:asciiTheme="minorBidi" w:hAnsiTheme="minorBidi"/>
        </w:rPr>
        <w:t xml:space="preserve">avait été consacré aux contributions volontaires supplémentaires. Par conséquent, au cours de la présente session, il est remis </w:t>
      </w:r>
      <w:r>
        <w:t xml:space="preserve">au Comité </w:t>
      </w:r>
      <w:r>
        <w:rPr>
          <w:rFonts w:asciiTheme="minorBidi" w:hAnsiTheme="minorBidi"/>
        </w:rPr>
        <w:t>un</w:t>
      </w:r>
      <w:r>
        <w:t xml:space="preserve"> rapport sur l</w:t>
      </w:r>
      <w:r w:rsidR="00C62E8C">
        <w:t>’</w:t>
      </w:r>
      <w:r>
        <w:t>avancement de la mise en œuvre de toute contribution volontaire supplémentaire depuis la quatorzième session de 2019 (Décision </w:t>
      </w:r>
      <w:hyperlink r:id="rId8" w:history="1">
        <w:r>
          <w:rPr>
            <w:rStyle w:val="Hyperlink"/>
          </w:rPr>
          <w:t>14.COM 6</w:t>
        </w:r>
      </w:hyperlink>
      <w:r>
        <w:t>). Le Comité a par ailleurs pris note que des États utilisent des formes différentes de soutien, financier ou en nature, à la Convention, et pas seulement les contributions volontaires supplémentaires au Fonds (</w:t>
      </w:r>
      <w:r w:rsidR="000660D9" w:rsidRPr="000660D9">
        <w:t>Décision </w:t>
      </w:r>
      <w:hyperlink r:id="rId9" w:history="1">
        <w:r w:rsidR="000660D9">
          <w:rPr>
            <w:rStyle w:val="Hyperlink"/>
          </w:rPr>
          <w:t>7.COM 20.1</w:t>
        </w:r>
      </w:hyperlink>
      <w:r>
        <w:t>). Il est donc demandé au Secrétariat de faire rapport à chaque session du Comité sur toutes les formes de contributions reçues depuis la session précédente. L</w:t>
      </w:r>
      <w:r w:rsidR="00C62E8C">
        <w:t>’</w:t>
      </w:r>
      <w:r>
        <w:t xml:space="preserve">annexe du présent document recense donc les contributions reçues entre la quatorzième session du Comité et </w:t>
      </w:r>
      <w:r w:rsidRPr="00DC317C">
        <w:t>juin 2021</w:t>
      </w:r>
      <w:r>
        <w:t xml:space="preserve"> pour soutenir la Convention de 2003.</w:t>
      </w:r>
    </w:p>
    <w:p w14:paraId="12C0DB68" w14:textId="349FEA71" w:rsidR="002459E4" w:rsidRPr="00BF1B64" w:rsidRDefault="002459E4" w:rsidP="002459E4">
      <w:pPr>
        <w:numPr>
          <w:ilvl w:val="0"/>
          <w:numId w:val="8"/>
        </w:numPr>
        <w:ind w:left="567" w:hanging="567"/>
        <w:jc w:val="both"/>
        <w:rPr>
          <w:rFonts w:ascii="Arial" w:hAnsi="Arial" w:cs="Arial"/>
          <w:snapToGrid w:val="0"/>
          <w:szCs w:val="22"/>
        </w:rPr>
      </w:pPr>
      <w:r>
        <w:rPr>
          <w:rFonts w:ascii="Arial" w:hAnsi="Arial"/>
          <w:snapToGrid w:val="0"/>
        </w:rPr>
        <w:t>Lors de sa douzième session, le Comité a approuvé deux priorités de financement pour la période 2018 -</w:t>
      </w:r>
      <w:r>
        <w:t> </w:t>
      </w:r>
      <w:r>
        <w:rPr>
          <w:rFonts w:ascii="Arial" w:hAnsi="Arial"/>
          <w:snapToGrid w:val="0"/>
        </w:rPr>
        <w:t>2021: (1) « le renforcement des capacités de sauvegarde du patrimoine culturel immatériel et de contribution au développement durable » pour poursuivre les efforts visant à étendre la portée et à améliorer l</w:t>
      </w:r>
      <w:r w:rsidR="00C62E8C">
        <w:rPr>
          <w:rFonts w:ascii="Arial" w:hAnsi="Arial"/>
          <w:snapToGrid w:val="0"/>
        </w:rPr>
        <w:t>’</w:t>
      </w:r>
      <w:r>
        <w:rPr>
          <w:rFonts w:ascii="Arial" w:hAnsi="Arial"/>
          <w:snapToGrid w:val="0"/>
        </w:rPr>
        <w:t>efficacité de la stratégie mondiale de renforcement des capacités, et (2) « la sauvegarde du patrimoine culturel immatériel dans l</w:t>
      </w:r>
      <w:r w:rsidR="00C62E8C">
        <w:rPr>
          <w:rFonts w:ascii="Arial" w:hAnsi="Arial"/>
          <w:snapToGrid w:val="0"/>
        </w:rPr>
        <w:t>’</w:t>
      </w:r>
      <w:r>
        <w:rPr>
          <w:rFonts w:ascii="Arial" w:hAnsi="Arial"/>
          <w:snapToGrid w:val="0"/>
        </w:rPr>
        <w:t>éducation formelle et non formelle », initiative établie en réponse à l</w:t>
      </w:r>
      <w:r w:rsidR="00C62E8C">
        <w:rPr>
          <w:rFonts w:ascii="Arial" w:hAnsi="Arial"/>
          <w:snapToGrid w:val="0"/>
        </w:rPr>
        <w:t>’</w:t>
      </w:r>
      <w:r>
        <w:rPr>
          <w:rFonts w:ascii="Arial" w:hAnsi="Arial"/>
          <w:snapToGrid w:val="0"/>
        </w:rPr>
        <w:t>article 2 de la Convention qui définit la transmission par l</w:t>
      </w:r>
      <w:r w:rsidR="00C62E8C">
        <w:rPr>
          <w:rFonts w:ascii="Arial" w:hAnsi="Arial"/>
          <w:snapToGrid w:val="0"/>
        </w:rPr>
        <w:t>’</w:t>
      </w:r>
      <w:r>
        <w:rPr>
          <w:rFonts w:ascii="Arial" w:hAnsi="Arial"/>
          <w:snapToGrid w:val="0"/>
        </w:rPr>
        <w:t>éducation formelle et non formelle comme mesure de sauvegarde (</w:t>
      </w:r>
      <w:r w:rsidR="000660D9" w:rsidRPr="000660D9">
        <w:rPr>
          <w:rFonts w:ascii="Arial" w:hAnsi="Arial"/>
          <w:snapToGrid w:val="0"/>
        </w:rPr>
        <w:t>Décision </w:t>
      </w:r>
      <w:hyperlink r:id="rId10" w:history="1">
        <w:r w:rsidR="000660D9">
          <w:rPr>
            <w:rStyle w:val="Hyperlink"/>
            <w:rFonts w:ascii="Arial" w:hAnsi="Arial"/>
            <w:snapToGrid w:val="0"/>
          </w:rPr>
          <w:t>12.COM 6</w:t>
        </w:r>
      </w:hyperlink>
      <w:r>
        <w:rPr>
          <w:rFonts w:ascii="Arial" w:hAnsi="Arial"/>
          <w:snapToGrid w:val="0"/>
        </w:rPr>
        <w:t>). Les objectifs de mobilisation de ressources fixés pour les deux priorités de financement étaient respectivement de 5 millions de dollars des États-Unis et de 2 millions de dollars des États-Unis pour la période 2018 - 2021.</w:t>
      </w:r>
    </w:p>
    <w:p w14:paraId="25C45F5E" w14:textId="77777777" w:rsidR="002459E4" w:rsidRPr="000D60A4" w:rsidRDefault="002459E4" w:rsidP="000660D9">
      <w:pPr>
        <w:pStyle w:val="ListParagraph"/>
        <w:numPr>
          <w:ilvl w:val="0"/>
          <w:numId w:val="15"/>
        </w:numPr>
        <w:spacing w:before="240"/>
        <w:ind w:left="562" w:hanging="562"/>
        <w:contextualSpacing/>
        <w:rPr>
          <w:b/>
        </w:rPr>
      </w:pPr>
      <w:r>
        <w:rPr>
          <w:b/>
        </w:rPr>
        <w:t>État des lieux</w:t>
      </w:r>
    </w:p>
    <w:p w14:paraId="659FC1C2" w14:textId="373AD632" w:rsidR="0066569B" w:rsidRPr="008243CA" w:rsidRDefault="00FE5624" w:rsidP="002459E4">
      <w:pPr>
        <w:numPr>
          <w:ilvl w:val="0"/>
          <w:numId w:val="8"/>
        </w:numPr>
        <w:ind w:left="567" w:hanging="567"/>
        <w:jc w:val="both"/>
        <w:rPr>
          <w:rFonts w:ascii="Arial" w:hAnsi="Arial" w:cs="Arial"/>
          <w:snapToGrid w:val="0"/>
          <w:szCs w:val="22"/>
        </w:rPr>
      </w:pPr>
      <w:r>
        <w:rPr>
          <w:rFonts w:ascii="Arial" w:hAnsi="Arial"/>
          <w:snapToGrid w:val="0"/>
        </w:rPr>
        <w:t>Au cours de la période quadriennale 2018 - 2021 (jusqu</w:t>
      </w:r>
      <w:r w:rsidR="00C62E8C">
        <w:rPr>
          <w:rFonts w:ascii="Arial" w:hAnsi="Arial"/>
          <w:snapToGrid w:val="0"/>
        </w:rPr>
        <w:t>’</w:t>
      </w:r>
      <w:r>
        <w:rPr>
          <w:rFonts w:ascii="Arial" w:hAnsi="Arial"/>
          <w:snapToGrid w:val="0"/>
        </w:rPr>
        <w:t>au 30 juin 2021), dix-huit contributions volontaires supplémentaires ont été reçues, pour un montant total de 1 276 661 millions de dollars des États-Unis, les priorités et initiatives de financement étant réparties comme suit :</w:t>
      </w:r>
    </w:p>
    <w:p w14:paraId="224D6226" w14:textId="7FC77923" w:rsidR="0066569B" w:rsidRDefault="005C4D6E" w:rsidP="00B21F2F">
      <w:pPr>
        <w:ind w:left="567"/>
        <w:jc w:val="center"/>
        <w:rPr>
          <w:rFonts w:ascii="Arial" w:hAnsi="Arial" w:cs="Arial"/>
          <w:snapToGrid w:val="0"/>
          <w:szCs w:val="22"/>
          <w:highlight w:val="yellow"/>
        </w:rPr>
      </w:pPr>
      <w:r>
        <w:rPr>
          <w:noProof/>
        </w:rPr>
        <w:drawing>
          <wp:inline distT="0" distB="0" distL="0" distR="0" wp14:anchorId="227F2A68" wp14:editId="77AB46F9">
            <wp:extent cx="4957764" cy="3138488"/>
            <wp:effectExtent l="0" t="0" r="14605" b="5080"/>
            <wp:docPr id="1" name="Graphique 1">
              <a:extLst xmlns:a="http://schemas.openxmlformats.org/drawingml/2006/main">
                <a:ext uri="{FF2B5EF4-FFF2-40B4-BE49-F238E27FC236}">
                  <a16:creationId xmlns:a16="http://schemas.microsoft.com/office/drawing/2014/main" id="{61983945-DD8F-4E6D-AE21-15BF62688E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842B3DE" w14:textId="67381913" w:rsidR="002459E4" w:rsidRPr="004C4449" w:rsidRDefault="00B21F2F" w:rsidP="00125CDA">
      <w:pPr>
        <w:numPr>
          <w:ilvl w:val="0"/>
          <w:numId w:val="8"/>
        </w:numPr>
        <w:ind w:left="567" w:hanging="567"/>
        <w:jc w:val="both"/>
        <w:rPr>
          <w:rFonts w:ascii="Arial" w:hAnsi="Arial" w:cs="Arial"/>
          <w:snapToGrid w:val="0"/>
          <w:szCs w:val="22"/>
        </w:rPr>
      </w:pPr>
      <w:r>
        <w:rPr>
          <w:rFonts w:ascii="Arial" w:hAnsi="Arial"/>
          <w:snapToGrid w:val="0"/>
        </w:rPr>
        <w:lastRenderedPageBreak/>
        <w:t>Par rapport à la période quadriennale précédente 201</w:t>
      </w:r>
      <w:r w:rsidR="00436ADC">
        <w:rPr>
          <w:rFonts w:ascii="Arial" w:hAnsi="Arial"/>
          <w:snapToGrid w:val="0"/>
        </w:rPr>
        <w:t>4</w:t>
      </w:r>
      <w:r>
        <w:rPr>
          <w:rFonts w:ascii="Arial" w:hAnsi="Arial"/>
          <w:snapToGrid w:val="0"/>
        </w:rPr>
        <w:t xml:space="preserve"> - 2017, le volume des contributions volontaires supplémentaires de janvier 2018 à juin 2021 a été environ divisé par deux. On considère que le montant croissant du financement disponible dans le Fonds, auquel les États parties peuvent accéder par le biais des mécanismes de l</w:t>
      </w:r>
      <w:r w:rsidR="00C62E8C">
        <w:rPr>
          <w:rFonts w:ascii="Arial" w:hAnsi="Arial"/>
          <w:snapToGrid w:val="0"/>
        </w:rPr>
        <w:t>’</w:t>
      </w:r>
      <w:r>
        <w:rPr>
          <w:rFonts w:ascii="Arial" w:hAnsi="Arial"/>
          <w:snapToGrid w:val="0"/>
        </w:rPr>
        <w:t>assistance internationale, est à l</w:t>
      </w:r>
      <w:r w:rsidR="00C62E8C">
        <w:rPr>
          <w:rFonts w:ascii="Arial" w:hAnsi="Arial"/>
          <w:snapToGrid w:val="0"/>
        </w:rPr>
        <w:t>’</w:t>
      </w:r>
      <w:r>
        <w:rPr>
          <w:rFonts w:ascii="Arial" w:hAnsi="Arial"/>
          <w:snapToGrid w:val="0"/>
        </w:rPr>
        <w:t>origine de la réduction des contributions volontaires ces dernières années. C</w:t>
      </w:r>
      <w:r w:rsidR="00C62E8C">
        <w:rPr>
          <w:rFonts w:ascii="Arial" w:hAnsi="Arial"/>
          <w:snapToGrid w:val="0"/>
        </w:rPr>
        <w:t>’</w:t>
      </w:r>
      <w:r>
        <w:rPr>
          <w:rFonts w:ascii="Arial" w:hAnsi="Arial"/>
          <w:snapToGrid w:val="0"/>
        </w:rPr>
        <w:t>est la raison pour laquelle le Secrétariat a consacré beaucoup d</w:t>
      </w:r>
      <w:r w:rsidR="00C62E8C">
        <w:rPr>
          <w:rFonts w:ascii="Arial" w:hAnsi="Arial"/>
          <w:snapToGrid w:val="0"/>
        </w:rPr>
        <w:t>’</w:t>
      </w:r>
      <w:r>
        <w:rPr>
          <w:rFonts w:ascii="Arial" w:hAnsi="Arial"/>
          <w:snapToGrid w:val="0"/>
        </w:rPr>
        <w:t>efforts - en particulier depuis 2016 - à l</w:t>
      </w:r>
      <w:r w:rsidR="00C62E8C">
        <w:rPr>
          <w:rFonts w:ascii="Arial" w:hAnsi="Arial"/>
          <w:snapToGrid w:val="0"/>
        </w:rPr>
        <w:t>’</w:t>
      </w:r>
      <w:r>
        <w:rPr>
          <w:rFonts w:ascii="Arial" w:hAnsi="Arial"/>
          <w:snapToGrid w:val="0"/>
        </w:rPr>
        <w:t>intensification de la mise en œuvre des mécanismes de l</w:t>
      </w:r>
      <w:r w:rsidR="00C62E8C">
        <w:rPr>
          <w:rFonts w:ascii="Arial" w:hAnsi="Arial"/>
          <w:snapToGrid w:val="0"/>
        </w:rPr>
        <w:t>’</w:t>
      </w:r>
      <w:r>
        <w:rPr>
          <w:rFonts w:ascii="Arial" w:hAnsi="Arial"/>
          <w:snapToGrid w:val="0"/>
        </w:rPr>
        <w:t xml:space="preserve">assistance internationale du Fonds (voir document </w:t>
      </w:r>
      <w:hyperlink r:id="rId12" w:history="1">
        <w:r>
          <w:rPr>
            <w:rStyle w:val="Hyperlink"/>
            <w:rFonts w:ascii="Arial" w:hAnsi="Arial"/>
            <w:snapToGrid w:val="0"/>
          </w:rPr>
          <w:t>LHE/19/14.COM/7</w:t>
        </w:r>
      </w:hyperlink>
      <w:r>
        <w:rPr>
          <w:rFonts w:ascii="Arial" w:hAnsi="Arial"/>
          <w:snapToGrid w:val="0"/>
        </w:rPr>
        <w:t>) et au renforcement du suivi des projets financés par le Fonds pour le patrimoine culturel immatériel, avec la création d</w:t>
      </w:r>
      <w:r w:rsidR="00C62E8C">
        <w:rPr>
          <w:rFonts w:ascii="Arial" w:hAnsi="Arial"/>
          <w:snapToGrid w:val="0"/>
        </w:rPr>
        <w:t>’</w:t>
      </w:r>
      <w:r>
        <w:rPr>
          <w:rFonts w:ascii="Arial" w:hAnsi="Arial"/>
          <w:snapToGrid w:val="0"/>
        </w:rPr>
        <w:t xml:space="preserve">une équipe dédiée à la mise en œuvre et au suivi de la sauvegarde (voir document </w:t>
      </w:r>
      <w:hyperlink r:id="rId13" w:history="1">
        <w:r>
          <w:rPr>
            <w:rStyle w:val="Hyperlink"/>
            <w:rFonts w:ascii="Arial" w:hAnsi="Arial"/>
            <w:snapToGrid w:val="0"/>
          </w:rPr>
          <w:t>LHE/20/8.GA/7 Rev.</w:t>
        </w:r>
      </w:hyperlink>
      <w:r>
        <w:rPr>
          <w:rFonts w:ascii="Arial" w:hAnsi="Arial"/>
          <w:snapToGrid w:val="0"/>
        </w:rPr>
        <w:t xml:space="preserve">). Si les circonstances particulières dues à la pandémie de COVID-19 en cours permettent difficilement de tirer du présent exercice </w:t>
      </w:r>
      <w:r w:rsidR="00AE66EF">
        <w:rPr>
          <w:rFonts w:ascii="Arial" w:hAnsi="Arial"/>
          <w:snapToGrid w:val="0"/>
        </w:rPr>
        <w:t xml:space="preserve">biennal </w:t>
      </w:r>
      <w:r>
        <w:rPr>
          <w:rFonts w:ascii="Arial" w:hAnsi="Arial"/>
          <w:snapToGrid w:val="0"/>
        </w:rPr>
        <w:t>des conclusions sur les tendances futures, il est clair que le besoin de contributions volontaires supplémentaires demeure, que ce soit pour soutenir les États parties qui ne sont pas encore en mesure de soumettre des demandes d</w:t>
      </w:r>
      <w:r w:rsidR="00C62E8C">
        <w:rPr>
          <w:rFonts w:ascii="Arial" w:hAnsi="Arial"/>
          <w:snapToGrid w:val="0"/>
        </w:rPr>
        <w:t>’</w:t>
      </w:r>
      <w:r>
        <w:rPr>
          <w:rFonts w:ascii="Arial" w:hAnsi="Arial"/>
          <w:snapToGrid w:val="0"/>
        </w:rPr>
        <w:t>assistance internationale, afin de mener des projets novateurs dans de nouveaux domaines tels que l</w:t>
      </w:r>
      <w:r w:rsidR="00C62E8C">
        <w:rPr>
          <w:rFonts w:ascii="Arial" w:hAnsi="Arial"/>
          <w:snapToGrid w:val="0"/>
        </w:rPr>
        <w:t>’</w:t>
      </w:r>
      <w:r>
        <w:rPr>
          <w:rFonts w:ascii="Arial" w:hAnsi="Arial"/>
          <w:snapToGrid w:val="0"/>
        </w:rPr>
        <w:t>intégration du patrimoine culturel immatériel dans l</w:t>
      </w:r>
      <w:r w:rsidR="00C62E8C">
        <w:rPr>
          <w:rFonts w:ascii="Arial" w:hAnsi="Arial"/>
          <w:snapToGrid w:val="0"/>
        </w:rPr>
        <w:t>’</w:t>
      </w:r>
      <w:r>
        <w:rPr>
          <w:rFonts w:ascii="Arial" w:hAnsi="Arial"/>
          <w:snapToGrid w:val="0"/>
        </w:rPr>
        <w:t>éducation et/ou pour effectuer un travail en amont au niveau mondial. Compte tenu de cette perspective, le Secrétariat poursuivra ses efforts en matière de levée de fonds pour les deux priorités de financement, ainsi que dans le but d</w:t>
      </w:r>
      <w:r w:rsidR="00C62E8C">
        <w:rPr>
          <w:rFonts w:ascii="Arial" w:hAnsi="Arial"/>
          <w:snapToGrid w:val="0"/>
        </w:rPr>
        <w:t>’</w:t>
      </w:r>
      <w:r>
        <w:rPr>
          <w:rFonts w:ascii="Arial" w:hAnsi="Arial"/>
          <w:snapToGrid w:val="0"/>
        </w:rPr>
        <w:t>améliorer ses ressources humaines.</w:t>
      </w:r>
    </w:p>
    <w:p w14:paraId="11FB3B4B" w14:textId="77777777" w:rsidR="002459E4" w:rsidRPr="004C4449" w:rsidRDefault="002459E4" w:rsidP="002459E4">
      <w:pPr>
        <w:keepNext/>
        <w:keepLines/>
        <w:tabs>
          <w:tab w:val="left" w:pos="567"/>
        </w:tabs>
        <w:snapToGrid w:val="0"/>
        <w:spacing w:before="240"/>
        <w:ind w:left="567"/>
        <w:jc w:val="both"/>
        <w:rPr>
          <w:rFonts w:ascii="Arial" w:hAnsi="Arial" w:cs="Arial"/>
          <w:snapToGrid w:val="0"/>
          <w:color w:val="000000"/>
          <w:szCs w:val="22"/>
        </w:rPr>
      </w:pPr>
      <w:r>
        <w:rPr>
          <w:rFonts w:ascii="Arial" w:hAnsi="Arial"/>
          <w:b/>
          <w:snapToGrid w:val="0"/>
        </w:rPr>
        <w:t>Priorité 1 de financement : le programme de renforcement des capacités</w:t>
      </w:r>
    </w:p>
    <w:p w14:paraId="51EB05D4" w14:textId="0039A3FB" w:rsidR="00EC3E60" w:rsidRPr="002D4B4C" w:rsidRDefault="002459E4" w:rsidP="002459E4">
      <w:pPr>
        <w:numPr>
          <w:ilvl w:val="0"/>
          <w:numId w:val="8"/>
        </w:numPr>
        <w:ind w:left="567" w:hanging="567"/>
        <w:jc w:val="both"/>
      </w:pPr>
      <w:r>
        <w:rPr>
          <w:rFonts w:ascii="Arial" w:hAnsi="Arial"/>
          <w:snapToGrid w:val="0"/>
        </w:rPr>
        <w:t>L</w:t>
      </w:r>
      <w:r w:rsidR="00C62E8C">
        <w:rPr>
          <w:rFonts w:ascii="Arial" w:hAnsi="Arial"/>
          <w:snapToGrid w:val="0"/>
        </w:rPr>
        <w:t>’</w:t>
      </w:r>
      <w:r>
        <w:rPr>
          <w:rFonts w:ascii="Arial" w:hAnsi="Arial"/>
          <w:snapToGrid w:val="0"/>
        </w:rPr>
        <w:t>exercice biennal actuel (40 C/5) est marqué par une augmentation des contributions volontaires supplémentaires pour soutenir le programme mondial de renforcement des capacités après une période 2018 - 2019 au cours de laquelle aucune contribution de ce type n</w:t>
      </w:r>
      <w:r w:rsidR="00C62E8C">
        <w:rPr>
          <w:rFonts w:ascii="Arial" w:hAnsi="Arial"/>
          <w:snapToGrid w:val="0"/>
        </w:rPr>
        <w:t>’</w:t>
      </w:r>
      <w:r>
        <w:rPr>
          <w:rFonts w:ascii="Arial" w:hAnsi="Arial"/>
          <w:snapToGrid w:val="0"/>
        </w:rPr>
        <w:t xml:space="preserve">a été reçue. Depuis la quatorzième session du Comité en 2019, quatre contributions volontaires ont été reçues, de la part de </w:t>
      </w:r>
      <w:bookmarkStart w:id="0" w:name="_Hlk82614611"/>
      <w:r>
        <w:rPr>
          <w:rFonts w:ascii="Arial" w:hAnsi="Arial"/>
          <w:snapToGrid w:val="0"/>
        </w:rPr>
        <w:t>l</w:t>
      </w:r>
      <w:r w:rsidR="00C62E8C">
        <w:rPr>
          <w:rFonts w:ascii="Arial" w:hAnsi="Arial"/>
          <w:snapToGrid w:val="0"/>
        </w:rPr>
        <w:t>’</w:t>
      </w:r>
      <w:r>
        <w:rPr>
          <w:rFonts w:ascii="Arial" w:hAnsi="Arial"/>
          <w:snapToGrid w:val="0"/>
        </w:rPr>
        <w:t>Azerbaïdjan (100 000 dollars des États-Unis), de la France (271 445 dollars des États-Unis), du Koweït (65 000 dollars des États-Unis) et de la Suisse (100 000 dollars des États-Unis)</w:t>
      </w:r>
      <w:bookmarkEnd w:id="0"/>
      <w:r>
        <w:rPr>
          <w:rFonts w:ascii="Arial" w:hAnsi="Arial"/>
          <w:snapToGrid w:val="0"/>
        </w:rPr>
        <w:t>. Ces contributions ont permis de poursuivre la mise en œuvre de projets de renforcement des capacités au niveau national en Afrique et dans les Caraïbes, ainsi que des initiatives visant spécifiquement le renforcement des capacités pour la sauvegarde du patrimoine vivant dans les situations d</w:t>
      </w:r>
      <w:r w:rsidR="00C62E8C">
        <w:rPr>
          <w:rFonts w:ascii="Arial" w:hAnsi="Arial"/>
          <w:snapToGrid w:val="0"/>
        </w:rPr>
        <w:t>’</w:t>
      </w:r>
      <w:r>
        <w:rPr>
          <w:rFonts w:ascii="Arial" w:hAnsi="Arial"/>
          <w:snapToGrid w:val="0"/>
        </w:rPr>
        <w:t>urgence. Ces quatre contributions représentent un total de 536 445 dollars des États-Unis, soit 11 % de l</w:t>
      </w:r>
      <w:r w:rsidR="00C62E8C">
        <w:rPr>
          <w:rFonts w:ascii="Arial" w:hAnsi="Arial"/>
          <w:snapToGrid w:val="0"/>
        </w:rPr>
        <w:t>’</w:t>
      </w:r>
      <w:r>
        <w:rPr>
          <w:rFonts w:ascii="Arial" w:hAnsi="Arial"/>
          <w:color w:val="000000"/>
        </w:rPr>
        <w:t>objectif de mobilisation de 5 millions de dollars des États-Unis fixé pour la période quadriennale 2018 - 2021 (</w:t>
      </w:r>
      <w:r>
        <w:rPr>
          <w:rFonts w:ascii="Arial" w:hAnsi="Arial"/>
        </w:rPr>
        <w:t xml:space="preserve">Décision </w:t>
      </w:r>
      <w:hyperlink r:id="rId14" w:history="1">
        <w:r>
          <w:rPr>
            <w:rStyle w:val="Hyperlink"/>
            <w:rFonts w:ascii="Arial" w:hAnsi="Arial"/>
          </w:rPr>
          <w:t>12.COM 6</w:t>
        </w:r>
      </w:hyperlink>
      <w:r>
        <w:rPr>
          <w:rFonts w:ascii="Arial" w:hAnsi="Arial"/>
          <w:color w:val="000000"/>
        </w:rPr>
        <w:t>).</w:t>
      </w:r>
    </w:p>
    <w:p w14:paraId="09680521" w14:textId="5FAFBF9B" w:rsidR="002459E4" w:rsidRDefault="002459E4" w:rsidP="002459E4">
      <w:pPr>
        <w:keepNext/>
        <w:tabs>
          <w:tab w:val="left" w:pos="567"/>
        </w:tabs>
        <w:snapToGrid w:val="0"/>
        <w:spacing w:before="240"/>
        <w:ind w:left="567"/>
        <w:jc w:val="both"/>
        <w:rPr>
          <w:rFonts w:ascii="Arial" w:hAnsi="Arial" w:cs="Arial"/>
          <w:snapToGrid w:val="0"/>
          <w:szCs w:val="22"/>
        </w:rPr>
      </w:pPr>
      <w:r>
        <w:rPr>
          <w:rFonts w:ascii="Arial" w:hAnsi="Arial"/>
          <w:b/>
          <w:snapToGrid w:val="0"/>
        </w:rPr>
        <w:t>Priorité 2 de financement : le patrimoine culturel immatériel dans l</w:t>
      </w:r>
      <w:r w:rsidR="00C62E8C">
        <w:rPr>
          <w:rFonts w:ascii="Arial" w:hAnsi="Arial"/>
          <w:b/>
          <w:snapToGrid w:val="0"/>
        </w:rPr>
        <w:t>’</w:t>
      </w:r>
      <w:r>
        <w:rPr>
          <w:rFonts w:ascii="Arial" w:hAnsi="Arial"/>
          <w:b/>
          <w:snapToGrid w:val="0"/>
        </w:rPr>
        <w:t>éducation</w:t>
      </w:r>
    </w:p>
    <w:p w14:paraId="0FF79940" w14:textId="20CF680D" w:rsidR="0092367F" w:rsidRPr="0092367F" w:rsidRDefault="002459E4" w:rsidP="008E3F0F">
      <w:pPr>
        <w:numPr>
          <w:ilvl w:val="0"/>
          <w:numId w:val="8"/>
        </w:numPr>
        <w:ind w:left="567" w:hanging="567"/>
        <w:jc w:val="both"/>
        <w:rPr>
          <w:rFonts w:ascii="Arial" w:hAnsi="Arial" w:cs="Arial"/>
          <w:snapToGrid w:val="0"/>
          <w:szCs w:val="22"/>
        </w:rPr>
      </w:pPr>
      <w:r>
        <w:rPr>
          <w:rFonts w:ascii="Arial" w:hAnsi="Arial"/>
        </w:rPr>
        <w:t>Dans le cadre de la priorité de financement « Sauvegarde du patrimoine culturel immatériel dans l</w:t>
      </w:r>
      <w:r w:rsidR="00C62E8C">
        <w:rPr>
          <w:rFonts w:ascii="Arial" w:hAnsi="Arial"/>
        </w:rPr>
        <w:t>’</w:t>
      </w:r>
      <w:r>
        <w:rPr>
          <w:rFonts w:ascii="Arial" w:hAnsi="Arial"/>
        </w:rPr>
        <w:t xml:space="preserve">éducation formelle et non formelle », le Secrétariat a poursuivi ses initiatives en amont et ses activités opérationnelles aux niveaux mondial et national (voir le rapport du Secrétariat dans le </w:t>
      </w:r>
      <w:r w:rsidRPr="00E33A41">
        <w:rPr>
          <w:rFonts w:ascii="Arial" w:hAnsi="Arial"/>
        </w:rPr>
        <w:t xml:space="preserve">document </w:t>
      </w:r>
      <w:hyperlink r:id="rId15" w:history="1">
        <w:r w:rsidRPr="00E33A41">
          <w:rPr>
            <w:rStyle w:val="Hyperlink"/>
            <w:rFonts w:ascii="Arial" w:hAnsi="Arial"/>
          </w:rPr>
          <w:t>LHE/21/16.COM/5.b</w:t>
        </w:r>
      </w:hyperlink>
      <w:r>
        <w:rPr>
          <w:rFonts w:ascii="Arial" w:hAnsi="Arial"/>
        </w:rPr>
        <w:t xml:space="preserve"> et le rapport de mise en œuvre du plan de dépenses pour les « autres fonctions du Comité » dans le </w:t>
      </w:r>
      <w:r w:rsidRPr="00DC317C">
        <w:rPr>
          <w:rFonts w:ascii="Arial" w:hAnsi="Arial"/>
        </w:rPr>
        <w:t xml:space="preserve">document </w:t>
      </w:r>
      <w:hyperlink r:id="rId16" w:history="1">
        <w:r w:rsidRPr="00DC317C">
          <w:rPr>
            <w:rStyle w:val="Hyperlink"/>
            <w:rFonts w:ascii="Arial" w:hAnsi="Arial"/>
          </w:rPr>
          <w:t>LHE/21/16.COM/INF.13.2</w:t>
        </w:r>
      </w:hyperlink>
      <w:r w:rsidRPr="00DC317C">
        <w:rPr>
          <w:rFonts w:ascii="Arial" w:hAnsi="Arial"/>
        </w:rPr>
        <w:t xml:space="preserve"> pour</w:t>
      </w:r>
      <w:r>
        <w:rPr>
          <w:rFonts w:ascii="Arial" w:hAnsi="Arial"/>
        </w:rPr>
        <w:t xml:space="preserve"> plus de détails sur les activités en cours et terminées) en collaboration avec le Secteur de l</w:t>
      </w:r>
      <w:r w:rsidR="00C62E8C">
        <w:rPr>
          <w:rFonts w:ascii="Arial" w:hAnsi="Arial"/>
        </w:rPr>
        <w:t>’</w:t>
      </w:r>
      <w:r>
        <w:rPr>
          <w:rFonts w:ascii="Arial" w:hAnsi="Arial"/>
        </w:rPr>
        <w:t>éducation de l</w:t>
      </w:r>
      <w:r w:rsidR="00C62E8C">
        <w:rPr>
          <w:rFonts w:ascii="Arial" w:hAnsi="Arial"/>
        </w:rPr>
        <w:t>’</w:t>
      </w:r>
      <w:r>
        <w:rPr>
          <w:rFonts w:ascii="Arial" w:hAnsi="Arial"/>
        </w:rPr>
        <w:t>UNESCO au siège et avec les bureaux hors siège.</w:t>
      </w:r>
    </w:p>
    <w:p w14:paraId="132E4B92" w14:textId="4FD78AD2" w:rsidR="00CF5253" w:rsidRPr="0092367F" w:rsidRDefault="002A5504" w:rsidP="0092367F">
      <w:pPr>
        <w:numPr>
          <w:ilvl w:val="0"/>
          <w:numId w:val="8"/>
        </w:numPr>
        <w:ind w:left="567" w:hanging="567"/>
        <w:jc w:val="both"/>
        <w:rPr>
          <w:rFonts w:ascii="Arial" w:hAnsi="Arial" w:cs="Arial"/>
          <w:snapToGrid w:val="0"/>
          <w:szCs w:val="22"/>
        </w:rPr>
      </w:pPr>
      <w:r>
        <w:rPr>
          <w:rFonts w:ascii="Arial" w:hAnsi="Arial"/>
        </w:rPr>
        <w:t>Depuis la quatorzième session du Comité en décembre 2019, deux contributions volontaires d</w:t>
      </w:r>
      <w:r w:rsidR="00C62E8C">
        <w:rPr>
          <w:rFonts w:ascii="Arial" w:hAnsi="Arial"/>
        </w:rPr>
        <w:t>’</w:t>
      </w:r>
      <w:r>
        <w:rPr>
          <w:rFonts w:ascii="Arial" w:hAnsi="Arial"/>
        </w:rPr>
        <w:t>un montant de</w:t>
      </w:r>
      <w:r>
        <w:rPr>
          <w:rFonts w:ascii="Arial" w:hAnsi="Arial"/>
          <w:snapToGrid w:val="0"/>
        </w:rPr>
        <w:t xml:space="preserve"> 291 000 dollars des États-Unis</w:t>
      </w:r>
      <w:r>
        <w:rPr>
          <w:rFonts w:ascii="Arial" w:hAnsi="Arial"/>
        </w:rPr>
        <w:t xml:space="preserve"> ont été reçues des Pays-Bas et du Centre international d</w:t>
      </w:r>
      <w:r w:rsidR="00C62E8C">
        <w:rPr>
          <w:rFonts w:ascii="Arial" w:hAnsi="Arial"/>
        </w:rPr>
        <w:t>’</w:t>
      </w:r>
      <w:r>
        <w:rPr>
          <w:rFonts w:ascii="Arial" w:hAnsi="Arial"/>
        </w:rPr>
        <w:t>information et de travail en réseau sur le patrimoine culturel immatériel dans la région Asie-Pacifique (ICHCAP), centre de catégorie 2 placé sous l</w:t>
      </w:r>
      <w:r w:rsidR="00C62E8C">
        <w:rPr>
          <w:rFonts w:ascii="Arial" w:hAnsi="Arial"/>
        </w:rPr>
        <w:t>’</w:t>
      </w:r>
      <w:r>
        <w:rPr>
          <w:rFonts w:ascii="Arial" w:hAnsi="Arial"/>
        </w:rPr>
        <w:t>égide de l</w:t>
      </w:r>
      <w:r w:rsidR="00C62E8C">
        <w:rPr>
          <w:rFonts w:ascii="Arial" w:hAnsi="Arial"/>
        </w:rPr>
        <w:t>’</w:t>
      </w:r>
      <w:r>
        <w:rPr>
          <w:rFonts w:ascii="Arial" w:hAnsi="Arial"/>
        </w:rPr>
        <w:t>UNESCO, pour la mise en œuvre de quatre projets opérationnels en Afrique, en Asie et dans le Pacifique, ainsi qu</w:t>
      </w:r>
      <w:r w:rsidR="00C62E8C">
        <w:rPr>
          <w:rFonts w:ascii="Arial" w:hAnsi="Arial"/>
        </w:rPr>
        <w:t>’</w:t>
      </w:r>
      <w:r>
        <w:rPr>
          <w:rFonts w:ascii="Arial" w:hAnsi="Arial"/>
        </w:rPr>
        <w:t xml:space="preserve">en Amérique latine et dans les Caraïbes. </w:t>
      </w:r>
      <w:r>
        <w:rPr>
          <w:rFonts w:ascii="Arial" w:hAnsi="Arial"/>
          <w:snapToGrid w:val="0"/>
        </w:rPr>
        <w:t>Sur la période quadriennale 2018 - 2021 durant laquelle cette priorité de financement a été initiée (</w:t>
      </w:r>
      <w:r w:rsidR="000660D9">
        <w:rPr>
          <w:rFonts w:ascii="Arial" w:hAnsi="Arial"/>
          <w:snapToGrid w:val="0"/>
        </w:rPr>
        <w:t>D</w:t>
      </w:r>
      <w:r>
        <w:rPr>
          <w:rFonts w:ascii="Arial" w:hAnsi="Arial"/>
          <w:snapToGrid w:val="0"/>
        </w:rPr>
        <w:t xml:space="preserve">écision </w:t>
      </w:r>
      <w:hyperlink r:id="rId17" w:history="1">
        <w:r>
          <w:rPr>
            <w:rStyle w:val="Hyperlink"/>
            <w:rFonts w:ascii="Arial" w:hAnsi="Arial"/>
            <w:snapToGrid w:val="0"/>
          </w:rPr>
          <w:t>12.COM 6</w:t>
        </w:r>
      </w:hyperlink>
      <w:r>
        <w:rPr>
          <w:rFonts w:ascii="Arial" w:hAnsi="Arial"/>
          <w:snapToGrid w:val="0"/>
        </w:rPr>
        <w:t>), ces deux contributions volontaires susmentionnées reçues correspondent à 15 % de l</w:t>
      </w:r>
      <w:r w:rsidR="00C62E8C">
        <w:rPr>
          <w:rFonts w:ascii="Arial" w:hAnsi="Arial"/>
          <w:snapToGrid w:val="0"/>
        </w:rPr>
        <w:t>’</w:t>
      </w:r>
      <w:r>
        <w:rPr>
          <w:rFonts w:ascii="Arial" w:hAnsi="Arial"/>
          <w:snapToGrid w:val="0"/>
        </w:rPr>
        <w:t>objectif de mobilisation de 2 millions de dollars des États-Unis qui avait été fixé à cet effet.</w:t>
      </w:r>
    </w:p>
    <w:p w14:paraId="6A6D6448" w14:textId="04FEC083" w:rsidR="002459E4" w:rsidRDefault="002459E4" w:rsidP="00EE1D07">
      <w:pPr>
        <w:keepNext/>
        <w:tabs>
          <w:tab w:val="left" w:pos="567"/>
        </w:tabs>
        <w:snapToGrid w:val="0"/>
        <w:spacing w:before="240"/>
        <w:ind w:left="567"/>
        <w:jc w:val="both"/>
        <w:rPr>
          <w:rFonts w:ascii="Arial" w:hAnsi="Arial" w:cs="Arial"/>
          <w:snapToGrid w:val="0"/>
          <w:szCs w:val="22"/>
        </w:rPr>
      </w:pPr>
      <w:r>
        <w:rPr>
          <w:rFonts w:ascii="Arial" w:hAnsi="Arial"/>
          <w:b/>
          <w:snapToGrid w:val="0"/>
        </w:rPr>
        <w:lastRenderedPageBreak/>
        <w:t>Renforcement des ressources humaines du Secrétariat</w:t>
      </w:r>
      <w:r>
        <w:rPr>
          <w:rFonts w:ascii="Arial" w:hAnsi="Arial"/>
          <w:snapToGrid w:val="0"/>
        </w:rPr>
        <w:t xml:space="preserve"> </w:t>
      </w:r>
    </w:p>
    <w:p w14:paraId="4EB89A8B" w14:textId="39B661EA" w:rsidR="00EF6997" w:rsidRPr="00394DB7" w:rsidRDefault="00EF6997" w:rsidP="008E3F0F">
      <w:pPr>
        <w:keepLines/>
        <w:numPr>
          <w:ilvl w:val="0"/>
          <w:numId w:val="8"/>
        </w:numPr>
        <w:ind w:left="567" w:hanging="567"/>
        <w:jc w:val="both"/>
        <w:rPr>
          <w:rFonts w:ascii="Arial" w:hAnsi="Arial" w:cs="Arial"/>
          <w:snapToGrid w:val="0"/>
          <w:szCs w:val="22"/>
        </w:rPr>
      </w:pPr>
      <w:r>
        <w:rPr>
          <w:rFonts w:ascii="Arial" w:hAnsi="Arial"/>
          <w:snapToGrid w:val="0"/>
        </w:rPr>
        <w:t>Le sous-fonds destiné à renforcer les ressources humaines du Secrétariat a été créé par l</w:t>
      </w:r>
      <w:r w:rsidR="00C62E8C">
        <w:rPr>
          <w:rFonts w:ascii="Arial" w:hAnsi="Arial"/>
          <w:snapToGrid w:val="0"/>
        </w:rPr>
        <w:t>’</w:t>
      </w:r>
      <w:r>
        <w:rPr>
          <w:rFonts w:ascii="Arial" w:hAnsi="Arial"/>
          <w:snapToGrid w:val="0"/>
        </w:rPr>
        <w:t xml:space="preserve">Assemblée générale en juin 2010 (Résolution </w:t>
      </w:r>
      <w:hyperlink r:id="rId18" w:history="1">
        <w:r>
          <w:rPr>
            <w:rStyle w:val="Hyperlink"/>
            <w:rFonts w:ascii="Arial" w:hAnsi="Arial"/>
            <w:snapToGrid w:val="0"/>
          </w:rPr>
          <w:t>3.GA 9</w:t>
        </w:r>
      </w:hyperlink>
      <w:r>
        <w:rPr>
          <w:rFonts w:ascii="Arial" w:hAnsi="Arial"/>
          <w:snapToGrid w:val="0"/>
        </w:rPr>
        <w:t>) pour soutenir le Secrétariat de façon durable et lui permettre de répondre aux besoins exprimés par les États parties. L</w:t>
      </w:r>
      <w:r w:rsidR="00C62E8C">
        <w:rPr>
          <w:rFonts w:ascii="Arial" w:hAnsi="Arial"/>
          <w:snapToGrid w:val="0"/>
        </w:rPr>
        <w:t>’</w:t>
      </w:r>
      <w:r>
        <w:rPr>
          <w:rFonts w:ascii="Arial" w:hAnsi="Arial"/>
          <w:snapToGrid w:val="0"/>
        </w:rPr>
        <w:t>objectif annuel du sous-fonds, initialement fixé à environ 1,1 million de dollars des États-Unis en 2010, a été réévalué par la huitième session de l</w:t>
      </w:r>
      <w:r w:rsidR="00C62E8C">
        <w:rPr>
          <w:rFonts w:ascii="Arial" w:hAnsi="Arial"/>
          <w:snapToGrid w:val="0"/>
        </w:rPr>
        <w:t>’</w:t>
      </w:r>
      <w:r>
        <w:rPr>
          <w:rFonts w:ascii="Arial" w:hAnsi="Arial"/>
          <w:snapToGrid w:val="0"/>
        </w:rPr>
        <w:t xml:space="preserve">Assemblée générale en 2020 pour atteindre le même niveau et fixé à 950 000 dollars des États-Unis par an (Résolution </w:t>
      </w:r>
      <w:hyperlink r:id="rId19" w:history="1">
        <w:r>
          <w:rPr>
            <w:rStyle w:val="Hyperlink"/>
            <w:rFonts w:ascii="Arial" w:hAnsi="Arial"/>
            <w:snapToGrid w:val="0"/>
          </w:rPr>
          <w:t>8.GA 7</w:t>
        </w:r>
      </w:hyperlink>
      <w:r>
        <w:rPr>
          <w:rFonts w:ascii="Arial" w:hAnsi="Arial"/>
          <w:snapToGrid w:val="0"/>
        </w:rPr>
        <w:t>).</w:t>
      </w:r>
    </w:p>
    <w:p w14:paraId="7A0A05DF" w14:textId="44466232" w:rsidR="00B6280A" w:rsidRDefault="00EF6997" w:rsidP="008E3F0F">
      <w:pPr>
        <w:keepLines/>
        <w:numPr>
          <w:ilvl w:val="0"/>
          <w:numId w:val="8"/>
        </w:numPr>
        <w:ind w:left="567" w:hanging="567"/>
        <w:jc w:val="both"/>
        <w:rPr>
          <w:rFonts w:ascii="Arial" w:hAnsi="Arial" w:cs="Arial"/>
          <w:snapToGrid w:val="0"/>
          <w:szCs w:val="22"/>
        </w:rPr>
      </w:pPr>
      <w:r>
        <w:rPr>
          <w:rFonts w:ascii="Arial" w:hAnsi="Arial"/>
          <w:snapToGrid w:val="0"/>
        </w:rPr>
        <w:t>Depuis la quatorzième session du Comité en 2019, cinq contributions volontaires ont été reçues de la Lituanie, de Monaco, de la Palestine, de la Slovaquie et de la</w:t>
      </w:r>
      <w:r>
        <w:t xml:space="preserve"> </w:t>
      </w:r>
      <w:r>
        <w:rPr>
          <w:rFonts w:ascii="Arial" w:hAnsi="Arial"/>
          <w:snapToGrid w:val="0"/>
        </w:rPr>
        <w:t xml:space="preserve">Fondazione Museo del Violino Antonio Stradivari (Italie), pour un montant total de 40 823 dollars des États-Unis. </w:t>
      </w:r>
      <w:r w:rsidR="0059149B">
        <w:rPr>
          <w:rFonts w:ascii="Arial" w:hAnsi="Arial"/>
          <w:snapToGrid w:val="0"/>
        </w:rPr>
        <w:t>En prenant en compte</w:t>
      </w:r>
      <w:r w:rsidR="0059149B" w:rsidRPr="0059149B">
        <w:rPr>
          <w:rFonts w:ascii="Arial" w:hAnsi="Arial"/>
          <w:snapToGrid w:val="0"/>
        </w:rPr>
        <w:t xml:space="preserve"> </w:t>
      </w:r>
      <w:r w:rsidR="0059149B">
        <w:rPr>
          <w:rFonts w:ascii="Arial" w:hAnsi="Arial"/>
          <w:snapToGrid w:val="0"/>
        </w:rPr>
        <w:t>l</w:t>
      </w:r>
      <w:r w:rsidR="0059149B" w:rsidRPr="0059149B">
        <w:rPr>
          <w:rFonts w:ascii="Arial" w:hAnsi="Arial"/>
          <w:snapToGrid w:val="0"/>
        </w:rPr>
        <w:t xml:space="preserve">es six contributions volontaires reçues en 2018 et 2019, un montant total de 181 867 dollars </w:t>
      </w:r>
      <w:r w:rsidR="0059149B">
        <w:rPr>
          <w:rFonts w:ascii="Arial" w:hAnsi="Arial"/>
          <w:snapToGrid w:val="0"/>
        </w:rPr>
        <w:t xml:space="preserve">des États-Unis </w:t>
      </w:r>
      <w:r w:rsidR="0059149B" w:rsidRPr="0059149B">
        <w:rPr>
          <w:rFonts w:ascii="Arial" w:hAnsi="Arial"/>
          <w:snapToGrid w:val="0"/>
        </w:rPr>
        <w:t xml:space="preserve">a été reçu entre janvier 2018 et juin 2021, ce qui correspond à 4 </w:t>
      </w:r>
      <w:r w:rsidR="0059149B">
        <w:rPr>
          <w:rFonts w:ascii="Arial" w:hAnsi="Arial"/>
          <w:snapToGrid w:val="0"/>
        </w:rPr>
        <w:t>pour cent</w:t>
      </w:r>
      <w:r w:rsidR="0059149B" w:rsidRPr="0059149B">
        <w:rPr>
          <w:rFonts w:ascii="Arial" w:hAnsi="Arial"/>
          <w:snapToGrid w:val="0"/>
        </w:rPr>
        <w:t xml:space="preserve"> de l</w:t>
      </w:r>
      <w:r w:rsidR="0059149B">
        <w:rPr>
          <w:rFonts w:ascii="Arial" w:hAnsi="Arial"/>
          <w:snapToGrid w:val="0"/>
        </w:rPr>
        <w:t>’</w:t>
      </w:r>
      <w:r w:rsidR="0059149B" w:rsidRPr="0059149B">
        <w:rPr>
          <w:rFonts w:ascii="Arial" w:hAnsi="Arial"/>
          <w:snapToGrid w:val="0"/>
        </w:rPr>
        <w:t>objectif approuvé par l</w:t>
      </w:r>
      <w:r w:rsidR="0059149B">
        <w:rPr>
          <w:rFonts w:ascii="Arial" w:hAnsi="Arial"/>
          <w:snapToGrid w:val="0"/>
        </w:rPr>
        <w:t>’</w:t>
      </w:r>
      <w:r w:rsidR="0059149B" w:rsidRPr="0059149B">
        <w:rPr>
          <w:rFonts w:ascii="Arial" w:hAnsi="Arial"/>
          <w:snapToGrid w:val="0"/>
        </w:rPr>
        <w:t>Assemblée générale pour l</w:t>
      </w:r>
      <w:r w:rsidR="0059149B">
        <w:rPr>
          <w:rFonts w:ascii="Arial" w:hAnsi="Arial"/>
          <w:snapToGrid w:val="0"/>
        </w:rPr>
        <w:t>’</w:t>
      </w:r>
      <w:r w:rsidR="0059149B" w:rsidRPr="0059149B">
        <w:rPr>
          <w:rFonts w:ascii="Arial" w:hAnsi="Arial"/>
          <w:snapToGrid w:val="0"/>
        </w:rPr>
        <w:t>ensemble de la période quadriennale 2018-2021</w:t>
      </w:r>
      <w:r>
        <w:rPr>
          <w:rFonts w:ascii="Arial" w:hAnsi="Arial"/>
          <w:snapToGrid w:val="0"/>
        </w:rPr>
        <w:t>. En plus des contributions volontaires, deux contributions en nature ont été reçues de la Chine, sous la forme d</w:t>
      </w:r>
      <w:r w:rsidR="00C62E8C">
        <w:rPr>
          <w:rFonts w:ascii="Arial" w:hAnsi="Arial"/>
          <w:snapToGrid w:val="0"/>
        </w:rPr>
        <w:t>’</w:t>
      </w:r>
      <w:r>
        <w:rPr>
          <w:rFonts w:ascii="Arial" w:hAnsi="Arial"/>
          <w:snapToGrid w:val="0"/>
        </w:rPr>
        <w:t>un détachement de personnel depuis mai2021 et d</w:t>
      </w:r>
      <w:r w:rsidR="00C62E8C">
        <w:rPr>
          <w:rFonts w:ascii="Arial" w:hAnsi="Arial"/>
          <w:snapToGrid w:val="0"/>
        </w:rPr>
        <w:t>’</w:t>
      </w:r>
      <w:r>
        <w:rPr>
          <w:rFonts w:ascii="Arial" w:hAnsi="Arial"/>
          <w:snapToGrid w:val="0"/>
        </w:rPr>
        <w:t xml:space="preserve">un stage parrainé depuis </w:t>
      </w:r>
      <w:r w:rsidR="005767AC">
        <w:rPr>
          <w:rFonts w:ascii="Arial" w:hAnsi="Arial"/>
          <w:snapToGrid w:val="0"/>
        </w:rPr>
        <w:t xml:space="preserve">mars </w:t>
      </w:r>
      <w:r>
        <w:rPr>
          <w:rFonts w:ascii="Arial" w:hAnsi="Arial"/>
          <w:snapToGrid w:val="0"/>
        </w:rPr>
        <w:t>2021.</w:t>
      </w:r>
    </w:p>
    <w:p w14:paraId="08248773" w14:textId="3A55E802" w:rsidR="002809C1" w:rsidRDefault="002809C1" w:rsidP="00B14DF9">
      <w:pPr>
        <w:numPr>
          <w:ilvl w:val="0"/>
          <w:numId w:val="8"/>
        </w:numPr>
        <w:ind w:left="567" w:hanging="567"/>
        <w:jc w:val="both"/>
        <w:rPr>
          <w:rFonts w:ascii="Arial" w:hAnsi="Arial" w:cs="Arial"/>
          <w:snapToGrid w:val="0"/>
          <w:szCs w:val="22"/>
        </w:rPr>
      </w:pPr>
      <w:r>
        <w:rPr>
          <w:rFonts w:ascii="Arial" w:hAnsi="Arial"/>
          <w:snapToGrid w:val="0"/>
        </w:rPr>
        <w:t>Ces dernières années, la Convention a connu simultanément des expansions géographiques (180 États parties au 30 juin 2021) et thématiques, notamment par le biais d</w:t>
      </w:r>
      <w:r w:rsidR="00C62E8C">
        <w:rPr>
          <w:rFonts w:ascii="Arial" w:hAnsi="Arial"/>
          <w:snapToGrid w:val="0"/>
        </w:rPr>
        <w:t>’</w:t>
      </w:r>
      <w:r>
        <w:rPr>
          <w:rFonts w:ascii="Arial" w:hAnsi="Arial"/>
          <w:snapToGrid w:val="0"/>
        </w:rPr>
        <w:t>initiatives sur la « Sauvegarde du patrimoine culturel immatériel dans l</w:t>
      </w:r>
      <w:r w:rsidR="00C62E8C">
        <w:rPr>
          <w:rFonts w:ascii="Arial" w:hAnsi="Arial"/>
          <w:snapToGrid w:val="0"/>
        </w:rPr>
        <w:t>’</w:t>
      </w:r>
      <w:r>
        <w:rPr>
          <w:rFonts w:ascii="Arial" w:hAnsi="Arial"/>
          <w:snapToGrid w:val="0"/>
        </w:rPr>
        <w:t>éducation formelle et non formelle », le « Patrimoine culturel immatériel dans les situations d</w:t>
      </w:r>
      <w:r w:rsidR="00C62E8C">
        <w:rPr>
          <w:rFonts w:ascii="Arial" w:hAnsi="Arial"/>
          <w:snapToGrid w:val="0"/>
        </w:rPr>
        <w:t>’</w:t>
      </w:r>
      <w:r>
        <w:rPr>
          <w:rFonts w:ascii="Arial" w:hAnsi="Arial"/>
          <w:snapToGrid w:val="0"/>
        </w:rPr>
        <w:t>urgence », de la récente réforme du mécanisme de soumission des rapports périodiques et de la réflexion lancée par le Comité sur les mécanismes d</w:t>
      </w:r>
      <w:r w:rsidR="00C62E8C">
        <w:rPr>
          <w:rFonts w:ascii="Arial" w:hAnsi="Arial"/>
          <w:snapToGrid w:val="0"/>
        </w:rPr>
        <w:t>’</w:t>
      </w:r>
      <w:r>
        <w:rPr>
          <w:rFonts w:ascii="Arial" w:hAnsi="Arial"/>
          <w:snapToGrid w:val="0"/>
        </w:rPr>
        <w:t>inscription de la Convention. Ces évolutions récentes, qui reflètent la pertinence permanente de la Convention, sont positives pour sa mise en œuvre tant présente que future. Il convient toutefois de garder à l</w:t>
      </w:r>
      <w:r w:rsidR="00C62E8C">
        <w:rPr>
          <w:rFonts w:ascii="Arial" w:hAnsi="Arial"/>
          <w:snapToGrid w:val="0"/>
        </w:rPr>
        <w:t>’</w:t>
      </w:r>
      <w:r>
        <w:rPr>
          <w:rFonts w:ascii="Arial" w:hAnsi="Arial"/>
          <w:snapToGrid w:val="0"/>
        </w:rPr>
        <w:t>esprit que ces initiatives exigent un soutien continu de la part du Secrétariat. Les organes directeurs de la Convention peuvent envisager les implications en termes de ressources humaines afin de s</w:t>
      </w:r>
      <w:r w:rsidR="00C62E8C">
        <w:rPr>
          <w:rFonts w:ascii="Arial" w:hAnsi="Arial"/>
          <w:snapToGrid w:val="0"/>
        </w:rPr>
        <w:t>’</w:t>
      </w:r>
      <w:r>
        <w:rPr>
          <w:rFonts w:ascii="Arial" w:hAnsi="Arial"/>
          <w:snapToGrid w:val="0"/>
        </w:rPr>
        <w:t>assurer que le Secrétariat a les moyens de fournir un soutien adéquat à ces nouvelles actions. Dans le cas contraire, certaines de ces initiatives devront être mises en attente, en tenant compte des priorités définies par les organes directeurs.</w:t>
      </w:r>
    </w:p>
    <w:p w14:paraId="3C17E8C9" w14:textId="7AB630A4" w:rsidR="002459E4" w:rsidRPr="000449E6" w:rsidRDefault="002459E4" w:rsidP="00FD0A9A">
      <w:pPr>
        <w:keepNext/>
        <w:tabs>
          <w:tab w:val="left" w:pos="567"/>
        </w:tabs>
        <w:snapToGrid w:val="0"/>
        <w:spacing w:before="240"/>
        <w:ind w:left="567"/>
        <w:jc w:val="both"/>
        <w:rPr>
          <w:rFonts w:ascii="Arial" w:hAnsi="Arial" w:cs="Arial"/>
          <w:snapToGrid w:val="0"/>
          <w:szCs w:val="22"/>
        </w:rPr>
      </w:pPr>
      <w:r>
        <w:rPr>
          <w:rFonts w:ascii="Arial" w:hAnsi="Arial"/>
          <w:b/>
          <w:snapToGrid w:val="0"/>
        </w:rPr>
        <w:t>Activités actuellement soutenues par des contributions volontaires supplémentaires</w:t>
      </w:r>
    </w:p>
    <w:p w14:paraId="7C4A4BF2" w14:textId="37276ACC" w:rsidR="002459E4" w:rsidRPr="00BF1B64" w:rsidRDefault="008D20A4" w:rsidP="002459E4">
      <w:pPr>
        <w:numPr>
          <w:ilvl w:val="0"/>
          <w:numId w:val="8"/>
        </w:numPr>
        <w:ind w:left="567" w:hanging="567"/>
        <w:jc w:val="both"/>
        <w:rPr>
          <w:rFonts w:ascii="Arial" w:hAnsi="Arial" w:cs="Arial"/>
          <w:snapToGrid w:val="0"/>
          <w:szCs w:val="22"/>
        </w:rPr>
      </w:pPr>
      <w:r>
        <w:rPr>
          <w:rFonts w:ascii="Arial" w:hAnsi="Arial"/>
          <w:snapToGrid w:val="0"/>
        </w:rPr>
        <w:t xml:space="preserve">La mise en œuvre des activités suivantes, financées par des contributions volontaires </w:t>
      </w:r>
      <w:r w:rsidRPr="00DC317C">
        <w:rPr>
          <w:rFonts w:ascii="Arial" w:hAnsi="Arial"/>
          <w:snapToGrid w:val="0"/>
        </w:rPr>
        <w:t>supplémentaires, a débuté ou s</w:t>
      </w:r>
      <w:r w:rsidR="00C62E8C" w:rsidRPr="00DC317C">
        <w:rPr>
          <w:rFonts w:ascii="Arial" w:hAnsi="Arial"/>
          <w:snapToGrid w:val="0"/>
        </w:rPr>
        <w:t>’</w:t>
      </w:r>
      <w:r w:rsidRPr="00DC317C">
        <w:rPr>
          <w:rFonts w:ascii="Arial" w:hAnsi="Arial"/>
          <w:snapToGrid w:val="0"/>
        </w:rPr>
        <w:t xml:space="preserve">est poursuivie au cours de la période considérée (voir aussi </w:t>
      </w:r>
      <w:hyperlink r:id="rId20" w:history="1">
        <w:r w:rsidRPr="00DC317C">
          <w:rPr>
            <w:rStyle w:val="Hyperlink"/>
            <w:rFonts w:ascii="Arial" w:hAnsi="Arial"/>
          </w:rPr>
          <w:t>LHE/21/16.COM/INF.13.1</w:t>
        </w:r>
      </w:hyperlink>
      <w:r w:rsidRPr="00DC317C">
        <w:rPr>
          <w:rFonts w:ascii="Arial" w:hAnsi="Arial"/>
          <w:snapToGrid w:val="0"/>
        </w:rPr>
        <w:t>).</w:t>
      </w:r>
      <w:r>
        <w:rPr>
          <w:rFonts w:ascii="Arial" w:hAnsi="Arial"/>
          <w:snapToGrid w:val="0"/>
        </w:rPr>
        <w:t xml:space="preserve"> Toutefois, plusieurs des contributions suivantes ayant été reçues en 2020 et 2021, le développement et le lancement des projets concernés ont été retardés par la pandémie de COVID-19. Les projets pour lesquels aucun rapport n</w:t>
      </w:r>
      <w:r w:rsidR="00C62E8C">
        <w:rPr>
          <w:rFonts w:ascii="Arial" w:hAnsi="Arial"/>
          <w:snapToGrid w:val="0"/>
        </w:rPr>
        <w:t>’</w:t>
      </w:r>
      <w:r>
        <w:rPr>
          <w:rFonts w:ascii="Arial" w:hAnsi="Arial"/>
          <w:snapToGrid w:val="0"/>
        </w:rPr>
        <w:t>a encore été publié devraient effectivement débuter à la fin de 2021 ou au début de 2022.</w:t>
      </w:r>
    </w:p>
    <w:tbl>
      <w:tblPr>
        <w:tblStyle w:val="TableGrid"/>
        <w:tblW w:w="0" w:type="auto"/>
        <w:tblInd w:w="567" w:type="dxa"/>
        <w:tblLook w:val="04A0" w:firstRow="1" w:lastRow="0" w:firstColumn="1" w:lastColumn="0" w:noHBand="0" w:noVBand="1"/>
      </w:tblPr>
      <w:tblGrid>
        <w:gridCol w:w="5473"/>
        <w:gridCol w:w="3567"/>
      </w:tblGrid>
      <w:tr w:rsidR="00436ADC" w:rsidRPr="00544C71" w14:paraId="54151CB3" w14:textId="77777777" w:rsidTr="00DC317C">
        <w:trPr>
          <w:cantSplit/>
          <w:trHeight w:val="289"/>
        </w:trPr>
        <w:tc>
          <w:tcPr>
            <w:tcW w:w="5473" w:type="dxa"/>
            <w:tcBorders>
              <w:left w:val="nil"/>
              <w:bottom w:val="single" w:sz="4" w:space="0" w:color="000000"/>
              <w:right w:val="nil"/>
            </w:tcBorders>
          </w:tcPr>
          <w:p w14:paraId="49507674" w14:textId="77777777" w:rsidR="00436ADC" w:rsidRPr="00BF1B64" w:rsidRDefault="00436ADC" w:rsidP="008E3F0F">
            <w:pPr>
              <w:spacing w:before="120"/>
              <w:jc w:val="center"/>
              <w:rPr>
                <w:rFonts w:ascii="Arial" w:hAnsi="Arial" w:cs="Arial"/>
                <w:b/>
                <w:snapToGrid w:val="0"/>
                <w:szCs w:val="22"/>
              </w:rPr>
            </w:pPr>
            <w:r>
              <w:rPr>
                <w:rFonts w:ascii="Arial" w:hAnsi="Arial"/>
                <w:b/>
                <w:snapToGrid w:val="0"/>
              </w:rPr>
              <w:t>Projet</w:t>
            </w:r>
          </w:p>
        </w:tc>
        <w:tc>
          <w:tcPr>
            <w:tcW w:w="3567" w:type="dxa"/>
            <w:tcBorders>
              <w:left w:val="nil"/>
              <w:bottom w:val="single" w:sz="4" w:space="0" w:color="000000"/>
              <w:right w:val="nil"/>
            </w:tcBorders>
          </w:tcPr>
          <w:p w14:paraId="73C47DA5" w14:textId="77777777" w:rsidR="00436ADC" w:rsidRPr="00BF1B64" w:rsidRDefault="00436ADC" w:rsidP="008E3F0F">
            <w:pPr>
              <w:spacing w:before="120"/>
              <w:jc w:val="center"/>
              <w:rPr>
                <w:rFonts w:ascii="Arial" w:hAnsi="Arial" w:cs="Arial"/>
                <w:b/>
                <w:snapToGrid w:val="0"/>
                <w:szCs w:val="22"/>
              </w:rPr>
            </w:pPr>
            <w:r>
              <w:rPr>
                <w:rFonts w:ascii="Arial" w:hAnsi="Arial"/>
                <w:b/>
                <w:snapToGrid w:val="0"/>
              </w:rPr>
              <w:t>Dernier rapport publié</w:t>
            </w:r>
          </w:p>
        </w:tc>
      </w:tr>
      <w:tr w:rsidR="00436ADC" w:rsidRPr="00557F01" w14:paraId="7F1DD95F" w14:textId="77777777" w:rsidTr="00DC317C">
        <w:trPr>
          <w:cantSplit/>
          <w:trHeight w:val="1600"/>
        </w:trPr>
        <w:tc>
          <w:tcPr>
            <w:tcW w:w="5473" w:type="dxa"/>
            <w:tcBorders>
              <w:top w:val="nil"/>
              <w:left w:val="nil"/>
              <w:bottom w:val="nil"/>
              <w:right w:val="nil"/>
            </w:tcBorders>
          </w:tcPr>
          <w:p w14:paraId="48FADF4F" w14:textId="70F5D408" w:rsidR="00436ADC" w:rsidRPr="00557F01" w:rsidRDefault="00436ADC" w:rsidP="00E33A41">
            <w:pPr>
              <w:spacing w:before="120"/>
              <w:jc w:val="both"/>
              <w:rPr>
                <w:rFonts w:asciiTheme="minorBidi" w:hAnsiTheme="minorBidi" w:cstheme="minorBidi"/>
                <w:snapToGrid w:val="0"/>
                <w:szCs w:val="22"/>
              </w:rPr>
            </w:pPr>
            <w:r>
              <w:rPr>
                <w:rFonts w:asciiTheme="minorBidi" w:hAnsiTheme="minorBidi"/>
                <w:snapToGrid w:val="0"/>
              </w:rPr>
              <w:t>Soutien à l</w:t>
            </w:r>
            <w:r w:rsidR="00C62E8C">
              <w:rPr>
                <w:rFonts w:asciiTheme="minorBidi" w:hAnsiTheme="minorBidi"/>
                <w:snapToGrid w:val="0"/>
              </w:rPr>
              <w:t>’</w:t>
            </w:r>
            <w:r>
              <w:rPr>
                <w:rFonts w:asciiTheme="minorBidi" w:hAnsiTheme="minorBidi"/>
                <w:snapToGrid w:val="0"/>
              </w:rPr>
              <w:t>élaboration et à la mise en œuvre d</w:t>
            </w:r>
            <w:r w:rsidR="00C62E8C">
              <w:rPr>
                <w:rFonts w:asciiTheme="minorBidi" w:hAnsiTheme="minorBidi"/>
                <w:snapToGrid w:val="0"/>
              </w:rPr>
              <w:t>’</w:t>
            </w:r>
            <w:r>
              <w:rPr>
                <w:rFonts w:asciiTheme="minorBidi" w:hAnsiTheme="minorBidi"/>
                <w:snapToGrid w:val="0"/>
              </w:rPr>
              <w:t>activités de renforcement des capacités pour la sauvegarde du patrimoine culturel immatériel dans les situations de conflit, y compris les situations de déplacement forcé</w:t>
            </w:r>
          </w:p>
        </w:tc>
        <w:tc>
          <w:tcPr>
            <w:tcW w:w="3567" w:type="dxa"/>
            <w:tcBorders>
              <w:top w:val="nil"/>
              <w:left w:val="nil"/>
              <w:bottom w:val="nil"/>
              <w:right w:val="nil"/>
            </w:tcBorders>
          </w:tcPr>
          <w:p w14:paraId="042E4BC8" w14:textId="526CECC0" w:rsidR="00436ADC" w:rsidRPr="00557F01" w:rsidRDefault="00116C2A" w:rsidP="004C24E6">
            <w:pPr>
              <w:spacing w:before="120"/>
              <w:jc w:val="center"/>
              <w:rPr>
                <w:rFonts w:asciiTheme="minorBidi" w:hAnsiTheme="minorBidi" w:cstheme="minorBidi"/>
                <w:snapToGrid w:val="0"/>
                <w:szCs w:val="22"/>
                <w:highlight w:val="yellow"/>
              </w:rPr>
            </w:pPr>
            <w:hyperlink r:id="rId21" w:history="1">
              <w:r w:rsidR="00436ADC" w:rsidRPr="004C24E6">
                <w:rPr>
                  <w:rStyle w:val="Hyperlink"/>
                  <w:rFonts w:asciiTheme="minorBidi" w:hAnsiTheme="minorBidi"/>
                  <w:snapToGrid w:val="0"/>
                </w:rPr>
                <w:t>Voir la page du projet</w:t>
              </w:r>
            </w:hyperlink>
          </w:p>
        </w:tc>
      </w:tr>
      <w:tr w:rsidR="00436ADC" w:rsidRPr="00557F01" w14:paraId="2440E571" w14:textId="77777777" w:rsidTr="00DC317C">
        <w:trPr>
          <w:cantSplit/>
          <w:trHeight w:val="1125"/>
        </w:trPr>
        <w:tc>
          <w:tcPr>
            <w:tcW w:w="5473" w:type="dxa"/>
            <w:tcBorders>
              <w:top w:val="nil"/>
              <w:left w:val="nil"/>
              <w:bottom w:val="nil"/>
              <w:right w:val="nil"/>
            </w:tcBorders>
          </w:tcPr>
          <w:p w14:paraId="09AB6C0B" w14:textId="437FB505" w:rsidR="00436ADC" w:rsidRPr="00557F01" w:rsidRDefault="00436ADC" w:rsidP="00E33A41">
            <w:pPr>
              <w:jc w:val="both"/>
              <w:rPr>
                <w:rFonts w:asciiTheme="minorBidi" w:hAnsiTheme="minorBidi" w:cstheme="minorBidi"/>
                <w:snapToGrid w:val="0"/>
                <w:szCs w:val="22"/>
              </w:rPr>
            </w:pPr>
            <w:r>
              <w:rPr>
                <w:rFonts w:asciiTheme="minorBidi" w:hAnsiTheme="minorBidi"/>
                <w:snapToGrid w:val="0"/>
              </w:rPr>
              <w:t>Renforcement des capacités de sauvegarde du patrimoine culturel immatériel et de contribution au développement durable</w:t>
            </w:r>
          </w:p>
        </w:tc>
        <w:tc>
          <w:tcPr>
            <w:tcW w:w="3567" w:type="dxa"/>
            <w:tcBorders>
              <w:top w:val="nil"/>
              <w:left w:val="nil"/>
              <w:bottom w:val="nil"/>
              <w:right w:val="nil"/>
            </w:tcBorders>
          </w:tcPr>
          <w:p w14:paraId="4AEA941C" w14:textId="2D7DBE51" w:rsidR="00436ADC" w:rsidRPr="00557F01" w:rsidRDefault="00116C2A" w:rsidP="004C24E6">
            <w:pPr>
              <w:spacing w:before="120"/>
              <w:jc w:val="center"/>
              <w:rPr>
                <w:rFonts w:asciiTheme="minorBidi" w:hAnsiTheme="minorBidi" w:cstheme="minorBidi"/>
                <w:snapToGrid w:val="0"/>
                <w:szCs w:val="22"/>
                <w:highlight w:val="yellow"/>
              </w:rPr>
            </w:pPr>
            <w:hyperlink r:id="rId22" w:history="1">
              <w:r w:rsidR="00436ADC" w:rsidRPr="004C24E6">
                <w:rPr>
                  <w:rStyle w:val="Hyperlink"/>
                  <w:rFonts w:asciiTheme="minorBidi" w:hAnsiTheme="minorBidi"/>
                  <w:snapToGrid w:val="0"/>
                </w:rPr>
                <w:t>Voir la page du projet</w:t>
              </w:r>
            </w:hyperlink>
          </w:p>
        </w:tc>
      </w:tr>
      <w:tr w:rsidR="00436ADC" w:rsidRPr="00557F01" w14:paraId="255D8375" w14:textId="77777777" w:rsidTr="00DC317C">
        <w:trPr>
          <w:cantSplit/>
          <w:trHeight w:val="740"/>
        </w:trPr>
        <w:tc>
          <w:tcPr>
            <w:tcW w:w="5473" w:type="dxa"/>
            <w:tcBorders>
              <w:top w:val="nil"/>
              <w:left w:val="nil"/>
              <w:bottom w:val="nil"/>
              <w:right w:val="nil"/>
            </w:tcBorders>
          </w:tcPr>
          <w:p w14:paraId="518A606C" w14:textId="6267A08B" w:rsidR="00436ADC" w:rsidRPr="00557F01" w:rsidRDefault="00436ADC" w:rsidP="00E33A41">
            <w:pPr>
              <w:spacing w:before="120"/>
              <w:jc w:val="both"/>
              <w:rPr>
                <w:rFonts w:asciiTheme="minorBidi" w:hAnsiTheme="minorBidi" w:cstheme="minorBidi"/>
                <w:snapToGrid w:val="0"/>
                <w:szCs w:val="22"/>
              </w:rPr>
            </w:pPr>
            <w:r>
              <w:rPr>
                <w:rFonts w:asciiTheme="minorBidi" w:hAnsiTheme="minorBidi"/>
                <w:snapToGrid w:val="0"/>
              </w:rPr>
              <w:t>Réflexion sur les mécanismes d</w:t>
            </w:r>
            <w:r w:rsidR="00C62E8C">
              <w:rPr>
                <w:rFonts w:asciiTheme="minorBidi" w:hAnsiTheme="minorBidi"/>
                <w:snapToGrid w:val="0"/>
              </w:rPr>
              <w:t>’</w:t>
            </w:r>
            <w:r>
              <w:rPr>
                <w:rFonts w:asciiTheme="minorBidi" w:hAnsiTheme="minorBidi"/>
                <w:snapToGrid w:val="0"/>
              </w:rPr>
              <w:t>inscription de la Convention de 2003</w:t>
            </w:r>
          </w:p>
        </w:tc>
        <w:tc>
          <w:tcPr>
            <w:tcW w:w="3567" w:type="dxa"/>
            <w:tcBorders>
              <w:top w:val="nil"/>
              <w:left w:val="nil"/>
              <w:bottom w:val="nil"/>
              <w:right w:val="nil"/>
            </w:tcBorders>
          </w:tcPr>
          <w:p w14:paraId="40DC0145" w14:textId="77777777" w:rsidR="00992981" w:rsidRDefault="00436ADC" w:rsidP="004C24E6">
            <w:pPr>
              <w:spacing w:before="120"/>
              <w:jc w:val="center"/>
              <w:rPr>
                <w:rFonts w:asciiTheme="minorBidi" w:hAnsiTheme="minorBidi"/>
                <w:snapToGrid w:val="0"/>
              </w:rPr>
            </w:pPr>
            <w:r>
              <w:rPr>
                <w:rFonts w:asciiTheme="minorBidi" w:hAnsiTheme="minorBidi"/>
                <w:snapToGrid w:val="0"/>
              </w:rPr>
              <w:t>Voir document</w:t>
            </w:r>
          </w:p>
          <w:p w14:paraId="148DF786" w14:textId="2781FD37" w:rsidR="00436ADC" w:rsidRPr="00557F01" w:rsidRDefault="00116C2A" w:rsidP="004C24E6">
            <w:pPr>
              <w:spacing w:before="120"/>
              <w:jc w:val="center"/>
              <w:rPr>
                <w:rFonts w:asciiTheme="minorBidi" w:hAnsiTheme="minorBidi" w:cstheme="minorBidi"/>
                <w:snapToGrid w:val="0"/>
                <w:szCs w:val="22"/>
              </w:rPr>
            </w:pPr>
            <w:hyperlink r:id="rId23" w:history="1">
              <w:r w:rsidR="00436ADC" w:rsidRPr="00E33A41">
                <w:rPr>
                  <w:rStyle w:val="Hyperlink"/>
                  <w:rFonts w:asciiTheme="minorBidi" w:hAnsiTheme="minorBidi"/>
                  <w:snapToGrid w:val="0"/>
                </w:rPr>
                <w:t>LHE/21/16.COM/14</w:t>
              </w:r>
            </w:hyperlink>
          </w:p>
        </w:tc>
      </w:tr>
      <w:tr w:rsidR="00436ADC" w:rsidRPr="00557F01" w14:paraId="03D9DE20" w14:textId="77777777" w:rsidTr="00DC317C">
        <w:trPr>
          <w:cantSplit/>
          <w:trHeight w:val="1111"/>
        </w:trPr>
        <w:tc>
          <w:tcPr>
            <w:tcW w:w="5473" w:type="dxa"/>
            <w:tcBorders>
              <w:top w:val="nil"/>
              <w:left w:val="nil"/>
              <w:bottom w:val="nil"/>
              <w:right w:val="nil"/>
            </w:tcBorders>
          </w:tcPr>
          <w:p w14:paraId="01AAE203" w14:textId="5770904B" w:rsidR="00436ADC" w:rsidRPr="00557F01" w:rsidRDefault="00436ADC" w:rsidP="00E33A41">
            <w:pPr>
              <w:jc w:val="both"/>
              <w:rPr>
                <w:rFonts w:asciiTheme="minorBidi" w:hAnsiTheme="minorBidi" w:cstheme="minorBidi"/>
                <w:snapToGrid w:val="0"/>
                <w:szCs w:val="22"/>
              </w:rPr>
            </w:pPr>
            <w:r>
              <w:rPr>
                <w:rFonts w:asciiTheme="minorBidi" w:hAnsiTheme="minorBidi"/>
                <w:snapToGrid w:val="0"/>
              </w:rPr>
              <w:lastRenderedPageBreak/>
              <w:t>Renforcement aux niveaux national et local des capacités de sauvegarde du patrimoine culturel immatériel en Dominique</w:t>
            </w:r>
          </w:p>
        </w:tc>
        <w:tc>
          <w:tcPr>
            <w:tcW w:w="3567" w:type="dxa"/>
            <w:tcBorders>
              <w:top w:val="nil"/>
              <w:left w:val="nil"/>
              <w:bottom w:val="nil"/>
              <w:right w:val="nil"/>
            </w:tcBorders>
          </w:tcPr>
          <w:p w14:paraId="762BA806" w14:textId="56E469DB" w:rsidR="00436ADC" w:rsidRPr="00557F01" w:rsidRDefault="00116C2A" w:rsidP="004C24E6">
            <w:pPr>
              <w:spacing w:before="120"/>
              <w:jc w:val="center"/>
              <w:rPr>
                <w:rFonts w:asciiTheme="minorBidi" w:hAnsiTheme="minorBidi" w:cstheme="minorBidi"/>
                <w:snapToGrid w:val="0"/>
                <w:szCs w:val="22"/>
              </w:rPr>
            </w:pPr>
            <w:hyperlink r:id="rId24" w:history="1">
              <w:r w:rsidR="00436ADC" w:rsidRPr="004C24E6">
                <w:rPr>
                  <w:rStyle w:val="Hyperlink"/>
                  <w:rFonts w:asciiTheme="minorBidi" w:hAnsiTheme="minorBidi"/>
                  <w:snapToGrid w:val="0"/>
                </w:rPr>
                <w:t>Voir la page du projet</w:t>
              </w:r>
            </w:hyperlink>
          </w:p>
        </w:tc>
      </w:tr>
      <w:tr w:rsidR="00436ADC" w:rsidRPr="00557F01" w14:paraId="5C774316" w14:textId="77777777" w:rsidTr="00DC317C">
        <w:trPr>
          <w:cantSplit/>
          <w:trHeight w:val="1125"/>
        </w:trPr>
        <w:tc>
          <w:tcPr>
            <w:tcW w:w="5473" w:type="dxa"/>
            <w:tcBorders>
              <w:top w:val="nil"/>
              <w:left w:val="nil"/>
              <w:bottom w:val="nil"/>
              <w:right w:val="nil"/>
            </w:tcBorders>
          </w:tcPr>
          <w:p w14:paraId="4559482D" w14:textId="1B392452" w:rsidR="00436ADC" w:rsidRPr="00557F01" w:rsidRDefault="00436ADC" w:rsidP="00E33A41">
            <w:pPr>
              <w:jc w:val="both"/>
              <w:rPr>
                <w:rFonts w:asciiTheme="minorBidi" w:hAnsiTheme="minorBidi" w:cstheme="minorBidi"/>
                <w:snapToGrid w:val="0"/>
                <w:szCs w:val="22"/>
              </w:rPr>
            </w:pPr>
            <w:r>
              <w:rPr>
                <w:rFonts w:asciiTheme="minorBidi" w:hAnsiTheme="minorBidi"/>
                <w:snapToGrid w:val="0"/>
              </w:rPr>
              <w:t>Sauvegarde du patrimoine culturel immatériel dans le cadre de l</w:t>
            </w:r>
            <w:r w:rsidR="00C62E8C">
              <w:rPr>
                <w:rFonts w:asciiTheme="minorBidi" w:hAnsiTheme="minorBidi"/>
                <w:snapToGrid w:val="0"/>
              </w:rPr>
              <w:t>’</w:t>
            </w:r>
            <w:r>
              <w:rPr>
                <w:rFonts w:asciiTheme="minorBidi" w:hAnsiTheme="minorBidi"/>
                <w:snapToGrid w:val="0"/>
              </w:rPr>
              <w:t>éducation formelle et non formelle en Amérique latine et dans les Caraïbes</w:t>
            </w:r>
          </w:p>
        </w:tc>
        <w:tc>
          <w:tcPr>
            <w:tcW w:w="3567" w:type="dxa"/>
            <w:tcBorders>
              <w:top w:val="nil"/>
              <w:left w:val="nil"/>
              <w:bottom w:val="nil"/>
              <w:right w:val="nil"/>
            </w:tcBorders>
          </w:tcPr>
          <w:p w14:paraId="71A184F9" w14:textId="56381801" w:rsidR="00436ADC" w:rsidRPr="00557F01" w:rsidRDefault="00116C2A" w:rsidP="004C24E6">
            <w:pPr>
              <w:spacing w:before="120"/>
              <w:jc w:val="center"/>
              <w:rPr>
                <w:rFonts w:asciiTheme="minorBidi" w:hAnsiTheme="minorBidi" w:cstheme="minorBidi"/>
                <w:snapToGrid w:val="0"/>
                <w:szCs w:val="22"/>
              </w:rPr>
            </w:pPr>
            <w:hyperlink r:id="rId25" w:history="1">
              <w:r w:rsidR="006279AA" w:rsidRPr="004C24E6">
                <w:rPr>
                  <w:rStyle w:val="Hyperlink"/>
                  <w:rFonts w:asciiTheme="minorBidi" w:hAnsiTheme="minorBidi"/>
                  <w:snapToGrid w:val="0"/>
                </w:rPr>
                <w:t>Voir la page du projet</w:t>
              </w:r>
            </w:hyperlink>
          </w:p>
        </w:tc>
      </w:tr>
      <w:tr w:rsidR="00436ADC" w:rsidRPr="00557F01" w14:paraId="26DF97C6" w14:textId="77777777" w:rsidTr="00DC317C">
        <w:trPr>
          <w:cantSplit/>
          <w:trHeight w:val="1111"/>
        </w:trPr>
        <w:tc>
          <w:tcPr>
            <w:tcW w:w="5473" w:type="dxa"/>
            <w:tcBorders>
              <w:top w:val="nil"/>
              <w:left w:val="nil"/>
              <w:bottom w:val="nil"/>
              <w:right w:val="nil"/>
            </w:tcBorders>
          </w:tcPr>
          <w:p w14:paraId="1008CCAA" w14:textId="77777777" w:rsidR="00436ADC" w:rsidRPr="00557F01" w:rsidRDefault="00436ADC" w:rsidP="00E33A41">
            <w:pPr>
              <w:jc w:val="both"/>
              <w:rPr>
                <w:rFonts w:asciiTheme="minorBidi" w:hAnsiTheme="minorBidi" w:cstheme="minorBidi"/>
                <w:snapToGrid w:val="0"/>
                <w:szCs w:val="22"/>
              </w:rPr>
            </w:pPr>
            <w:r>
              <w:rPr>
                <w:rFonts w:asciiTheme="minorBidi" w:hAnsiTheme="minorBidi"/>
                <w:snapToGrid w:val="0"/>
              </w:rPr>
              <w:t>Sauvegarde du patrimoine culturel immatériel à travers le renforcement des capacités nationales au Maroc, en Mauritanie et en Tunisie</w:t>
            </w:r>
          </w:p>
        </w:tc>
        <w:tc>
          <w:tcPr>
            <w:tcW w:w="3567" w:type="dxa"/>
            <w:tcBorders>
              <w:top w:val="nil"/>
              <w:left w:val="nil"/>
              <w:bottom w:val="nil"/>
              <w:right w:val="nil"/>
            </w:tcBorders>
          </w:tcPr>
          <w:p w14:paraId="6E53FB61" w14:textId="255E63DF" w:rsidR="00436ADC" w:rsidRPr="00557F01" w:rsidRDefault="00116C2A" w:rsidP="004C24E6">
            <w:pPr>
              <w:spacing w:before="120"/>
              <w:jc w:val="center"/>
              <w:rPr>
                <w:rFonts w:asciiTheme="minorBidi" w:hAnsiTheme="minorBidi" w:cstheme="minorBidi"/>
                <w:snapToGrid w:val="0"/>
                <w:szCs w:val="22"/>
                <w:highlight w:val="yellow"/>
              </w:rPr>
            </w:pPr>
            <w:hyperlink r:id="rId26" w:history="1">
              <w:r w:rsidR="006279AA" w:rsidRPr="004C24E6">
                <w:rPr>
                  <w:rStyle w:val="Hyperlink"/>
                  <w:rFonts w:asciiTheme="minorBidi" w:hAnsiTheme="minorBidi"/>
                  <w:snapToGrid w:val="0"/>
                </w:rPr>
                <w:t>Voir la page du projet</w:t>
              </w:r>
            </w:hyperlink>
          </w:p>
        </w:tc>
      </w:tr>
      <w:tr w:rsidR="00436ADC" w:rsidRPr="00DC317C" w14:paraId="2D2A3260" w14:textId="77777777" w:rsidTr="00DC317C">
        <w:trPr>
          <w:cantSplit/>
          <w:trHeight w:val="1111"/>
        </w:trPr>
        <w:tc>
          <w:tcPr>
            <w:tcW w:w="5473" w:type="dxa"/>
            <w:tcBorders>
              <w:top w:val="nil"/>
              <w:left w:val="nil"/>
              <w:bottom w:val="nil"/>
              <w:right w:val="nil"/>
            </w:tcBorders>
          </w:tcPr>
          <w:p w14:paraId="30FA1B3C" w14:textId="77777777" w:rsidR="00436ADC" w:rsidRDefault="00436ADC" w:rsidP="00E33A41">
            <w:pPr>
              <w:jc w:val="both"/>
              <w:rPr>
                <w:rFonts w:asciiTheme="minorBidi" w:hAnsiTheme="minorBidi"/>
                <w:snapToGrid w:val="0"/>
              </w:rPr>
            </w:pPr>
            <w:r>
              <w:rPr>
                <w:rFonts w:asciiTheme="minorBidi" w:hAnsiTheme="minorBidi"/>
                <w:snapToGrid w:val="0"/>
              </w:rPr>
              <w:t>Amélioration des mécanismes de soumission des rapports périodiques dans le cadre de la Convention de 2003</w:t>
            </w:r>
          </w:p>
          <w:p w14:paraId="3EF1B31C" w14:textId="6D3F5057" w:rsidR="00E33A41" w:rsidRPr="00557F01" w:rsidRDefault="00E33A41" w:rsidP="00E33A41">
            <w:pPr>
              <w:jc w:val="both"/>
              <w:rPr>
                <w:rFonts w:asciiTheme="minorBidi" w:hAnsiTheme="minorBidi" w:cstheme="minorBidi"/>
                <w:snapToGrid w:val="0"/>
                <w:szCs w:val="22"/>
              </w:rPr>
            </w:pPr>
          </w:p>
        </w:tc>
        <w:tc>
          <w:tcPr>
            <w:tcW w:w="3567" w:type="dxa"/>
            <w:tcBorders>
              <w:top w:val="nil"/>
              <w:left w:val="nil"/>
              <w:bottom w:val="nil"/>
              <w:right w:val="nil"/>
            </w:tcBorders>
          </w:tcPr>
          <w:p w14:paraId="71EFFACE" w14:textId="77777777" w:rsidR="00992981" w:rsidRDefault="00436ADC" w:rsidP="004C24E6">
            <w:pPr>
              <w:spacing w:before="120"/>
              <w:jc w:val="center"/>
              <w:rPr>
                <w:rFonts w:asciiTheme="minorBidi" w:hAnsiTheme="minorBidi"/>
                <w:snapToGrid w:val="0"/>
              </w:rPr>
            </w:pPr>
            <w:r w:rsidRPr="00E33A41">
              <w:rPr>
                <w:rFonts w:asciiTheme="minorBidi" w:hAnsiTheme="minorBidi"/>
                <w:snapToGrid w:val="0"/>
              </w:rPr>
              <w:t xml:space="preserve">Voir </w:t>
            </w:r>
            <w:r w:rsidR="00E33A41" w:rsidRPr="00E33A41">
              <w:rPr>
                <w:rFonts w:asciiTheme="minorBidi" w:hAnsiTheme="minorBidi"/>
                <w:snapToGrid w:val="0"/>
              </w:rPr>
              <w:t xml:space="preserve">les </w:t>
            </w:r>
            <w:r w:rsidRPr="00E33A41">
              <w:rPr>
                <w:rFonts w:asciiTheme="minorBidi" w:hAnsiTheme="minorBidi"/>
                <w:snapToGrid w:val="0"/>
              </w:rPr>
              <w:t>document</w:t>
            </w:r>
            <w:r w:rsidR="00DC317C" w:rsidRPr="00E33A41">
              <w:rPr>
                <w:rFonts w:asciiTheme="minorBidi" w:hAnsiTheme="minorBidi"/>
                <w:snapToGrid w:val="0"/>
              </w:rPr>
              <w:t>s</w:t>
            </w:r>
          </w:p>
          <w:p w14:paraId="265EBB21" w14:textId="68D296CC" w:rsidR="00436ADC" w:rsidRPr="00E33A41" w:rsidRDefault="00116C2A" w:rsidP="004C24E6">
            <w:pPr>
              <w:spacing w:before="120"/>
              <w:jc w:val="center"/>
            </w:pPr>
            <w:hyperlink r:id="rId27" w:history="1">
              <w:r w:rsidR="00436ADC" w:rsidRPr="00E33A41">
                <w:rPr>
                  <w:rStyle w:val="Hyperlink"/>
                  <w:rFonts w:asciiTheme="minorBidi" w:hAnsiTheme="minorBidi"/>
                  <w:snapToGrid w:val="0"/>
                </w:rPr>
                <w:t>LHE/19/14.COM/8</w:t>
              </w:r>
            </w:hyperlink>
          </w:p>
          <w:p w14:paraId="62DC0149" w14:textId="6F92401F" w:rsidR="00436ADC" w:rsidRPr="00DC317C" w:rsidRDefault="00436ADC" w:rsidP="004C24E6">
            <w:pPr>
              <w:spacing w:before="120"/>
              <w:jc w:val="center"/>
              <w:rPr>
                <w:rFonts w:asciiTheme="minorBidi" w:hAnsiTheme="minorBidi" w:cstheme="minorBidi"/>
                <w:snapToGrid w:val="0"/>
                <w:color w:val="0000FF"/>
                <w:szCs w:val="22"/>
                <w:u w:val="single"/>
                <w:lang w:val="pt-PT"/>
              </w:rPr>
            </w:pPr>
            <w:r w:rsidRPr="00DC317C">
              <w:rPr>
                <w:rStyle w:val="Hyperlink"/>
                <w:rFonts w:asciiTheme="minorBidi" w:hAnsiTheme="minorBidi"/>
                <w:snapToGrid w:val="0"/>
                <w:lang w:val="pt-PT"/>
              </w:rPr>
              <w:t>LHE/21/16.</w:t>
            </w:r>
            <w:hyperlink r:id="rId28" w:history="1">
              <w:r w:rsidRPr="00E33A41">
                <w:rPr>
                  <w:rStyle w:val="Hyperlink"/>
                  <w:rFonts w:asciiTheme="minorBidi" w:hAnsiTheme="minorBidi"/>
                  <w:snapToGrid w:val="0"/>
                  <w:lang w:val="pt-PT"/>
                </w:rPr>
                <w:t>COM</w:t>
              </w:r>
            </w:hyperlink>
            <w:r w:rsidRPr="00DC317C">
              <w:rPr>
                <w:rStyle w:val="Hyperlink"/>
                <w:rFonts w:asciiTheme="minorBidi" w:hAnsiTheme="minorBidi"/>
                <w:snapToGrid w:val="0"/>
                <w:lang w:val="pt-PT"/>
              </w:rPr>
              <w:t>/7.b</w:t>
            </w:r>
          </w:p>
        </w:tc>
      </w:tr>
      <w:tr w:rsidR="00436ADC" w:rsidRPr="00557F01" w14:paraId="5621797D" w14:textId="77777777" w:rsidTr="00DC317C">
        <w:trPr>
          <w:cantSplit/>
          <w:trHeight w:val="1125"/>
        </w:trPr>
        <w:tc>
          <w:tcPr>
            <w:tcW w:w="5473" w:type="dxa"/>
            <w:tcBorders>
              <w:top w:val="nil"/>
              <w:left w:val="nil"/>
              <w:bottom w:val="nil"/>
              <w:right w:val="nil"/>
            </w:tcBorders>
          </w:tcPr>
          <w:p w14:paraId="24CB9A31" w14:textId="5B94768F" w:rsidR="00436ADC" w:rsidRPr="00557F01" w:rsidRDefault="00436ADC" w:rsidP="00E33A41">
            <w:pPr>
              <w:jc w:val="both"/>
              <w:rPr>
                <w:rFonts w:asciiTheme="minorBidi" w:hAnsiTheme="minorBidi" w:cstheme="minorBidi"/>
                <w:snapToGrid w:val="0"/>
                <w:szCs w:val="22"/>
              </w:rPr>
            </w:pPr>
            <w:r>
              <w:rPr>
                <w:rFonts w:asciiTheme="minorBidi" w:hAnsiTheme="minorBidi"/>
                <w:snapToGrid w:val="0"/>
              </w:rPr>
              <w:t>Renforcement des capacités de sauvegarde du patrimoine culturel immatériel dans les contextes de catastrophes</w:t>
            </w:r>
          </w:p>
        </w:tc>
        <w:tc>
          <w:tcPr>
            <w:tcW w:w="3567" w:type="dxa"/>
            <w:tcBorders>
              <w:top w:val="nil"/>
              <w:left w:val="nil"/>
              <w:bottom w:val="nil"/>
              <w:right w:val="nil"/>
            </w:tcBorders>
          </w:tcPr>
          <w:p w14:paraId="05E5A617" w14:textId="07883DFD" w:rsidR="00436ADC" w:rsidRPr="00DC317C" w:rsidRDefault="00116C2A" w:rsidP="004C24E6">
            <w:pPr>
              <w:spacing w:before="120"/>
              <w:jc w:val="center"/>
              <w:rPr>
                <w:rFonts w:asciiTheme="minorBidi" w:hAnsiTheme="minorBidi" w:cstheme="minorBidi"/>
                <w:snapToGrid w:val="0"/>
                <w:szCs w:val="22"/>
              </w:rPr>
            </w:pPr>
            <w:hyperlink r:id="rId29" w:history="1">
              <w:r w:rsidR="006279AA" w:rsidRPr="008A36B7">
                <w:rPr>
                  <w:rStyle w:val="Hyperlink"/>
                  <w:rFonts w:asciiTheme="minorBidi" w:hAnsiTheme="minorBidi"/>
                  <w:snapToGrid w:val="0"/>
                </w:rPr>
                <w:t>Voir la page du projet</w:t>
              </w:r>
            </w:hyperlink>
          </w:p>
        </w:tc>
      </w:tr>
      <w:tr w:rsidR="00436ADC" w:rsidRPr="00557F01" w14:paraId="191BE486" w14:textId="77777777" w:rsidTr="00DC317C">
        <w:trPr>
          <w:cantSplit/>
          <w:trHeight w:val="1600"/>
        </w:trPr>
        <w:tc>
          <w:tcPr>
            <w:tcW w:w="5473" w:type="dxa"/>
            <w:tcBorders>
              <w:top w:val="nil"/>
              <w:left w:val="nil"/>
              <w:bottom w:val="single" w:sz="4" w:space="0" w:color="auto"/>
              <w:right w:val="nil"/>
            </w:tcBorders>
          </w:tcPr>
          <w:p w14:paraId="35DF588A" w14:textId="77D623D1" w:rsidR="00436ADC" w:rsidRPr="00557F01" w:rsidRDefault="00436ADC" w:rsidP="00E33A41">
            <w:pPr>
              <w:jc w:val="both"/>
              <w:rPr>
                <w:rFonts w:asciiTheme="minorBidi" w:hAnsiTheme="minorBidi" w:cstheme="minorBidi"/>
                <w:snapToGrid w:val="0"/>
                <w:szCs w:val="22"/>
              </w:rPr>
            </w:pPr>
            <w:r>
              <w:rPr>
                <w:rFonts w:asciiTheme="minorBidi" w:hAnsiTheme="minorBidi"/>
                <w:snapToGrid w:val="0"/>
              </w:rPr>
              <w:t>Le patrimoine vivant et les objectifs de développement durable : sauvegarde du patrimoine culturel immatériel dans le cadre de l</w:t>
            </w:r>
            <w:r w:rsidR="00C62E8C">
              <w:rPr>
                <w:rFonts w:asciiTheme="minorBidi" w:hAnsiTheme="minorBidi"/>
                <w:snapToGrid w:val="0"/>
              </w:rPr>
              <w:t>’</w:t>
            </w:r>
            <w:r>
              <w:rPr>
                <w:rFonts w:asciiTheme="minorBidi" w:hAnsiTheme="minorBidi"/>
                <w:snapToGrid w:val="0"/>
              </w:rPr>
              <w:t>éducation formelle et non formelle dans la région Asie-Pacifique et en Afrique</w:t>
            </w:r>
          </w:p>
        </w:tc>
        <w:tc>
          <w:tcPr>
            <w:tcW w:w="3567" w:type="dxa"/>
            <w:tcBorders>
              <w:top w:val="nil"/>
              <w:left w:val="nil"/>
              <w:bottom w:val="single" w:sz="4" w:space="0" w:color="auto"/>
              <w:right w:val="nil"/>
            </w:tcBorders>
          </w:tcPr>
          <w:p w14:paraId="48EF22EE" w14:textId="5E165B35" w:rsidR="00436ADC" w:rsidRPr="00DC317C" w:rsidRDefault="00116C2A" w:rsidP="004C24E6">
            <w:pPr>
              <w:spacing w:before="120"/>
              <w:jc w:val="center"/>
              <w:rPr>
                <w:rFonts w:asciiTheme="minorBidi" w:hAnsiTheme="minorBidi" w:cstheme="minorBidi"/>
                <w:snapToGrid w:val="0"/>
                <w:szCs w:val="22"/>
              </w:rPr>
            </w:pPr>
            <w:hyperlink r:id="rId30" w:history="1">
              <w:r w:rsidR="006279AA" w:rsidRPr="008A36B7">
                <w:rPr>
                  <w:rStyle w:val="Hyperlink"/>
                  <w:rFonts w:asciiTheme="minorBidi" w:hAnsiTheme="minorBidi"/>
                  <w:snapToGrid w:val="0"/>
                </w:rPr>
                <w:t>Voir la page du projet</w:t>
              </w:r>
            </w:hyperlink>
          </w:p>
        </w:tc>
      </w:tr>
    </w:tbl>
    <w:p w14:paraId="68B92FEC" w14:textId="02AD2361" w:rsidR="00126DEB" w:rsidRDefault="00126DEB" w:rsidP="00126DEB">
      <w:pPr>
        <w:keepNext/>
        <w:tabs>
          <w:tab w:val="left" w:pos="567"/>
        </w:tabs>
        <w:snapToGrid w:val="0"/>
        <w:spacing w:before="240"/>
        <w:ind w:left="567"/>
        <w:jc w:val="both"/>
        <w:rPr>
          <w:rFonts w:ascii="Arial" w:hAnsi="Arial" w:cs="Arial"/>
          <w:b/>
          <w:bCs/>
          <w:snapToGrid w:val="0"/>
          <w:szCs w:val="22"/>
        </w:rPr>
      </w:pPr>
      <w:r>
        <w:rPr>
          <w:rFonts w:ascii="Arial" w:hAnsi="Arial"/>
          <w:b/>
          <w:snapToGrid w:val="0"/>
        </w:rPr>
        <w:t xml:space="preserve">Autres projets et activités en cours soutenus par des contributions volontaires </w:t>
      </w:r>
    </w:p>
    <w:p w14:paraId="1C4EFE38" w14:textId="3C0E6F11" w:rsidR="00BD33EA" w:rsidRPr="00D20C78" w:rsidRDefault="008E77C7" w:rsidP="00D24E04">
      <w:pPr>
        <w:pStyle w:val="1GAPara"/>
        <w:jc w:val="both"/>
      </w:pPr>
      <w:r>
        <w:t>Des contributions volontaires supplémentaires par le biais du Fonds soutiennent des projets et des activités visant à répondre directement aux demandes formulées par le Comité et répondant aux priorités qu</w:t>
      </w:r>
      <w:r w:rsidR="00C62E8C">
        <w:t>’</w:t>
      </w:r>
      <w:r>
        <w:t>il a identifiées. En complément de ces contributions, l</w:t>
      </w:r>
      <w:r w:rsidR="00C62E8C">
        <w:t>’</w:t>
      </w:r>
      <w:r>
        <w:t>UNESCO a également reçu d</w:t>
      </w:r>
      <w:r w:rsidR="00C62E8C">
        <w:t>’</w:t>
      </w:r>
      <w:r>
        <w:t>autres formes de soutien plus affectés à des projets visant à sauvegarder le patrimoine vivant, conformément au résultat escompté 6 du Grand programme IV, et donc harmonisées avec la Convention. Si ces contributions sont bienvenues et profitent à la sauvegarde, il convient néanmoins de noter que la nature très spécifique de celles-ci n</w:t>
      </w:r>
      <w:r w:rsidR="00C62E8C">
        <w:t>’</w:t>
      </w:r>
      <w:r>
        <w:t>offre pas toujours la flexibilité suffisante pour répondre pleinement au large éventail de besoins et demandes exprimés par les communautés et les États membres.</w:t>
      </w:r>
    </w:p>
    <w:p w14:paraId="1687CC2B" w14:textId="10C7BA38" w:rsidR="00126DEB" w:rsidRPr="00ED447B" w:rsidRDefault="00126DEB" w:rsidP="00D24E04">
      <w:pPr>
        <w:pStyle w:val="1GAPara"/>
        <w:jc w:val="both"/>
      </w:pPr>
      <w:r>
        <w:t>Pour dresser un tableau complet du soutien reçu par la Convention à travers différentes modalités et refléter la diversité des projets soutenus par les donateurs, cette section présentera les différents projets considérés comme actifs</w:t>
      </w:r>
      <w:r w:rsidR="00557F01">
        <w:rPr>
          <w:rStyle w:val="FootnoteReference"/>
        </w:rPr>
        <w:footnoteReference w:id="1"/>
      </w:r>
      <w:r>
        <w:t xml:space="preserve"> au cours de la période quadriennale 2018 - 2021</w:t>
      </w:r>
      <w:r w:rsidR="007E3B65">
        <w:rPr>
          <w:rStyle w:val="FootnoteReference"/>
        </w:rPr>
        <w:footnoteReference w:id="2"/>
      </w:r>
      <w:r>
        <w:t> </w:t>
      </w:r>
      <w:r w:rsidR="00436ADC">
        <w:t>.</w:t>
      </w:r>
      <w:r w:rsidR="00436ADC" w:rsidRPr="00436ADC">
        <w:t xml:space="preserve"> Bien qu</w:t>
      </w:r>
      <w:r w:rsidR="00C62E8C">
        <w:t>’</w:t>
      </w:r>
      <w:r w:rsidR="00436ADC" w:rsidRPr="00436ADC">
        <w:t>aucune information budgétaire significative n</w:t>
      </w:r>
      <w:r w:rsidR="00C62E8C">
        <w:t>’</w:t>
      </w:r>
      <w:r w:rsidR="00436ADC" w:rsidRPr="00436ADC">
        <w:t>ait pu être fournie en raison des nombreuses périodes de mise en œuvre différentes associées aux projets et activités mentionnés, le nombre et la portée géographique de ces initiatives témoignent de l</w:t>
      </w:r>
      <w:r w:rsidR="00C62E8C">
        <w:t>’</w:t>
      </w:r>
      <w:r w:rsidR="00436ADC" w:rsidRPr="00436ADC">
        <w:t xml:space="preserve">ampleur des actions en cours visant à améliorer la mise en œuvre de la Convention par les </w:t>
      </w:r>
      <w:r w:rsidR="00436ADC" w:rsidRPr="00436ADC">
        <w:lastRenderedPageBreak/>
        <w:t>États parties et les communautés et du soutien généreux apporté par un large éventail de donateurs à l</w:t>
      </w:r>
      <w:r w:rsidR="00C62E8C">
        <w:t>’</w:t>
      </w:r>
      <w:r w:rsidR="00436ADC" w:rsidRPr="00436ADC">
        <w:t>action de l</w:t>
      </w:r>
      <w:r w:rsidR="00C62E8C">
        <w:t>’</w:t>
      </w:r>
      <w:r w:rsidR="00436ADC" w:rsidRPr="00436ADC">
        <w:t>UNESCO aux niveaux mondial, régional et national.</w:t>
      </w:r>
    </w:p>
    <w:p w14:paraId="72B0472A" w14:textId="789F6343" w:rsidR="00126DEB" w:rsidRPr="00481E7B" w:rsidRDefault="00126DEB" w:rsidP="008844EA">
      <w:pPr>
        <w:numPr>
          <w:ilvl w:val="0"/>
          <w:numId w:val="8"/>
        </w:numPr>
        <w:ind w:left="567" w:hanging="567"/>
        <w:jc w:val="both"/>
        <w:rPr>
          <w:rFonts w:asciiTheme="minorBidi" w:hAnsiTheme="minorBidi" w:cstheme="minorBidi"/>
          <w:szCs w:val="22"/>
        </w:rPr>
      </w:pPr>
      <w:r>
        <w:rPr>
          <w:rFonts w:asciiTheme="minorBidi" w:hAnsiTheme="minorBidi"/>
          <w:snapToGrid w:val="0"/>
          <w:color w:val="000000"/>
        </w:rPr>
        <w:t xml:space="preserve">En tant que programme </w:t>
      </w:r>
      <w:r>
        <w:rPr>
          <w:rFonts w:ascii="Arial" w:hAnsi="Arial"/>
          <w:snapToGrid w:val="0"/>
        </w:rPr>
        <w:t>à long terme</w:t>
      </w:r>
      <w:r>
        <w:rPr>
          <w:rFonts w:asciiTheme="minorBidi" w:hAnsiTheme="minorBidi"/>
          <w:snapToGrid w:val="0"/>
          <w:color w:val="000000"/>
        </w:rPr>
        <w:t xml:space="preserve"> qui s</w:t>
      </w:r>
      <w:r w:rsidR="00C62E8C">
        <w:rPr>
          <w:rFonts w:asciiTheme="minorBidi" w:hAnsiTheme="minorBidi"/>
          <w:snapToGrid w:val="0"/>
          <w:color w:val="000000"/>
        </w:rPr>
        <w:t>’</w:t>
      </w:r>
      <w:r>
        <w:rPr>
          <w:rFonts w:asciiTheme="minorBidi" w:hAnsiTheme="minorBidi"/>
          <w:snapToGrid w:val="0"/>
          <w:color w:val="000000"/>
        </w:rPr>
        <w:t>appuie fortement sur les bureaux hors-siège de l</w:t>
      </w:r>
      <w:r w:rsidR="00C62E8C">
        <w:rPr>
          <w:rFonts w:asciiTheme="minorBidi" w:hAnsiTheme="minorBidi"/>
          <w:snapToGrid w:val="0"/>
          <w:color w:val="000000"/>
        </w:rPr>
        <w:t>’</w:t>
      </w:r>
      <w:r>
        <w:rPr>
          <w:rFonts w:asciiTheme="minorBidi" w:hAnsiTheme="minorBidi"/>
          <w:snapToGrid w:val="0"/>
          <w:color w:val="000000"/>
        </w:rPr>
        <w:t>UNESCO pour sa mise en œuvre</w:t>
      </w:r>
      <w:r w:rsidR="00E82B30">
        <w:rPr>
          <w:rFonts w:asciiTheme="minorBidi" w:hAnsiTheme="minorBidi"/>
          <w:snapToGrid w:val="0"/>
          <w:color w:val="000000"/>
        </w:rPr>
        <w:t xml:space="preserve"> en complément des activités en amont au niveau mondial, le</w:t>
      </w:r>
      <w:r>
        <w:rPr>
          <w:rFonts w:asciiTheme="minorBidi" w:hAnsiTheme="minorBidi"/>
          <w:snapToGrid w:val="0"/>
          <w:color w:val="000000"/>
        </w:rPr>
        <w:t xml:space="preserve"> programme de renforcement des capacités a bénéficié d</w:t>
      </w:r>
      <w:r w:rsidR="00C62E8C">
        <w:rPr>
          <w:rFonts w:asciiTheme="minorBidi" w:hAnsiTheme="minorBidi"/>
          <w:snapToGrid w:val="0"/>
          <w:color w:val="000000"/>
        </w:rPr>
        <w:t>’</w:t>
      </w:r>
      <w:r>
        <w:rPr>
          <w:rFonts w:asciiTheme="minorBidi" w:hAnsiTheme="minorBidi"/>
          <w:snapToGrid w:val="0"/>
          <w:color w:val="000000"/>
        </w:rPr>
        <w:t>un soutien important par les biais suivants :</w:t>
      </w:r>
    </w:p>
    <w:p w14:paraId="6FA70347" w14:textId="5D3D5C36" w:rsidR="00126DEB" w:rsidRPr="00481E7B" w:rsidRDefault="00126DEB" w:rsidP="00E6302A">
      <w:pPr>
        <w:numPr>
          <w:ilvl w:val="1"/>
          <w:numId w:val="15"/>
        </w:numPr>
        <w:ind w:left="1134" w:hanging="567"/>
        <w:jc w:val="both"/>
        <w:rPr>
          <w:rFonts w:asciiTheme="minorBidi" w:hAnsiTheme="minorBidi" w:cstheme="minorBidi"/>
          <w:szCs w:val="22"/>
        </w:rPr>
      </w:pPr>
      <w:r>
        <w:rPr>
          <w:rFonts w:asciiTheme="minorBidi" w:hAnsiTheme="minorBidi"/>
          <w:snapToGrid w:val="0"/>
          <w:color w:val="000000"/>
        </w:rPr>
        <w:t>Accords de fonds-en-dépôt autofinancés qui ont permis la mise en œuvre de trois projets grâce aux contributions du Brésil (</w:t>
      </w:r>
      <w:r w:rsidR="004849F1">
        <w:rPr>
          <w:rFonts w:asciiTheme="minorBidi" w:hAnsiTheme="minorBidi"/>
          <w:snapToGrid w:val="0"/>
          <w:color w:val="000000"/>
        </w:rPr>
        <w:t>b</w:t>
      </w:r>
      <w:r>
        <w:rPr>
          <w:rFonts w:asciiTheme="minorBidi" w:hAnsiTheme="minorBidi"/>
          <w:snapToGrid w:val="0"/>
          <w:color w:val="000000"/>
        </w:rPr>
        <w:t>ureau de Brasilia) et du Maroc (</w:t>
      </w:r>
      <w:r w:rsidR="004849F1">
        <w:rPr>
          <w:rFonts w:asciiTheme="minorBidi" w:hAnsiTheme="minorBidi"/>
          <w:snapToGrid w:val="0"/>
          <w:color w:val="000000"/>
        </w:rPr>
        <w:t>b</w:t>
      </w:r>
      <w:r>
        <w:rPr>
          <w:rFonts w:asciiTheme="minorBidi" w:hAnsiTheme="minorBidi"/>
          <w:snapToGrid w:val="0"/>
          <w:color w:val="000000"/>
        </w:rPr>
        <w:t>ureau de Rabat) ;</w:t>
      </w:r>
    </w:p>
    <w:p w14:paraId="75359FB8" w14:textId="7CC28992" w:rsidR="00126DEB" w:rsidRPr="00481E7B" w:rsidRDefault="00126DEB" w:rsidP="00E6302A">
      <w:pPr>
        <w:numPr>
          <w:ilvl w:val="1"/>
          <w:numId w:val="15"/>
        </w:numPr>
        <w:ind w:left="1134" w:hanging="567"/>
        <w:jc w:val="both"/>
        <w:rPr>
          <w:rFonts w:asciiTheme="minorBidi" w:hAnsiTheme="minorBidi" w:cstheme="minorBidi"/>
          <w:szCs w:val="22"/>
        </w:rPr>
      </w:pPr>
      <w:r>
        <w:rPr>
          <w:rFonts w:asciiTheme="minorBidi" w:hAnsiTheme="minorBidi"/>
          <w:snapToGrid w:val="0"/>
          <w:color w:val="000000"/>
        </w:rPr>
        <w:t>Autres accords de fonds-en-dépôt établis avec la Flandre, Belgique (bureau de Harare), le Japon (bureaux d</w:t>
      </w:r>
      <w:r w:rsidR="00C62E8C">
        <w:rPr>
          <w:rFonts w:asciiTheme="minorBidi" w:hAnsiTheme="minorBidi"/>
          <w:snapToGrid w:val="0"/>
          <w:color w:val="000000"/>
        </w:rPr>
        <w:t>’</w:t>
      </w:r>
      <w:r>
        <w:rPr>
          <w:rFonts w:asciiTheme="minorBidi" w:hAnsiTheme="minorBidi"/>
          <w:snapToGrid w:val="0"/>
          <w:color w:val="000000"/>
        </w:rPr>
        <w:t>Abuja</w:t>
      </w:r>
      <w:r w:rsidR="00E82B30">
        <w:rPr>
          <w:rFonts w:asciiTheme="minorBidi" w:hAnsiTheme="minorBidi"/>
          <w:snapToGrid w:val="0"/>
          <w:color w:val="000000"/>
        </w:rPr>
        <w:t xml:space="preserve">, </w:t>
      </w:r>
      <w:r>
        <w:rPr>
          <w:rFonts w:asciiTheme="minorBidi" w:hAnsiTheme="minorBidi"/>
          <w:snapToGrid w:val="0"/>
          <w:color w:val="000000"/>
        </w:rPr>
        <w:t>de Beyrouth</w:t>
      </w:r>
      <w:r w:rsidR="00E82B30">
        <w:rPr>
          <w:rFonts w:asciiTheme="minorBidi" w:hAnsiTheme="minorBidi"/>
          <w:snapToGrid w:val="0"/>
          <w:color w:val="000000"/>
        </w:rPr>
        <w:t xml:space="preserve"> et d</w:t>
      </w:r>
      <w:r w:rsidR="00C62E8C">
        <w:rPr>
          <w:rFonts w:asciiTheme="minorBidi" w:hAnsiTheme="minorBidi"/>
          <w:snapToGrid w:val="0"/>
          <w:color w:val="000000"/>
        </w:rPr>
        <w:t>’</w:t>
      </w:r>
      <w:r w:rsidR="00E82B30">
        <w:rPr>
          <w:rFonts w:asciiTheme="minorBidi" w:hAnsiTheme="minorBidi"/>
          <w:snapToGrid w:val="0"/>
          <w:color w:val="000000"/>
        </w:rPr>
        <w:t>Harare</w:t>
      </w:r>
      <w:r>
        <w:rPr>
          <w:rFonts w:asciiTheme="minorBidi" w:hAnsiTheme="minorBidi"/>
          <w:snapToGrid w:val="0"/>
          <w:color w:val="000000"/>
        </w:rPr>
        <w:t>), la Suisse (bureau d</w:t>
      </w:r>
      <w:r w:rsidR="00C62E8C">
        <w:rPr>
          <w:rFonts w:asciiTheme="minorBidi" w:hAnsiTheme="minorBidi"/>
          <w:snapToGrid w:val="0"/>
          <w:color w:val="000000"/>
        </w:rPr>
        <w:t>’</w:t>
      </w:r>
      <w:r>
        <w:rPr>
          <w:rFonts w:asciiTheme="minorBidi" w:hAnsiTheme="minorBidi"/>
          <w:snapToGrid w:val="0"/>
          <w:color w:val="000000"/>
        </w:rPr>
        <w:t>Islamabad), les Émirats arabes unis (bureaux du Caire, de Khartoum, de Nairobi et de Ramallah) et la Fondation Iris (bureau de Bangkok)</w:t>
      </w:r>
      <w:r w:rsidR="001A13A6" w:rsidRPr="001A13A6">
        <w:t xml:space="preserve"> </w:t>
      </w:r>
      <w:r w:rsidR="001A13A6" w:rsidRPr="001A13A6">
        <w:rPr>
          <w:rFonts w:asciiTheme="minorBidi" w:hAnsiTheme="minorBidi"/>
          <w:snapToGrid w:val="0"/>
          <w:color w:val="000000"/>
        </w:rPr>
        <w:t xml:space="preserve">et </w:t>
      </w:r>
      <w:r w:rsidR="00DF52B2">
        <w:rPr>
          <w:rFonts w:asciiTheme="minorBidi" w:hAnsiTheme="minorBidi"/>
          <w:snapToGrid w:val="0"/>
          <w:color w:val="000000"/>
        </w:rPr>
        <w:t>du</w:t>
      </w:r>
      <w:r w:rsidR="001A13A6" w:rsidRPr="001A13A6">
        <w:rPr>
          <w:rFonts w:asciiTheme="minorBidi" w:hAnsiTheme="minorBidi"/>
          <w:snapToGrid w:val="0"/>
          <w:color w:val="000000"/>
        </w:rPr>
        <w:t xml:space="preserve"> secteur privé de la République populaire de Chine (Siège)</w:t>
      </w:r>
      <w:r>
        <w:rPr>
          <w:rFonts w:asciiTheme="minorBidi" w:hAnsiTheme="minorBidi"/>
          <w:snapToGrid w:val="0"/>
          <w:color w:val="000000"/>
        </w:rPr>
        <w:t>, qui ont soutenu la mise en œuvre d</w:t>
      </w:r>
      <w:r w:rsidR="001A13A6">
        <w:rPr>
          <w:rFonts w:asciiTheme="minorBidi" w:hAnsiTheme="minorBidi"/>
          <w:snapToGrid w:val="0"/>
          <w:color w:val="000000"/>
        </w:rPr>
        <w:t>e onze</w:t>
      </w:r>
      <w:r w:rsidR="006279AA">
        <w:rPr>
          <w:rFonts w:asciiTheme="minorBidi" w:hAnsiTheme="minorBidi"/>
          <w:snapToGrid w:val="0"/>
          <w:color w:val="000000"/>
        </w:rPr>
        <w:t xml:space="preserve"> </w:t>
      </w:r>
      <w:r>
        <w:rPr>
          <w:rFonts w:asciiTheme="minorBidi" w:hAnsiTheme="minorBidi"/>
          <w:snapToGrid w:val="0"/>
          <w:color w:val="000000"/>
        </w:rPr>
        <w:t>projets de renforcement des capacités ;</w:t>
      </w:r>
    </w:p>
    <w:p w14:paraId="253D4976" w14:textId="184613AC" w:rsidR="00126DEB" w:rsidRPr="00481E7B" w:rsidRDefault="00126DEB" w:rsidP="008844EA">
      <w:pPr>
        <w:numPr>
          <w:ilvl w:val="1"/>
          <w:numId w:val="15"/>
        </w:numPr>
        <w:ind w:left="1134" w:hanging="567"/>
        <w:jc w:val="both"/>
        <w:rPr>
          <w:rFonts w:asciiTheme="minorBidi" w:hAnsiTheme="minorBidi" w:cstheme="minorBidi"/>
          <w:szCs w:val="22"/>
        </w:rPr>
      </w:pPr>
      <w:r>
        <w:rPr>
          <w:rFonts w:asciiTheme="minorBidi" w:hAnsiTheme="minorBidi"/>
          <w:snapToGrid w:val="0"/>
          <w:color w:val="000000"/>
        </w:rPr>
        <w:t>Crédits supplémentaires au Programme ordinaire de l</w:t>
      </w:r>
      <w:r w:rsidR="00C62E8C">
        <w:rPr>
          <w:rFonts w:asciiTheme="minorBidi" w:hAnsiTheme="minorBidi"/>
          <w:snapToGrid w:val="0"/>
          <w:color w:val="000000"/>
        </w:rPr>
        <w:t>’</w:t>
      </w:r>
      <w:r>
        <w:rPr>
          <w:rFonts w:asciiTheme="minorBidi" w:hAnsiTheme="minorBidi"/>
          <w:snapToGrid w:val="0"/>
          <w:color w:val="000000"/>
        </w:rPr>
        <w:t>UNESCO (reçus de l</w:t>
      </w:r>
      <w:r w:rsidR="00C62E8C">
        <w:rPr>
          <w:rFonts w:asciiTheme="minorBidi" w:hAnsiTheme="minorBidi"/>
          <w:snapToGrid w:val="0"/>
          <w:color w:val="000000"/>
        </w:rPr>
        <w:t>’</w:t>
      </w:r>
      <w:r>
        <w:rPr>
          <w:rFonts w:asciiTheme="minorBidi" w:hAnsiTheme="minorBidi"/>
          <w:snapToGrid w:val="0"/>
          <w:color w:val="000000"/>
        </w:rPr>
        <w:t>Australie (</w:t>
      </w:r>
      <w:r w:rsidR="004849F1">
        <w:rPr>
          <w:rFonts w:asciiTheme="minorBidi" w:hAnsiTheme="minorBidi"/>
          <w:snapToGrid w:val="0"/>
          <w:color w:val="000000"/>
        </w:rPr>
        <w:t>b</w:t>
      </w:r>
      <w:r>
        <w:rPr>
          <w:rFonts w:asciiTheme="minorBidi" w:hAnsiTheme="minorBidi"/>
          <w:snapToGrid w:val="0"/>
          <w:color w:val="000000"/>
        </w:rPr>
        <w:t>ureau de Lima), de la Chine (</w:t>
      </w:r>
      <w:r w:rsidR="004849F1">
        <w:rPr>
          <w:rFonts w:asciiTheme="minorBidi" w:hAnsiTheme="minorBidi"/>
          <w:snapToGrid w:val="0"/>
          <w:color w:val="000000"/>
        </w:rPr>
        <w:t>b</w:t>
      </w:r>
      <w:r>
        <w:rPr>
          <w:rFonts w:asciiTheme="minorBidi" w:hAnsiTheme="minorBidi"/>
          <w:snapToGrid w:val="0"/>
          <w:color w:val="000000"/>
        </w:rPr>
        <w:t>ureaux de Beijing, Bangkok et Dhaka), des Émirats arabes unis (</w:t>
      </w:r>
      <w:r w:rsidR="004849F1">
        <w:rPr>
          <w:rFonts w:asciiTheme="minorBidi" w:hAnsiTheme="minorBidi"/>
          <w:snapToGrid w:val="0"/>
          <w:color w:val="000000"/>
        </w:rPr>
        <w:t>b</w:t>
      </w:r>
      <w:r>
        <w:rPr>
          <w:rFonts w:asciiTheme="minorBidi" w:hAnsiTheme="minorBidi"/>
          <w:snapToGrid w:val="0"/>
          <w:color w:val="000000"/>
        </w:rPr>
        <w:t>ureau de Doha), de l</w:t>
      </w:r>
      <w:r w:rsidR="00C62E8C">
        <w:rPr>
          <w:rFonts w:asciiTheme="minorBidi" w:hAnsiTheme="minorBidi"/>
          <w:snapToGrid w:val="0"/>
          <w:color w:val="000000"/>
        </w:rPr>
        <w:t>’</w:t>
      </w:r>
      <w:r>
        <w:rPr>
          <w:rFonts w:asciiTheme="minorBidi" w:hAnsiTheme="minorBidi"/>
          <w:snapToGrid w:val="0"/>
          <w:color w:val="000000"/>
        </w:rPr>
        <w:t>Uruguay (</w:t>
      </w:r>
      <w:r w:rsidR="004849F1">
        <w:rPr>
          <w:rFonts w:asciiTheme="minorBidi" w:hAnsiTheme="minorBidi"/>
          <w:snapToGrid w:val="0"/>
          <w:color w:val="000000"/>
        </w:rPr>
        <w:t>b</w:t>
      </w:r>
      <w:r>
        <w:rPr>
          <w:rFonts w:asciiTheme="minorBidi" w:hAnsiTheme="minorBidi"/>
          <w:snapToGrid w:val="0"/>
          <w:color w:val="000000"/>
        </w:rPr>
        <w:t>ureau de Montevideo), du Centre Asie-Pacifique d</w:t>
      </w:r>
      <w:r w:rsidR="00C62E8C">
        <w:rPr>
          <w:rFonts w:asciiTheme="minorBidi" w:hAnsiTheme="minorBidi"/>
          <w:snapToGrid w:val="0"/>
          <w:color w:val="000000"/>
        </w:rPr>
        <w:t>’</w:t>
      </w:r>
      <w:r>
        <w:rPr>
          <w:rFonts w:asciiTheme="minorBidi" w:hAnsiTheme="minorBidi"/>
          <w:snapToGrid w:val="0"/>
          <w:color w:val="000000"/>
        </w:rPr>
        <w:t>éducation pour la compréhension internationale - APCEIU (</w:t>
      </w:r>
      <w:r w:rsidR="004849F1">
        <w:rPr>
          <w:rFonts w:asciiTheme="minorBidi" w:hAnsiTheme="minorBidi"/>
          <w:snapToGrid w:val="0"/>
          <w:color w:val="000000"/>
        </w:rPr>
        <w:t>b</w:t>
      </w:r>
      <w:r>
        <w:rPr>
          <w:rFonts w:asciiTheme="minorBidi" w:hAnsiTheme="minorBidi"/>
          <w:snapToGrid w:val="0"/>
          <w:color w:val="000000"/>
        </w:rPr>
        <w:t>ureau de Bangkok), du Centre international de formation sur le patrimoine culturel immatériel dans la région Asie-Pacifique - CRIHAP (</w:t>
      </w:r>
      <w:r w:rsidR="004849F1">
        <w:rPr>
          <w:rFonts w:asciiTheme="minorBidi" w:hAnsiTheme="minorBidi"/>
          <w:snapToGrid w:val="0"/>
          <w:color w:val="000000"/>
        </w:rPr>
        <w:t>b</w:t>
      </w:r>
      <w:r>
        <w:rPr>
          <w:rFonts w:asciiTheme="minorBidi" w:hAnsiTheme="minorBidi"/>
          <w:snapToGrid w:val="0"/>
          <w:color w:val="000000"/>
        </w:rPr>
        <w:t>ureaux de Bangkok</w:t>
      </w:r>
      <w:r w:rsidR="004849F1">
        <w:rPr>
          <w:rFonts w:asciiTheme="minorBidi" w:hAnsiTheme="minorBidi"/>
          <w:snapToGrid w:val="0"/>
          <w:color w:val="000000"/>
        </w:rPr>
        <w:t xml:space="preserve"> </w:t>
      </w:r>
      <w:r>
        <w:rPr>
          <w:rFonts w:asciiTheme="minorBidi" w:hAnsiTheme="minorBidi"/>
          <w:snapToGrid w:val="0"/>
          <w:color w:val="000000"/>
        </w:rPr>
        <w:t xml:space="preserve">et Dhaka), du </w:t>
      </w:r>
      <w:r>
        <w:rPr>
          <w:rFonts w:asciiTheme="minorBidi" w:hAnsiTheme="minorBidi"/>
          <w:snapToGrid w:val="0"/>
        </w:rPr>
        <w:t>Centre international d</w:t>
      </w:r>
      <w:r w:rsidR="00C62E8C">
        <w:rPr>
          <w:rFonts w:asciiTheme="minorBidi" w:hAnsiTheme="minorBidi"/>
          <w:snapToGrid w:val="0"/>
        </w:rPr>
        <w:t>’</w:t>
      </w:r>
      <w:r>
        <w:rPr>
          <w:rFonts w:asciiTheme="minorBidi" w:hAnsiTheme="minorBidi"/>
          <w:snapToGrid w:val="0"/>
        </w:rPr>
        <w:t>information et de travail en réseau sur le patrimoine culturel immatériel dans la région Asie-Pacifique - ICHCAP (</w:t>
      </w:r>
      <w:r w:rsidR="004849F1">
        <w:rPr>
          <w:rFonts w:asciiTheme="minorBidi" w:hAnsiTheme="minorBidi"/>
          <w:snapToGrid w:val="0"/>
        </w:rPr>
        <w:t xml:space="preserve">Siège, </w:t>
      </w:r>
      <w:r>
        <w:rPr>
          <w:rFonts w:asciiTheme="minorBidi" w:hAnsiTheme="minorBidi"/>
          <w:snapToGrid w:val="0"/>
        </w:rPr>
        <w:t>bureau</w:t>
      </w:r>
      <w:r w:rsidR="004849F1">
        <w:rPr>
          <w:rFonts w:asciiTheme="minorBidi" w:hAnsiTheme="minorBidi"/>
          <w:snapToGrid w:val="0"/>
        </w:rPr>
        <w:t>x</w:t>
      </w:r>
      <w:r>
        <w:rPr>
          <w:rFonts w:asciiTheme="minorBidi" w:hAnsiTheme="minorBidi"/>
          <w:snapToGrid w:val="0"/>
        </w:rPr>
        <w:t xml:space="preserve"> de Bangkok</w:t>
      </w:r>
      <w:r w:rsidR="004849F1">
        <w:rPr>
          <w:rFonts w:asciiTheme="minorBidi" w:hAnsiTheme="minorBidi"/>
          <w:snapToGrid w:val="0"/>
        </w:rPr>
        <w:t>, Beijing et Dhaka</w:t>
      </w:r>
      <w:r>
        <w:rPr>
          <w:rFonts w:asciiTheme="minorBidi" w:hAnsiTheme="minorBidi"/>
          <w:snapToGrid w:val="0"/>
        </w:rPr>
        <w:t xml:space="preserve">), </w:t>
      </w:r>
      <w:r>
        <w:rPr>
          <w:rFonts w:asciiTheme="minorBidi" w:hAnsiTheme="minorBidi"/>
          <w:snapToGrid w:val="0"/>
          <w:color w:val="000000"/>
        </w:rPr>
        <w:t>de l</w:t>
      </w:r>
      <w:r w:rsidR="00C62E8C">
        <w:rPr>
          <w:rFonts w:asciiTheme="minorBidi" w:hAnsiTheme="minorBidi"/>
          <w:snapToGrid w:val="0"/>
          <w:color w:val="000000"/>
        </w:rPr>
        <w:t>’</w:t>
      </w:r>
      <w:r>
        <w:rPr>
          <w:rFonts w:asciiTheme="minorBidi" w:hAnsiTheme="minorBidi"/>
          <w:snapToGrid w:val="0"/>
          <w:color w:val="000000"/>
        </w:rPr>
        <w:t xml:space="preserve">AmorePacific </w:t>
      </w:r>
      <w:r w:rsidR="00D52F4A">
        <w:rPr>
          <w:rFonts w:asciiTheme="minorBidi" w:hAnsiTheme="minorBidi"/>
          <w:snapToGrid w:val="0"/>
          <w:color w:val="000000"/>
        </w:rPr>
        <w:t>Thaïlande</w:t>
      </w:r>
      <w:r>
        <w:rPr>
          <w:rFonts w:asciiTheme="minorBidi" w:hAnsiTheme="minorBidi"/>
          <w:snapToGrid w:val="0"/>
          <w:color w:val="000000"/>
        </w:rPr>
        <w:t xml:space="preserve"> (bureau de Bangkok), de Better World (bureau de Bangkok)</w:t>
      </w:r>
      <w:r w:rsidR="001A13A6">
        <w:rPr>
          <w:rFonts w:asciiTheme="minorBidi" w:hAnsiTheme="minorBidi"/>
          <w:snapToGrid w:val="0"/>
          <w:color w:val="000000"/>
        </w:rPr>
        <w:t xml:space="preserve">, </w:t>
      </w:r>
      <w:r w:rsidR="00DF52B2">
        <w:rPr>
          <w:rFonts w:asciiTheme="minorBidi" w:hAnsiTheme="minorBidi"/>
          <w:snapToGrid w:val="0"/>
          <w:color w:val="000000"/>
        </w:rPr>
        <w:t>du</w:t>
      </w:r>
      <w:r w:rsidR="001A13A6">
        <w:rPr>
          <w:rFonts w:asciiTheme="minorBidi" w:hAnsiTheme="minorBidi"/>
          <w:snapToGrid w:val="0"/>
          <w:color w:val="000000"/>
        </w:rPr>
        <w:t xml:space="preserve"> Comité Colbert (bureau de Montevid</w:t>
      </w:r>
      <w:r w:rsidR="004849F1">
        <w:rPr>
          <w:rFonts w:asciiTheme="minorBidi" w:hAnsiTheme="minorBidi"/>
          <w:snapToGrid w:val="0"/>
          <w:color w:val="000000"/>
        </w:rPr>
        <w:t>e</w:t>
      </w:r>
      <w:r w:rsidR="001A13A6">
        <w:rPr>
          <w:rFonts w:asciiTheme="minorBidi" w:hAnsiTheme="minorBidi"/>
          <w:snapToGrid w:val="0"/>
          <w:color w:val="000000"/>
        </w:rPr>
        <w:t>o)</w:t>
      </w:r>
      <w:r>
        <w:rPr>
          <w:rFonts w:asciiTheme="minorBidi" w:hAnsiTheme="minorBidi"/>
          <w:snapToGrid w:val="0"/>
          <w:color w:val="000000"/>
        </w:rPr>
        <w:t xml:space="preserve"> et de Parzor Foundation (bureau de Delhi), qui ont soutenu les bureaux hors siège de l</w:t>
      </w:r>
      <w:r w:rsidR="00C62E8C">
        <w:rPr>
          <w:rFonts w:asciiTheme="minorBidi" w:hAnsiTheme="minorBidi"/>
          <w:snapToGrid w:val="0"/>
          <w:color w:val="000000"/>
        </w:rPr>
        <w:t>’</w:t>
      </w:r>
      <w:r>
        <w:rPr>
          <w:rFonts w:asciiTheme="minorBidi" w:hAnsiTheme="minorBidi"/>
          <w:snapToGrid w:val="0"/>
          <w:color w:val="000000"/>
        </w:rPr>
        <w:t xml:space="preserve">UNESCO dans la mise en œuvre de </w:t>
      </w:r>
      <w:r w:rsidR="001A13A6">
        <w:rPr>
          <w:rFonts w:asciiTheme="minorBidi" w:hAnsiTheme="minorBidi"/>
          <w:snapToGrid w:val="0"/>
          <w:color w:val="000000"/>
        </w:rPr>
        <w:t xml:space="preserve">vingt </w:t>
      </w:r>
      <w:r>
        <w:rPr>
          <w:rFonts w:asciiTheme="minorBidi" w:hAnsiTheme="minorBidi"/>
          <w:snapToGrid w:val="0"/>
          <w:color w:val="000000"/>
        </w:rPr>
        <w:t>activités dans le cadre du programme mondial de renforcement des capacités.</w:t>
      </w:r>
    </w:p>
    <w:p w14:paraId="3B37F1D5" w14:textId="1E75A3DA" w:rsidR="00126DEB" w:rsidRPr="00481E7B" w:rsidRDefault="00126DEB" w:rsidP="008844EA">
      <w:pPr>
        <w:numPr>
          <w:ilvl w:val="0"/>
          <w:numId w:val="8"/>
        </w:numPr>
        <w:ind w:left="567" w:hanging="567"/>
        <w:jc w:val="both"/>
        <w:rPr>
          <w:szCs w:val="22"/>
        </w:rPr>
      </w:pPr>
      <w:r>
        <w:rPr>
          <w:rFonts w:ascii="Arial" w:hAnsi="Arial"/>
          <w:snapToGrid w:val="0"/>
          <w:color w:val="000000"/>
        </w:rPr>
        <w:t>Bien qu</w:t>
      </w:r>
      <w:r w:rsidR="00C62E8C">
        <w:rPr>
          <w:rFonts w:ascii="Arial" w:hAnsi="Arial"/>
          <w:snapToGrid w:val="0"/>
          <w:color w:val="000000"/>
        </w:rPr>
        <w:t>’</w:t>
      </w:r>
      <w:r>
        <w:rPr>
          <w:rFonts w:ascii="Arial" w:hAnsi="Arial"/>
          <w:snapToGrid w:val="0"/>
          <w:color w:val="000000"/>
        </w:rPr>
        <w:t>il s</w:t>
      </w:r>
      <w:r w:rsidR="00C62E8C">
        <w:rPr>
          <w:rFonts w:ascii="Arial" w:hAnsi="Arial"/>
          <w:snapToGrid w:val="0"/>
          <w:color w:val="000000"/>
        </w:rPr>
        <w:t>’</w:t>
      </w:r>
      <w:r>
        <w:rPr>
          <w:rFonts w:ascii="Arial" w:hAnsi="Arial"/>
          <w:snapToGrid w:val="0"/>
          <w:color w:val="000000"/>
        </w:rPr>
        <w:t>agisse d</w:t>
      </w:r>
      <w:r w:rsidR="00C62E8C">
        <w:rPr>
          <w:rFonts w:ascii="Arial" w:hAnsi="Arial"/>
          <w:snapToGrid w:val="0"/>
          <w:color w:val="000000"/>
        </w:rPr>
        <w:t>’</w:t>
      </w:r>
      <w:r>
        <w:rPr>
          <w:rFonts w:ascii="Arial" w:hAnsi="Arial"/>
          <w:snapToGrid w:val="0"/>
          <w:color w:val="000000"/>
        </w:rPr>
        <w:t>une priorité relativement nouvelle pour la Convention, les initiatives favorisant l</w:t>
      </w:r>
      <w:r w:rsidR="00C62E8C">
        <w:rPr>
          <w:rFonts w:ascii="Arial" w:hAnsi="Arial"/>
          <w:snapToGrid w:val="0"/>
          <w:color w:val="000000"/>
        </w:rPr>
        <w:t>’</w:t>
      </w:r>
      <w:r>
        <w:rPr>
          <w:rFonts w:ascii="Arial" w:hAnsi="Arial"/>
          <w:snapToGrid w:val="0"/>
          <w:color w:val="000000"/>
        </w:rPr>
        <w:t>intégration du patrimoine vivant dans l</w:t>
      </w:r>
      <w:r w:rsidR="00C62E8C">
        <w:rPr>
          <w:rFonts w:ascii="Arial" w:hAnsi="Arial"/>
          <w:snapToGrid w:val="0"/>
          <w:color w:val="000000"/>
        </w:rPr>
        <w:t>’</w:t>
      </w:r>
      <w:r>
        <w:rPr>
          <w:rFonts w:ascii="Arial" w:hAnsi="Arial"/>
          <w:snapToGrid w:val="0"/>
          <w:color w:val="000000"/>
        </w:rPr>
        <w:t xml:space="preserve">éducation ont également reçu un certain soutien, par le biais </w:t>
      </w:r>
      <w:r w:rsidR="001A13A6">
        <w:rPr>
          <w:rFonts w:ascii="Arial" w:hAnsi="Arial"/>
          <w:snapToGrid w:val="0"/>
          <w:color w:val="000000"/>
        </w:rPr>
        <w:t xml:space="preserve">de contributions de la Commission Européenne (Siège) et </w:t>
      </w:r>
      <w:r w:rsidR="00C62E8C">
        <w:rPr>
          <w:rFonts w:ascii="Arial" w:hAnsi="Arial"/>
          <w:snapToGrid w:val="0"/>
          <w:color w:val="000000"/>
        </w:rPr>
        <w:t>’</w:t>
      </w:r>
      <w:r>
        <w:rPr>
          <w:rFonts w:ascii="Arial" w:hAnsi="Arial"/>
          <w:snapToGrid w:val="0"/>
          <w:color w:val="000000"/>
        </w:rPr>
        <w:t xml:space="preserve"> du secteur privé en</w:t>
      </w:r>
      <w:r w:rsidR="00DF52B2">
        <w:rPr>
          <w:rFonts w:ascii="Arial" w:hAnsi="Arial"/>
          <w:snapToGrid w:val="0"/>
          <w:color w:val="000000"/>
        </w:rPr>
        <w:t xml:space="preserve"> République populaire de</w:t>
      </w:r>
      <w:r>
        <w:rPr>
          <w:rFonts w:ascii="Arial" w:hAnsi="Arial"/>
          <w:snapToGrid w:val="0"/>
          <w:color w:val="000000"/>
        </w:rPr>
        <w:t xml:space="preserve"> Chine </w:t>
      </w:r>
      <w:r w:rsidR="001A13A6">
        <w:rPr>
          <w:rFonts w:ascii="Arial" w:hAnsi="Arial"/>
          <w:snapToGrid w:val="0"/>
          <w:color w:val="000000"/>
        </w:rPr>
        <w:t>(</w:t>
      </w:r>
      <w:r>
        <w:rPr>
          <w:rFonts w:ascii="Arial" w:hAnsi="Arial"/>
          <w:snapToGrid w:val="0"/>
          <w:color w:val="000000"/>
        </w:rPr>
        <w:t xml:space="preserve">bureau de </w:t>
      </w:r>
      <w:r w:rsidR="00C62E8C">
        <w:rPr>
          <w:rFonts w:ascii="Arial" w:hAnsi="Arial"/>
          <w:snapToGrid w:val="0"/>
          <w:color w:val="000000"/>
        </w:rPr>
        <w:t>’</w:t>
      </w:r>
      <w:r>
        <w:rPr>
          <w:rFonts w:ascii="Arial" w:hAnsi="Arial"/>
          <w:snapToGrid w:val="0"/>
          <w:color w:val="000000"/>
        </w:rPr>
        <w:t>Bangkok</w:t>
      </w:r>
      <w:r w:rsidR="001A13A6">
        <w:rPr>
          <w:rFonts w:ascii="Arial" w:hAnsi="Arial"/>
          <w:snapToGrid w:val="0"/>
          <w:color w:val="000000"/>
        </w:rPr>
        <w:t>)</w:t>
      </w:r>
      <w:r>
        <w:rPr>
          <w:rFonts w:ascii="Arial" w:hAnsi="Arial"/>
          <w:snapToGrid w:val="0"/>
          <w:color w:val="000000"/>
        </w:rPr>
        <w:t>. De plus, des crédits supplémentaires au Programme ordinaire de l</w:t>
      </w:r>
      <w:r w:rsidR="00C62E8C">
        <w:rPr>
          <w:rFonts w:ascii="Arial" w:hAnsi="Arial"/>
          <w:snapToGrid w:val="0"/>
          <w:color w:val="000000"/>
        </w:rPr>
        <w:t>’</w:t>
      </w:r>
      <w:r>
        <w:rPr>
          <w:rFonts w:ascii="Arial" w:hAnsi="Arial"/>
          <w:snapToGrid w:val="0"/>
          <w:color w:val="000000"/>
        </w:rPr>
        <w:t xml:space="preserve">UNESCO ont été reçus </w:t>
      </w:r>
      <w:r w:rsidR="0016682D">
        <w:rPr>
          <w:rFonts w:ascii="Arial" w:hAnsi="Arial"/>
          <w:snapToGrid w:val="0"/>
          <w:color w:val="000000"/>
        </w:rPr>
        <w:t>par l</w:t>
      </w:r>
      <w:r w:rsidR="00C62E8C">
        <w:rPr>
          <w:rFonts w:ascii="Arial" w:hAnsi="Arial"/>
          <w:snapToGrid w:val="0"/>
          <w:color w:val="000000"/>
        </w:rPr>
        <w:t>’</w:t>
      </w:r>
      <w:r w:rsidR="0016682D">
        <w:rPr>
          <w:rFonts w:ascii="Arial" w:hAnsi="Arial"/>
          <w:snapToGrid w:val="0"/>
          <w:color w:val="000000"/>
        </w:rPr>
        <w:t>UNESCO</w:t>
      </w:r>
      <w:r>
        <w:rPr>
          <w:rFonts w:ascii="Arial" w:hAnsi="Arial"/>
          <w:snapToGrid w:val="0"/>
          <w:color w:val="000000"/>
        </w:rPr>
        <w:t xml:space="preserve"> de la Chine (</w:t>
      </w:r>
      <w:r w:rsidR="004849F1">
        <w:rPr>
          <w:rFonts w:ascii="Arial" w:hAnsi="Arial"/>
          <w:snapToGrid w:val="0"/>
          <w:color w:val="000000"/>
        </w:rPr>
        <w:t>b</w:t>
      </w:r>
      <w:r>
        <w:rPr>
          <w:rFonts w:ascii="Arial" w:hAnsi="Arial"/>
          <w:snapToGrid w:val="0"/>
          <w:color w:val="000000"/>
        </w:rPr>
        <w:t>ureau d</w:t>
      </w:r>
      <w:r w:rsidR="00C62E8C">
        <w:rPr>
          <w:rFonts w:ascii="Arial" w:hAnsi="Arial"/>
          <w:snapToGrid w:val="0"/>
          <w:color w:val="000000"/>
        </w:rPr>
        <w:t>’</w:t>
      </w:r>
      <w:r>
        <w:rPr>
          <w:rFonts w:ascii="Arial" w:hAnsi="Arial"/>
          <w:snapToGrid w:val="0"/>
          <w:color w:val="000000"/>
        </w:rPr>
        <w:t>Almaty), du Kazakhstan (</w:t>
      </w:r>
      <w:r w:rsidR="004849F1">
        <w:rPr>
          <w:rFonts w:ascii="Arial" w:hAnsi="Arial"/>
          <w:snapToGrid w:val="0"/>
          <w:color w:val="000000"/>
        </w:rPr>
        <w:t>b</w:t>
      </w:r>
      <w:r>
        <w:rPr>
          <w:rFonts w:ascii="Arial" w:hAnsi="Arial"/>
          <w:snapToGrid w:val="0"/>
          <w:color w:val="000000"/>
        </w:rPr>
        <w:t>ureau d</w:t>
      </w:r>
      <w:r w:rsidR="00C62E8C">
        <w:rPr>
          <w:rFonts w:ascii="Arial" w:hAnsi="Arial"/>
          <w:snapToGrid w:val="0"/>
          <w:color w:val="000000"/>
        </w:rPr>
        <w:t>’</w:t>
      </w:r>
      <w:r>
        <w:rPr>
          <w:rFonts w:ascii="Arial" w:hAnsi="Arial"/>
          <w:snapToGrid w:val="0"/>
          <w:color w:val="000000"/>
        </w:rPr>
        <w:t>Almaty), du Centre international d</w:t>
      </w:r>
      <w:r w:rsidR="00C62E8C">
        <w:rPr>
          <w:rFonts w:ascii="Arial" w:hAnsi="Arial"/>
          <w:snapToGrid w:val="0"/>
          <w:color w:val="000000"/>
        </w:rPr>
        <w:t>’</w:t>
      </w:r>
      <w:r>
        <w:rPr>
          <w:rFonts w:ascii="Arial" w:hAnsi="Arial"/>
          <w:snapToGrid w:val="0"/>
          <w:color w:val="000000"/>
        </w:rPr>
        <w:t>information et de travail en réseau sur le patrimoine culturel immatériel dans la région Asie-Pacifique - ICHCAP (</w:t>
      </w:r>
      <w:r w:rsidR="0016682D">
        <w:rPr>
          <w:rFonts w:ascii="Arial" w:hAnsi="Arial"/>
          <w:snapToGrid w:val="0"/>
          <w:color w:val="000000"/>
        </w:rPr>
        <w:t xml:space="preserve">Siège, </w:t>
      </w:r>
      <w:r w:rsidR="004849F1">
        <w:rPr>
          <w:rFonts w:ascii="Arial" w:hAnsi="Arial"/>
          <w:snapToGrid w:val="0"/>
          <w:color w:val="000000"/>
        </w:rPr>
        <w:t>b</w:t>
      </w:r>
      <w:r>
        <w:rPr>
          <w:rFonts w:ascii="Arial" w:hAnsi="Arial"/>
          <w:snapToGrid w:val="0"/>
          <w:color w:val="000000"/>
        </w:rPr>
        <w:t>ureau d</w:t>
      </w:r>
      <w:r w:rsidR="00C62E8C">
        <w:rPr>
          <w:rFonts w:ascii="Arial" w:hAnsi="Arial"/>
          <w:snapToGrid w:val="0"/>
          <w:color w:val="000000"/>
        </w:rPr>
        <w:t>’</w:t>
      </w:r>
      <w:r>
        <w:rPr>
          <w:rFonts w:ascii="Arial" w:hAnsi="Arial"/>
          <w:snapToGrid w:val="0"/>
          <w:color w:val="000000"/>
        </w:rPr>
        <w:t>Almaty) et d</w:t>
      </w:r>
      <w:r w:rsidR="00C62E8C">
        <w:rPr>
          <w:rFonts w:ascii="Arial" w:hAnsi="Arial"/>
          <w:snapToGrid w:val="0"/>
          <w:color w:val="000000"/>
        </w:rPr>
        <w:t>’</w:t>
      </w:r>
      <w:r>
        <w:rPr>
          <w:rFonts w:ascii="Arial" w:hAnsi="Arial"/>
          <w:snapToGrid w:val="0"/>
          <w:color w:val="000000"/>
        </w:rPr>
        <w:t>un particulier (</w:t>
      </w:r>
      <w:r w:rsidR="004849F1">
        <w:rPr>
          <w:rFonts w:ascii="Arial" w:hAnsi="Arial"/>
          <w:snapToGrid w:val="0"/>
          <w:color w:val="000000"/>
        </w:rPr>
        <w:t>b</w:t>
      </w:r>
      <w:r>
        <w:rPr>
          <w:rFonts w:ascii="Arial" w:hAnsi="Arial"/>
          <w:snapToGrid w:val="0"/>
          <w:color w:val="000000"/>
        </w:rPr>
        <w:t>ureau de Tachkent).</w:t>
      </w:r>
    </w:p>
    <w:p w14:paraId="6C455A88" w14:textId="00A47341" w:rsidR="00126DEB" w:rsidRPr="00481E7B" w:rsidRDefault="00126DEB" w:rsidP="008844EA">
      <w:pPr>
        <w:numPr>
          <w:ilvl w:val="0"/>
          <w:numId w:val="8"/>
        </w:numPr>
        <w:ind w:left="567" w:hanging="567"/>
        <w:jc w:val="both"/>
      </w:pPr>
      <w:r>
        <w:rPr>
          <w:rFonts w:ascii="Arial" w:hAnsi="Arial"/>
          <w:snapToGrid w:val="0"/>
          <w:color w:val="000000"/>
        </w:rPr>
        <w:t>Outre les projets qui contribuent aux deux priorités de financement, les contributeurs apportent également leur soutien à un large éventail de projets qui établissent un lien direct entre la sauvegarde du patrimoine vivant et d</w:t>
      </w:r>
      <w:r w:rsidR="00C62E8C">
        <w:rPr>
          <w:rFonts w:ascii="Arial" w:hAnsi="Arial"/>
          <w:snapToGrid w:val="0"/>
          <w:color w:val="000000"/>
        </w:rPr>
        <w:t>’</w:t>
      </w:r>
      <w:r>
        <w:rPr>
          <w:rFonts w:ascii="Arial" w:hAnsi="Arial"/>
          <w:snapToGrid w:val="0"/>
          <w:color w:val="000000"/>
        </w:rPr>
        <w:t>autres types de patrimoine (patrimoine mobilier) et/ou des domaines spécifiques du développement durable tels que l</w:t>
      </w:r>
      <w:r w:rsidR="00C62E8C">
        <w:rPr>
          <w:rFonts w:ascii="Arial" w:hAnsi="Arial"/>
          <w:snapToGrid w:val="0"/>
          <w:color w:val="000000"/>
        </w:rPr>
        <w:t>’</w:t>
      </w:r>
      <w:r>
        <w:rPr>
          <w:rFonts w:ascii="Arial" w:hAnsi="Arial"/>
          <w:snapToGrid w:val="0"/>
          <w:color w:val="000000"/>
        </w:rPr>
        <w:t>amélioration de la protection sociale, le développement d</w:t>
      </w:r>
      <w:r w:rsidR="00C62E8C">
        <w:rPr>
          <w:rFonts w:ascii="Arial" w:hAnsi="Arial"/>
          <w:snapToGrid w:val="0"/>
          <w:color w:val="000000"/>
        </w:rPr>
        <w:t>’</w:t>
      </w:r>
      <w:r>
        <w:rPr>
          <w:rFonts w:ascii="Arial" w:hAnsi="Arial"/>
          <w:snapToGrid w:val="0"/>
          <w:color w:val="000000"/>
        </w:rPr>
        <w:t>industries créatives, la gestion du tourisme, la consolidation de la paix ou le renforcement de la sécurité humaine en général :</w:t>
      </w:r>
    </w:p>
    <w:p w14:paraId="3BAF11A9" w14:textId="1367A472" w:rsidR="00126DEB" w:rsidRPr="00481E7B" w:rsidRDefault="00126DEB" w:rsidP="008844EA">
      <w:pPr>
        <w:numPr>
          <w:ilvl w:val="0"/>
          <w:numId w:val="21"/>
        </w:numPr>
        <w:ind w:left="1134" w:hanging="567"/>
        <w:jc w:val="both"/>
        <w:rPr>
          <w:rFonts w:asciiTheme="minorBidi" w:hAnsiTheme="minorBidi" w:cstheme="minorBidi"/>
          <w:szCs w:val="22"/>
        </w:rPr>
      </w:pPr>
      <w:r>
        <w:rPr>
          <w:rFonts w:asciiTheme="minorBidi" w:hAnsiTheme="minorBidi"/>
          <w:snapToGrid w:val="0"/>
          <w:color w:val="000000"/>
        </w:rPr>
        <w:t>Accords de fonds-en-dépôt autofinancés qui ont permis de soutenir six projets grâce aux contributions du Brésil (bureau de Brasilia), de l</w:t>
      </w:r>
      <w:r w:rsidR="00C62E8C">
        <w:rPr>
          <w:rFonts w:asciiTheme="minorBidi" w:hAnsiTheme="minorBidi"/>
          <w:snapToGrid w:val="0"/>
          <w:color w:val="000000"/>
        </w:rPr>
        <w:t>’</w:t>
      </w:r>
      <w:r>
        <w:rPr>
          <w:rFonts w:asciiTheme="minorBidi" w:hAnsiTheme="minorBidi"/>
          <w:snapToGrid w:val="0"/>
          <w:color w:val="000000"/>
        </w:rPr>
        <w:t>Inde (bureau de Delhi), du Mexique (bureau de Mexico) et du Maroc (bureau de Rabat) ;</w:t>
      </w:r>
    </w:p>
    <w:p w14:paraId="46455CC8" w14:textId="15D7DF07" w:rsidR="00126DEB" w:rsidRPr="008844EA" w:rsidRDefault="00126DEB" w:rsidP="008844EA">
      <w:pPr>
        <w:numPr>
          <w:ilvl w:val="0"/>
          <w:numId w:val="21"/>
        </w:numPr>
        <w:ind w:left="1134" w:hanging="567"/>
        <w:jc w:val="both"/>
        <w:rPr>
          <w:rFonts w:asciiTheme="minorBidi" w:hAnsiTheme="minorBidi" w:cstheme="minorBidi"/>
          <w:snapToGrid w:val="0"/>
          <w:color w:val="000000"/>
          <w:szCs w:val="22"/>
        </w:rPr>
      </w:pPr>
      <w:r>
        <w:rPr>
          <w:rFonts w:asciiTheme="minorBidi" w:hAnsiTheme="minorBidi"/>
          <w:snapToGrid w:val="0"/>
          <w:color w:val="000000"/>
        </w:rPr>
        <w:t>Autres accords de fonds-en-</w:t>
      </w:r>
      <w:r w:rsidR="00DC317C">
        <w:rPr>
          <w:rFonts w:asciiTheme="minorBidi" w:hAnsiTheme="minorBidi"/>
          <w:snapToGrid w:val="0"/>
          <w:color w:val="000000"/>
        </w:rPr>
        <w:t>dépôt établis</w:t>
      </w:r>
      <w:r>
        <w:rPr>
          <w:rFonts w:asciiTheme="minorBidi" w:hAnsiTheme="minorBidi"/>
          <w:snapToGrid w:val="0"/>
          <w:color w:val="000000"/>
        </w:rPr>
        <w:t xml:space="preserve"> avec la France (bureau de Quito), la Norvège (bureau de Juba), les Nations unies, y compris le Fonds </w:t>
      </w:r>
      <w:r w:rsidR="00DF52B2">
        <w:rPr>
          <w:rFonts w:asciiTheme="minorBidi" w:hAnsiTheme="minorBidi"/>
          <w:snapToGrid w:val="0"/>
          <w:color w:val="000000"/>
        </w:rPr>
        <w:t xml:space="preserve">d’affectation spéciale </w:t>
      </w:r>
      <w:r>
        <w:rPr>
          <w:rFonts w:asciiTheme="minorBidi" w:hAnsiTheme="minorBidi"/>
          <w:snapToGrid w:val="0"/>
          <w:color w:val="000000"/>
        </w:rPr>
        <w:t>des Nations unies pour la sécurité humaine (bureaux de Hanoi, Libreville et Rabat) et le secteur privé en</w:t>
      </w:r>
      <w:r w:rsidR="00DF52B2">
        <w:rPr>
          <w:rFonts w:asciiTheme="minorBidi" w:hAnsiTheme="minorBidi"/>
          <w:snapToGrid w:val="0"/>
          <w:color w:val="000000"/>
        </w:rPr>
        <w:t xml:space="preserve"> République populaire de</w:t>
      </w:r>
      <w:r>
        <w:rPr>
          <w:rFonts w:asciiTheme="minorBidi" w:hAnsiTheme="minorBidi"/>
          <w:snapToGrid w:val="0"/>
          <w:color w:val="000000"/>
        </w:rPr>
        <w:t xml:space="preserve"> Chine (bureau de Bamako), qui ont soutenu la mise en œuvre de sept projets ;</w:t>
      </w:r>
    </w:p>
    <w:p w14:paraId="6E053D12" w14:textId="221BB525" w:rsidR="00126DEB" w:rsidRPr="008844EA" w:rsidRDefault="00126DEB" w:rsidP="008844EA">
      <w:pPr>
        <w:numPr>
          <w:ilvl w:val="0"/>
          <w:numId w:val="21"/>
        </w:numPr>
        <w:ind w:left="1134" w:hanging="567"/>
        <w:jc w:val="both"/>
        <w:rPr>
          <w:rFonts w:asciiTheme="minorBidi" w:hAnsiTheme="minorBidi" w:cstheme="minorBidi"/>
          <w:snapToGrid w:val="0"/>
          <w:color w:val="000000"/>
          <w:szCs w:val="22"/>
        </w:rPr>
      </w:pPr>
      <w:r>
        <w:rPr>
          <w:rFonts w:asciiTheme="minorBidi" w:hAnsiTheme="minorBidi"/>
          <w:snapToGrid w:val="0"/>
          <w:color w:val="000000"/>
        </w:rPr>
        <w:t>Crédits supplémentaires au Programme ordinaire de l</w:t>
      </w:r>
      <w:r w:rsidR="00C62E8C">
        <w:rPr>
          <w:rFonts w:asciiTheme="minorBidi" w:hAnsiTheme="minorBidi"/>
          <w:snapToGrid w:val="0"/>
          <w:color w:val="000000"/>
        </w:rPr>
        <w:t>’</w:t>
      </w:r>
      <w:r>
        <w:rPr>
          <w:rFonts w:asciiTheme="minorBidi" w:hAnsiTheme="minorBidi"/>
          <w:snapToGrid w:val="0"/>
          <w:color w:val="000000"/>
        </w:rPr>
        <w:t xml:space="preserve">UNESCO reçus de </w:t>
      </w:r>
      <w:r w:rsidR="0016682D">
        <w:rPr>
          <w:rFonts w:asciiTheme="minorBidi" w:hAnsiTheme="minorBidi"/>
          <w:snapToGrid w:val="0"/>
          <w:color w:val="000000"/>
        </w:rPr>
        <w:t>la Chine (</w:t>
      </w:r>
      <w:r w:rsidR="00C62E8C">
        <w:rPr>
          <w:rFonts w:asciiTheme="minorBidi" w:hAnsiTheme="minorBidi"/>
          <w:snapToGrid w:val="0"/>
          <w:color w:val="000000"/>
        </w:rPr>
        <w:t>S</w:t>
      </w:r>
      <w:r w:rsidR="0016682D">
        <w:rPr>
          <w:rFonts w:asciiTheme="minorBidi" w:hAnsiTheme="minorBidi"/>
          <w:snapToGrid w:val="0"/>
          <w:color w:val="000000"/>
        </w:rPr>
        <w:t xml:space="preserve">iège), de la République </w:t>
      </w:r>
      <w:r w:rsidR="00C62E8C">
        <w:rPr>
          <w:rFonts w:asciiTheme="minorBidi" w:hAnsiTheme="minorBidi"/>
          <w:snapToGrid w:val="0"/>
          <w:color w:val="000000"/>
        </w:rPr>
        <w:t>i</w:t>
      </w:r>
      <w:r w:rsidR="0016682D">
        <w:rPr>
          <w:rFonts w:asciiTheme="minorBidi" w:hAnsiTheme="minorBidi"/>
          <w:snapToGrid w:val="0"/>
          <w:color w:val="000000"/>
        </w:rPr>
        <w:t>slamique d</w:t>
      </w:r>
      <w:r w:rsidR="00C62E8C">
        <w:rPr>
          <w:rFonts w:asciiTheme="minorBidi" w:hAnsiTheme="minorBidi"/>
          <w:snapToGrid w:val="0"/>
          <w:color w:val="000000"/>
        </w:rPr>
        <w:t>’</w:t>
      </w:r>
      <w:r w:rsidR="0016682D">
        <w:rPr>
          <w:rFonts w:asciiTheme="minorBidi" w:hAnsiTheme="minorBidi"/>
          <w:snapToGrid w:val="0"/>
          <w:color w:val="000000"/>
        </w:rPr>
        <w:t>Iran, des Pays-Bas (Siège), des Émirats arabes unis (Siège)</w:t>
      </w:r>
      <w:r w:rsidR="004849F1">
        <w:rPr>
          <w:rFonts w:asciiTheme="minorBidi" w:hAnsiTheme="minorBidi"/>
          <w:snapToGrid w:val="0"/>
          <w:color w:val="000000"/>
        </w:rPr>
        <w:t xml:space="preserve">, </w:t>
      </w:r>
      <w:r w:rsidR="00DF52B2">
        <w:rPr>
          <w:rFonts w:asciiTheme="minorBidi" w:hAnsiTheme="minorBidi"/>
          <w:snapToGrid w:val="0"/>
          <w:color w:val="000000"/>
        </w:rPr>
        <w:t xml:space="preserve">de </w:t>
      </w:r>
      <w:r>
        <w:rPr>
          <w:rFonts w:asciiTheme="minorBidi" w:hAnsiTheme="minorBidi"/>
          <w:snapToGrid w:val="0"/>
          <w:color w:val="000000"/>
        </w:rPr>
        <w:t>l</w:t>
      </w:r>
      <w:r w:rsidR="00C62E8C">
        <w:rPr>
          <w:rFonts w:asciiTheme="minorBidi" w:hAnsiTheme="minorBidi"/>
          <w:snapToGrid w:val="0"/>
          <w:color w:val="000000"/>
        </w:rPr>
        <w:t>’</w:t>
      </w:r>
      <w:r>
        <w:rPr>
          <w:rFonts w:asciiTheme="minorBidi" w:hAnsiTheme="minorBidi"/>
          <w:snapToGrid w:val="0"/>
          <w:color w:val="000000"/>
        </w:rPr>
        <w:t>Uruguay (</w:t>
      </w:r>
      <w:r w:rsidR="004849F1">
        <w:rPr>
          <w:rFonts w:asciiTheme="minorBidi" w:hAnsiTheme="minorBidi"/>
          <w:snapToGrid w:val="0"/>
          <w:color w:val="000000"/>
        </w:rPr>
        <w:t>b</w:t>
      </w:r>
      <w:r>
        <w:rPr>
          <w:rFonts w:asciiTheme="minorBidi" w:hAnsiTheme="minorBidi"/>
          <w:snapToGrid w:val="0"/>
          <w:color w:val="000000"/>
        </w:rPr>
        <w:t xml:space="preserve">ureau de Montevideo), </w:t>
      </w:r>
      <w:r w:rsidR="00EA6FDA">
        <w:rPr>
          <w:rFonts w:asciiTheme="minorBidi" w:hAnsiTheme="minorBidi"/>
          <w:snapToGrid w:val="0"/>
          <w:color w:val="000000"/>
        </w:rPr>
        <w:t>du</w:t>
      </w:r>
      <w:r w:rsidR="00EA6FDA" w:rsidRPr="00EA6FDA">
        <w:rPr>
          <w:rFonts w:asciiTheme="minorBidi" w:hAnsiTheme="minorBidi"/>
          <w:snapToGrid w:val="0"/>
          <w:color w:val="000000"/>
        </w:rPr>
        <w:t xml:space="preserve"> Centre régional pour la sauvegarde du patrimoine culturel immatériel de l</w:t>
      </w:r>
      <w:r w:rsidR="00C62E8C">
        <w:rPr>
          <w:rFonts w:asciiTheme="minorBidi" w:hAnsiTheme="minorBidi"/>
          <w:snapToGrid w:val="0"/>
          <w:color w:val="000000"/>
        </w:rPr>
        <w:t>’</w:t>
      </w:r>
      <w:r w:rsidR="00EA6FDA" w:rsidRPr="00EA6FDA">
        <w:rPr>
          <w:rFonts w:asciiTheme="minorBidi" w:hAnsiTheme="minorBidi"/>
          <w:snapToGrid w:val="0"/>
          <w:color w:val="000000"/>
        </w:rPr>
        <w:t>Amérique latine (CRESPIAL)</w:t>
      </w:r>
      <w:r w:rsidR="00EA6FDA">
        <w:rPr>
          <w:rFonts w:asciiTheme="minorBidi" w:hAnsiTheme="minorBidi"/>
          <w:snapToGrid w:val="0"/>
          <w:color w:val="000000"/>
        </w:rPr>
        <w:t xml:space="preserve">, </w:t>
      </w:r>
      <w:r>
        <w:rPr>
          <w:rFonts w:asciiTheme="minorBidi" w:hAnsiTheme="minorBidi"/>
          <w:snapToGrid w:val="0"/>
          <w:color w:val="000000"/>
        </w:rPr>
        <w:t xml:space="preserve">du </w:t>
      </w:r>
      <w:r>
        <w:rPr>
          <w:rFonts w:asciiTheme="minorBidi" w:hAnsiTheme="minorBidi"/>
          <w:snapToGrid w:val="0"/>
          <w:color w:val="000000"/>
        </w:rPr>
        <w:lastRenderedPageBreak/>
        <w:t>Centre international d</w:t>
      </w:r>
      <w:r w:rsidR="00C62E8C">
        <w:rPr>
          <w:rFonts w:asciiTheme="minorBidi" w:hAnsiTheme="minorBidi"/>
          <w:snapToGrid w:val="0"/>
          <w:color w:val="000000"/>
        </w:rPr>
        <w:t>’</w:t>
      </w:r>
      <w:r>
        <w:rPr>
          <w:rFonts w:asciiTheme="minorBidi" w:hAnsiTheme="minorBidi"/>
          <w:snapToGrid w:val="0"/>
          <w:color w:val="000000"/>
        </w:rPr>
        <w:t>information et de travail en réseau sur le patrimoine culturel immatériel dans la région Asie-Pacifique - ICHCAP (</w:t>
      </w:r>
      <w:r w:rsidR="004849F1">
        <w:rPr>
          <w:rFonts w:asciiTheme="minorBidi" w:hAnsiTheme="minorBidi"/>
          <w:snapToGrid w:val="0"/>
          <w:color w:val="000000"/>
        </w:rPr>
        <w:t>b</w:t>
      </w:r>
      <w:r>
        <w:rPr>
          <w:rFonts w:asciiTheme="minorBidi" w:hAnsiTheme="minorBidi"/>
          <w:snapToGrid w:val="0"/>
          <w:color w:val="000000"/>
        </w:rPr>
        <w:t xml:space="preserve">ureaux de Beijing et de Dhaka), </w:t>
      </w:r>
      <w:r w:rsidRPr="00EA6FDA">
        <w:rPr>
          <w:rFonts w:asciiTheme="minorBidi" w:hAnsiTheme="minorBidi"/>
          <w:snapToGrid w:val="0"/>
          <w:color w:val="000000"/>
        </w:rPr>
        <w:t>du Centro</w:t>
      </w:r>
      <w:r w:rsidR="00C62E8C">
        <w:rPr>
          <w:rFonts w:asciiTheme="minorBidi" w:hAnsiTheme="minorBidi"/>
          <w:snapToGrid w:val="0"/>
          <w:color w:val="000000"/>
        </w:rPr>
        <w:t xml:space="preserve"> de</w:t>
      </w:r>
      <w:r w:rsidRPr="00EA6FDA">
        <w:rPr>
          <w:rFonts w:asciiTheme="minorBidi" w:hAnsiTheme="minorBidi"/>
          <w:snapToGrid w:val="0"/>
          <w:color w:val="000000"/>
        </w:rPr>
        <w:t xml:space="preserve"> Desarollo y Autogesti</w:t>
      </w:r>
      <w:r w:rsidR="00C62E8C">
        <w:rPr>
          <w:rFonts w:asciiTheme="minorBidi" w:hAnsiTheme="minorBidi" w:cstheme="minorBidi"/>
          <w:snapToGrid w:val="0"/>
          <w:color w:val="000000"/>
          <w:szCs w:val="22"/>
          <w:lang w:eastAsia="en-US"/>
        </w:rPr>
        <w:t>ó</w:t>
      </w:r>
      <w:r w:rsidRPr="00EA6FDA">
        <w:rPr>
          <w:rFonts w:asciiTheme="minorBidi" w:hAnsiTheme="minorBidi"/>
          <w:snapToGrid w:val="0"/>
          <w:color w:val="000000"/>
        </w:rPr>
        <w:t>n</w:t>
      </w:r>
      <w:r>
        <w:rPr>
          <w:rFonts w:asciiTheme="minorBidi" w:hAnsiTheme="minorBidi"/>
          <w:snapToGrid w:val="0"/>
          <w:color w:val="000000"/>
        </w:rPr>
        <w:t xml:space="preserve"> (</w:t>
      </w:r>
      <w:r w:rsidR="004849F1">
        <w:rPr>
          <w:rFonts w:asciiTheme="minorBidi" w:hAnsiTheme="minorBidi"/>
          <w:snapToGrid w:val="0"/>
          <w:color w:val="000000"/>
        </w:rPr>
        <w:t>b</w:t>
      </w:r>
      <w:r>
        <w:rPr>
          <w:rFonts w:asciiTheme="minorBidi" w:hAnsiTheme="minorBidi"/>
          <w:snapToGrid w:val="0"/>
          <w:color w:val="000000"/>
        </w:rPr>
        <w:t>ureau de Lima), et de Santillana (</w:t>
      </w:r>
      <w:r w:rsidR="004849F1">
        <w:rPr>
          <w:rFonts w:asciiTheme="minorBidi" w:hAnsiTheme="minorBidi"/>
          <w:snapToGrid w:val="0"/>
          <w:color w:val="000000"/>
        </w:rPr>
        <w:t>b</w:t>
      </w:r>
      <w:r>
        <w:rPr>
          <w:rFonts w:asciiTheme="minorBidi" w:hAnsiTheme="minorBidi"/>
          <w:snapToGrid w:val="0"/>
          <w:color w:val="000000"/>
        </w:rPr>
        <w:t>ureau de Lima), qui ont soutenu les bureaux hors-siège de l</w:t>
      </w:r>
      <w:r w:rsidR="00C62E8C">
        <w:rPr>
          <w:rFonts w:asciiTheme="minorBidi" w:hAnsiTheme="minorBidi"/>
          <w:snapToGrid w:val="0"/>
          <w:color w:val="000000"/>
        </w:rPr>
        <w:t>’</w:t>
      </w:r>
      <w:r>
        <w:rPr>
          <w:rFonts w:asciiTheme="minorBidi" w:hAnsiTheme="minorBidi"/>
          <w:snapToGrid w:val="0"/>
          <w:color w:val="000000"/>
        </w:rPr>
        <w:t xml:space="preserve">UNESCO dans la mise en œuvre de </w:t>
      </w:r>
      <w:r w:rsidR="0016682D">
        <w:rPr>
          <w:rFonts w:asciiTheme="minorBidi" w:hAnsiTheme="minorBidi"/>
          <w:snapToGrid w:val="0"/>
          <w:color w:val="000000"/>
        </w:rPr>
        <w:t xml:space="preserve">douze </w:t>
      </w:r>
      <w:r>
        <w:rPr>
          <w:rFonts w:asciiTheme="minorBidi" w:hAnsiTheme="minorBidi"/>
          <w:snapToGrid w:val="0"/>
          <w:color w:val="000000"/>
        </w:rPr>
        <w:t>activités par les bureaux hors-siège.</w:t>
      </w:r>
    </w:p>
    <w:p w14:paraId="465B8995" w14:textId="3A157F12" w:rsidR="005720E3" w:rsidRDefault="00C4105F" w:rsidP="005720E3">
      <w:pPr>
        <w:pStyle w:val="ListParagraph"/>
        <w:numPr>
          <w:ilvl w:val="0"/>
          <w:numId w:val="15"/>
        </w:numPr>
        <w:spacing w:before="240"/>
        <w:ind w:left="567" w:hanging="567"/>
        <w:contextualSpacing/>
        <w:rPr>
          <w:b/>
        </w:rPr>
      </w:pPr>
      <w:r>
        <w:rPr>
          <w:b/>
        </w:rPr>
        <w:t>Priorités de financement proposées (2022 - 2025)</w:t>
      </w:r>
    </w:p>
    <w:p w14:paraId="63BDEB26" w14:textId="73AD6564" w:rsidR="001C3CF6" w:rsidRPr="00C4105F" w:rsidRDefault="00004349" w:rsidP="00125CDA">
      <w:pPr>
        <w:keepNext/>
        <w:numPr>
          <w:ilvl w:val="0"/>
          <w:numId w:val="8"/>
        </w:numPr>
        <w:ind w:left="567" w:hanging="567"/>
        <w:jc w:val="both"/>
        <w:rPr>
          <w:rFonts w:asciiTheme="minorBidi" w:hAnsiTheme="minorBidi" w:cstheme="minorBidi"/>
        </w:rPr>
      </w:pPr>
      <w:r>
        <w:rPr>
          <w:rFonts w:asciiTheme="minorBidi" w:hAnsiTheme="minorBidi"/>
        </w:rPr>
        <w:t>Le cadre qui a permis aux donateurs de verser des contributions volontaires au Fonds au cours des quatre années écoulées et permis au Comité d</w:t>
      </w:r>
      <w:r w:rsidR="00C62E8C">
        <w:rPr>
          <w:rFonts w:asciiTheme="minorBidi" w:hAnsiTheme="minorBidi"/>
        </w:rPr>
        <w:t>’</w:t>
      </w:r>
      <w:r>
        <w:rPr>
          <w:rFonts w:asciiTheme="minorBidi" w:hAnsiTheme="minorBidi"/>
        </w:rPr>
        <w:t>accepter des projets entre ses sessions expire fin 2021. Un nouveau cadre doit donc à cet égard être adopté par le Comité. Conformément au projet de programme et de budget (</w:t>
      </w:r>
      <w:hyperlink r:id="rId31" w:history="1">
        <w:r>
          <w:rPr>
            <w:rStyle w:val="Hyperlink"/>
            <w:rFonts w:asciiTheme="minorBidi" w:hAnsiTheme="minorBidi"/>
          </w:rPr>
          <w:t>41 C/5</w:t>
        </w:r>
      </w:hyperlink>
      <w:r>
        <w:rPr>
          <w:rFonts w:asciiTheme="minorBidi" w:hAnsiTheme="minorBidi"/>
        </w:rPr>
        <w:t>) de l</w:t>
      </w:r>
      <w:r w:rsidR="00C62E8C">
        <w:rPr>
          <w:rFonts w:asciiTheme="minorBidi" w:hAnsiTheme="minorBidi"/>
        </w:rPr>
        <w:t>’</w:t>
      </w:r>
      <w:r>
        <w:rPr>
          <w:rFonts w:asciiTheme="minorBidi" w:hAnsiTheme="minorBidi"/>
        </w:rPr>
        <w:t>UNESCO, qui continue d</w:t>
      </w:r>
      <w:r w:rsidR="00C62E8C">
        <w:rPr>
          <w:rFonts w:asciiTheme="minorBidi" w:hAnsiTheme="minorBidi"/>
        </w:rPr>
        <w:t>’</w:t>
      </w:r>
      <w:r>
        <w:rPr>
          <w:rFonts w:asciiTheme="minorBidi" w:hAnsiTheme="minorBidi"/>
        </w:rPr>
        <w:t>être basé sur un cadre budgétaire intégré qui définit les besoins globaux de financement de l</w:t>
      </w:r>
      <w:r w:rsidR="00C62E8C">
        <w:rPr>
          <w:rFonts w:asciiTheme="minorBidi" w:hAnsiTheme="minorBidi"/>
        </w:rPr>
        <w:t>’</w:t>
      </w:r>
      <w:r>
        <w:rPr>
          <w:rFonts w:asciiTheme="minorBidi" w:hAnsiTheme="minorBidi"/>
        </w:rPr>
        <w:t>Organisation et oriente donc tout le soutien à l</w:t>
      </w:r>
      <w:r w:rsidR="00C62E8C">
        <w:rPr>
          <w:rFonts w:asciiTheme="minorBidi" w:hAnsiTheme="minorBidi"/>
        </w:rPr>
        <w:t>’</w:t>
      </w:r>
      <w:r>
        <w:rPr>
          <w:rFonts w:asciiTheme="minorBidi" w:hAnsiTheme="minorBidi"/>
        </w:rPr>
        <w:t>UNESCO, y compris la Convention de 2003, le Secrétariat propose de maintenir les deux principales priorités de financement actuelles pour la période 2022 - 2025, telles que décrites dans les notes conceptuelles actualisées (annexe II).</w:t>
      </w:r>
    </w:p>
    <w:p w14:paraId="37A03275" w14:textId="3AFA4185" w:rsidR="001C3CF6" w:rsidRPr="00F9579A" w:rsidRDefault="00F82525" w:rsidP="00F82525">
      <w:pPr>
        <w:keepNext/>
        <w:numPr>
          <w:ilvl w:val="0"/>
          <w:numId w:val="8"/>
        </w:numPr>
        <w:ind w:left="567" w:hanging="567"/>
        <w:jc w:val="both"/>
        <w:rPr>
          <w:rFonts w:asciiTheme="minorBidi" w:hAnsiTheme="minorBidi" w:cstheme="minorBidi"/>
        </w:rPr>
      </w:pPr>
      <w:r>
        <w:rPr>
          <w:rFonts w:asciiTheme="minorBidi" w:hAnsiTheme="minorBidi"/>
        </w:rPr>
        <w:t>La priorité 1 proposée, « </w:t>
      </w:r>
      <w:hyperlink w:anchor="Priority1" w:history="1">
        <w:r>
          <w:rPr>
            <w:rStyle w:val="Hyperlink"/>
            <w:rFonts w:asciiTheme="minorBidi" w:hAnsiTheme="minorBidi"/>
          </w:rPr>
          <w:t>Le renforcement des capacités de sauvegarde du patrimoine culturel immatériel par des approches multimodales et de contribution au développement durable</w:t>
        </w:r>
      </w:hyperlink>
      <w:r>
        <w:rPr>
          <w:rFonts w:asciiTheme="minorBidi" w:hAnsiTheme="minorBidi"/>
        </w:rPr>
        <w:t> » vise à poursuivre les efforts pour étendre la portée et l</w:t>
      </w:r>
      <w:r w:rsidR="00C62E8C">
        <w:rPr>
          <w:rFonts w:asciiTheme="minorBidi" w:hAnsiTheme="minorBidi"/>
        </w:rPr>
        <w:t>’</w:t>
      </w:r>
      <w:r>
        <w:rPr>
          <w:rFonts w:asciiTheme="minorBidi" w:hAnsiTheme="minorBidi"/>
        </w:rPr>
        <w:t>efficacité du programme mondial de renforcement des capacités, qui a été mis en place pour la première fois en 2009 et a depuis lors permis de soutenir des États et des communautés de plus de 95 pays. Au cours de la période quadriennale 2022 - 2025, l</w:t>
      </w:r>
      <w:r w:rsidR="00C62E8C">
        <w:rPr>
          <w:rFonts w:asciiTheme="minorBidi" w:hAnsiTheme="minorBidi"/>
        </w:rPr>
        <w:t>’</w:t>
      </w:r>
      <w:r>
        <w:rPr>
          <w:rFonts w:asciiTheme="minorBidi" w:hAnsiTheme="minorBidi"/>
        </w:rPr>
        <w:t>accent sera mis sur l</w:t>
      </w:r>
      <w:r w:rsidR="00C62E8C">
        <w:rPr>
          <w:rFonts w:asciiTheme="minorBidi" w:hAnsiTheme="minorBidi"/>
        </w:rPr>
        <w:t>’</w:t>
      </w:r>
      <w:r>
        <w:rPr>
          <w:rFonts w:asciiTheme="minorBidi" w:hAnsiTheme="minorBidi"/>
        </w:rPr>
        <w:t>élargissement de la portée géographique et thématique du programme, en collaboration avec un éventail diversifié de partenaires (centres de catégorie 2, réseaux universitaires, organisations non gouvernementales). En réponse aux défis soulevés par la pandémie de COVID-19 et aux restrictions qui y sont associées, nous poursuivrons une réorientation stratégique du programme vers une approche de prestation multimodale, impliquant des formats hybrides, en présentiel et entièrement en ligne, afin d</w:t>
      </w:r>
      <w:r w:rsidR="00C62E8C">
        <w:rPr>
          <w:rFonts w:asciiTheme="minorBidi" w:hAnsiTheme="minorBidi"/>
        </w:rPr>
        <w:t>’</w:t>
      </w:r>
      <w:r>
        <w:rPr>
          <w:rFonts w:asciiTheme="minorBidi" w:hAnsiTheme="minorBidi"/>
        </w:rPr>
        <w:t>améliorer la qualité, l</w:t>
      </w:r>
      <w:r w:rsidR="00C62E8C">
        <w:rPr>
          <w:rFonts w:asciiTheme="minorBidi" w:hAnsiTheme="minorBidi"/>
        </w:rPr>
        <w:t>’</w:t>
      </w:r>
      <w:r>
        <w:rPr>
          <w:rFonts w:asciiTheme="minorBidi" w:hAnsiTheme="minorBidi"/>
        </w:rPr>
        <w:t>efficacité et l</w:t>
      </w:r>
      <w:r w:rsidR="00C62E8C">
        <w:rPr>
          <w:rFonts w:asciiTheme="minorBidi" w:hAnsiTheme="minorBidi"/>
        </w:rPr>
        <w:t>’</w:t>
      </w:r>
      <w:r>
        <w:rPr>
          <w:rFonts w:asciiTheme="minorBidi" w:hAnsiTheme="minorBidi"/>
        </w:rPr>
        <w:t>accessibilité du programme.</w:t>
      </w:r>
    </w:p>
    <w:p w14:paraId="0A4C150C" w14:textId="06DDCCD3" w:rsidR="00004349" w:rsidRPr="00F9579A" w:rsidRDefault="00F82525" w:rsidP="00F82525">
      <w:pPr>
        <w:keepNext/>
        <w:numPr>
          <w:ilvl w:val="0"/>
          <w:numId w:val="8"/>
        </w:numPr>
        <w:ind w:left="567" w:hanging="567"/>
        <w:jc w:val="both"/>
        <w:rPr>
          <w:rFonts w:asciiTheme="minorBidi" w:hAnsiTheme="minorBidi" w:cstheme="minorBidi"/>
        </w:rPr>
      </w:pPr>
      <w:r>
        <w:rPr>
          <w:rFonts w:asciiTheme="minorBidi" w:hAnsiTheme="minorBidi"/>
        </w:rPr>
        <w:t>La priorité 2 proposée - « </w:t>
      </w:r>
      <w:hyperlink w:anchor="Priority2" w:history="1">
        <w:r>
          <w:rPr>
            <w:rStyle w:val="Hyperlink"/>
            <w:rFonts w:asciiTheme="minorBidi" w:hAnsiTheme="minorBidi"/>
          </w:rPr>
          <w:t>Sauvegarde du patrimoine culturel immatériel dans l</w:t>
        </w:r>
        <w:r w:rsidR="00C62E8C">
          <w:rPr>
            <w:rStyle w:val="Hyperlink"/>
            <w:rFonts w:asciiTheme="minorBidi" w:hAnsiTheme="minorBidi"/>
          </w:rPr>
          <w:t>’</w:t>
        </w:r>
        <w:r>
          <w:rPr>
            <w:rStyle w:val="Hyperlink"/>
            <w:rFonts w:asciiTheme="minorBidi" w:hAnsiTheme="minorBidi"/>
          </w:rPr>
          <w:t>éducation formelle et non formelle</w:t>
        </w:r>
      </w:hyperlink>
      <w:r>
        <w:rPr>
          <w:rFonts w:asciiTheme="minorBidi" w:hAnsiTheme="minorBidi"/>
        </w:rPr>
        <w:t> » - vise à intensifier les efforts initiés au cours de la période quadriennale 2018 - 2021 pour intégrer le patrimoine culturel immatériel dans l</w:t>
      </w:r>
      <w:r w:rsidR="00C62E8C">
        <w:rPr>
          <w:rFonts w:asciiTheme="minorBidi" w:hAnsiTheme="minorBidi"/>
        </w:rPr>
        <w:t>’</w:t>
      </w:r>
      <w:r>
        <w:rPr>
          <w:rFonts w:asciiTheme="minorBidi" w:hAnsiTheme="minorBidi"/>
        </w:rPr>
        <w:t>éducation formelle et non formelle, en coopération avec le secteur de l</w:t>
      </w:r>
      <w:r w:rsidR="00C62E8C">
        <w:rPr>
          <w:rFonts w:asciiTheme="minorBidi" w:hAnsiTheme="minorBidi"/>
        </w:rPr>
        <w:t>’</w:t>
      </w:r>
      <w:r>
        <w:rPr>
          <w:rFonts w:asciiTheme="minorBidi" w:hAnsiTheme="minorBidi"/>
        </w:rPr>
        <w:t>éducation. Les contributions volontaires supplémentaires reçues en 2020 et 2021 ont montré tout l</w:t>
      </w:r>
      <w:r w:rsidR="00C62E8C">
        <w:rPr>
          <w:rFonts w:asciiTheme="minorBidi" w:hAnsiTheme="minorBidi"/>
        </w:rPr>
        <w:t>’</w:t>
      </w:r>
      <w:r>
        <w:rPr>
          <w:rFonts w:asciiTheme="minorBidi" w:hAnsiTheme="minorBidi"/>
        </w:rPr>
        <w:t>intérêt des États parties et des principales parties prenantes du secteur de l</w:t>
      </w:r>
      <w:r w:rsidR="00C62E8C">
        <w:rPr>
          <w:rFonts w:asciiTheme="minorBidi" w:hAnsiTheme="minorBidi"/>
        </w:rPr>
        <w:t>’</w:t>
      </w:r>
      <w:r>
        <w:rPr>
          <w:rFonts w:asciiTheme="minorBidi" w:hAnsiTheme="minorBidi"/>
        </w:rPr>
        <w:t>éducation et ont permis de fournir un soutien technique à la conception et la mise en œuvre de projets pilotes visant à développer et tester des méthodes et des outils. Au cours de la période quadriennale 2022 - 2025, l</w:t>
      </w:r>
      <w:r w:rsidR="00C62E8C">
        <w:rPr>
          <w:rFonts w:asciiTheme="minorBidi" w:hAnsiTheme="minorBidi"/>
        </w:rPr>
        <w:t>’</w:t>
      </w:r>
      <w:r>
        <w:rPr>
          <w:rFonts w:asciiTheme="minorBidi" w:hAnsiTheme="minorBidi"/>
        </w:rPr>
        <w:t>accent sera mis sur la mise à l</w:t>
      </w:r>
      <w:r w:rsidR="00C62E8C">
        <w:rPr>
          <w:rFonts w:asciiTheme="minorBidi" w:hAnsiTheme="minorBidi"/>
        </w:rPr>
        <w:t>’</w:t>
      </w:r>
      <w:r>
        <w:rPr>
          <w:rFonts w:asciiTheme="minorBidi" w:hAnsiTheme="minorBidi"/>
        </w:rPr>
        <w:t>échelle du programme, en se concentrant plus stratégiquement sur les systèmes et établissements d</w:t>
      </w:r>
      <w:r w:rsidR="00C62E8C">
        <w:rPr>
          <w:rFonts w:asciiTheme="minorBidi" w:hAnsiTheme="minorBidi"/>
        </w:rPr>
        <w:t>’</w:t>
      </w:r>
      <w:r>
        <w:rPr>
          <w:rFonts w:asciiTheme="minorBidi" w:hAnsiTheme="minorBidi"/>
        </w:rPr>
        <w:t>enseignement afin de garantir des impacts durables et d</w:t>
      </w:r>
      <w:r w:rsidR="00C62E8C">
        <w:rPr>
          <w:rFonts w:asciiTheme="minorBidi" w:hAnsiTheme="minorBidi"/>
        </w:rPr>
        <w:t>’</w:t>
      </w:r>
      <w:r>
        <w:rPr>
          <w:rFonts w:asciiTheme="minorBidi" w:hAnsiTheme="minorBidi"/>
        </w:rPr>
        <w:t>alimenter efficacement le discours national et de faire progresser le Programme à l</w:t>
      </w:r>
      <w:r w:rsidR="00C62E8C">
        <w:rPr>
          <w:rFonts w:asciiTheme="minorBidi" w:hAnsiTheme="minorBidi"/>
        </w:rPr>
        <w:t>’</w:t>
      </w:r>
      <w:r>
        <w:rPr>
          <w:rFonts w:asciiTheme="minorBidi" w:hAnsiTheme="minorBidi"/>
        </w:rPr>
        <w:t>horizon 2030 par le biais de l</w:t>
      </w:r>
      <w:r w:rsidR="00C62E8C">
        <w:rPr>
          <w:rFonts w:asciiTheme="minorBidi" w:hAnsiTheme="minorBidi"/>
        </w:rPr>
        <w:t>’</w:t>
      </w:r>
      <w:r>
        <w:rPr>
          <w:rFonts w:asciiTheme="minorBidi" w:hAnsiTheme="minorBidi"/>
        </w:rPr>
        <w:t>éducation et de la culture.</w:t>
      </w:r>
    </w:p>
    <w:p w14:paraId="23D01D17" w14:textId="600DBDCD" w:rsidR="00004349" w:rsidRPr="00B6280A" w:rsidRDefault="00004349" w:rsidP="00B6280A">
      <w:pPr>
        <w:numPr>
          <w:ilvl w:val="0"/>
          <w:numId w:val="8"/>
        </w:numPr>
        <w:ind w:left="567" w:hanging="567"/>
        <w:jc w:val="both"/>
        <w:rPr>
          <w:rFonts w:asciiTheme="minorBidi" w:hAnsiTheme="minorBidi" w:cstheme="minorBidi"/>
        </w:rPr>
      </w:pPr>
      <w:r>
        <w:rPr>
          <w:rFonts w:asciiTheme="minorBidi" w:hAnsiTheme="minorBidi"/>
        </w:rPr>
        <w:t>Le Comité souhaitera peut-être encourager les donateurs à soutenir la réalisation des objectifs définis dans les deux priorités de financement par le biais de contributions volontaires supplémentaires au Fonds. Les contributions volontaires supplémentaires permettent au Comité de mieux coordonner la coopération internationale, conformément à l</w:t>
      </w:r>
      <w:r w:rsidR="00C62E8C">
        <w:rPr>
          <w:rFonts w:asciiTheme="minorBidi" w:hAnsiTheme="minorBidi"/>
        </w:rPr>
        <w:t>’</w:t>
      </w:r>
      <w:r>
        <w:rPr>
          <w:rFonts w:asciiTheme="minorBidi" w:hAnsiTheme="minorBidi"/>
        </w:rPr>
        <w:t>article 19 de la Convention, tout en permettant au Secrétariat d</w:t>
      </w:r>
      <w:r w:rsidR="00C62E8C">
        <w:rPr>
          <w:rFonts w:asciiTheme="minorBidi" w:hAnsiTheme="minorBidi"/>
        </w:rPr>
        <w:t>’</w:t>
      </w:r>
      <w:r>
        <w:rPr>
          <w:rFonts w:asciiTheme="minorBidi" w:hAnsiTheme="minorBidi"/>
        </w:rPr>
        <w:t>adapter rapidement les ressources aux besoins et de proposer efficacement ses services. Elles offrent également une bonne visibilité aux donateurs. Dans le cadre du principe de gestion axée sur les résultats de l</w:t>
      </w:r>
      <w:r w:rsidR="00C62E8C">
        <w:rPr>
          <w:rFonts w:asciiTheme="minorBidi" w:hAnsiTheme="minorBidi"/>
        </w:rPr>
        <w:t>’</w:t>
      </w:r>
      <w:r>
        <w:rPr>
          <w:rFonts w:asciiTheme="minorBidi" w:hAnsiTheme="minorBidi"/>
        </w:rPr>
        <w:t>Organisation, le Secrétariat doit fournir des résultats concrets à l</w:t>
      </w:r>
      <w:r w:rsidR="00C62E8C">
        <w:rPr>
          <w:rFonts w:asciiTheme="minorBidi" w:hAnsiTheme="minorBidi"/>
        </w:rPr>
        <w:t>’</w:t>
      </w:r>
      <w:r>
        <w:rPr>
          <w:rFonts w:asciiTheme="minorBidi" w:hAnsiTheme="minorBidi"/>
        </w:rPr>
        <w:t>Assemblée générale et, à travers elle, aux donateurs.</w:t>
      </w:r>
    </w:p>
    <w:p w14:paraId="01F8C9E2" w14:textId="3BAF4D2B" w:rsidR="00004349" w:rsidRPr="00B6280A" w:rsidRDefault="00004349" w:rsidP="00175244">
      <w:pPr>
        <w:keepLines/>
        <w:numPr>
          <w:ilvl w:val="0"/>
          <w:numId w:val="8"/>
        </w:numPr>
        <w:ind w:left="567" w:hanging="567"/>
        <w:jc w:val="both"/>
        <w:rPr>
          <w:rFonts w:asciiTheme="minorBidi" w:hAnsiTheme="minorBidi" w:cstheme="minorBidi"/>
        </w:rPr>
      </w:pPr>
      <w:r>
        <w:rPr>
          <w:rFonts w:asciiTheme="minorBidi" w:hAnsiTheme="minorBidi"/>
        </w:rPr>
        <w:lastRenderedPageBreak/>
        <w:t>Le Comité souhaitera donc peut-être approuver les deux priorités de financement et accepter comme contributions affectées les contributions volontaires supplémentaires versées au Fonds pour les activités relevant de ces priorités. En accord avec le donateur, le Secrétariat validerait le(s) pays bénéficiaire(s) en fonction des demandes des États membres, de la capacité de mise en œuvre de l</w:t>
      </w:r>
      <w:r w:rsidR="00C62E8C">
        <w:rPr>
          <w:rFonts w:asciiTheme="minorBidi" w:hAnsiTheme="minorBidi"/>
        </w:rPr>
        <w:t>’</w:t>
      </w:r>
      <w:r>
        <w:rPr>
          <w:rFonts w:asciiTheme="minorBidi" w:hAnsiTheme="minorBidi"/>
        </w:rPr>
        <w:t>UNESCO sur place et, bien sûr, des priorités des donateurs.</w:t>
      </w:r>
      <w:r>
        <w:rPr>
          <w:rStyle w:val="hps"/>
          <w:rFonts w:asciiTheme="minorBidi" w:hAnsiTheme="minorBidi"/>
        </w:rPr>
        <w:t xml:space="preserve"> </w:t>
      </w:r>
      <w:r w:rsidRPr="00DC317C">
        <w:rPr>
          <w:rFonts w:asciiTheme="minorBidi" w:hAnsiTheme="minorBidi"/>
        </w:rPr>
        <w:t>À cet égard, le Secrétariat souhaiterait également rappeler la Priorité globale Afrique de l</w:t>
      </w:r>
      <w:r w:rsidR="00C62E8C">
        <w:rPr>
          <w:rFonts w:asciiTheme="minorBidi" w:hAnsiTheme="minorBidi"/>
        </w:rPr>
        <w:t>’</w:t>
      </w:r>
      <w:r w:rsidRPr="00DC317C">
        <w:rPr>
          <w:rFonts w:asciiTheme="minorBidi" w:hAnsiTheme="minorBidi"/>
        </w:rPr>
        <w:t>UNESCO figurant dans la Stratégie à moyen terme de l</w:t>
      </w:r>
      <w:r w:rsidR="00C62E8C">
        <w:rPr>
          <w:rFonts w:asciiTheme="minorBidi" w:hAnsiTheme="minorBidi"/>
        </w:rPr>
        <w:t>’</w:t>
      </w:r>
      <w:r w:rsidRPr="00DC317C">
        <w:rPr>
          <w:rFonts w:asciiTheme="minorBidi" w:hAnsiTheme="minorBidi"/>
        </w:rPr>
        <w:t>UNESCO pour 2022 - 2029</w:t>
      </w:r>
      <w:r>
        <w:rPr>
          <w:rStyle w:val="hps"/>
          <w:rFonts w:asciiTheme="minorBidi" w:hAnsiTheme="minorBidi"/>
        </w:rPr>
        <w:t xml:space="preserve"> (</w:t>
      </w:r>
      <w:hyperlink r:id="rId32" w:history="1">
        <w:r>
          <w:rPr>
            <w:rStyle w:val="Hyperlink"/>
            <w:rFonts w:asciiTheme="minorBidi" w:hAnsiTheme="minorBidi"/>
          </w:rPr>
          <w:t>41 C/4</w:t>
        </w:r>
      </w:hyperlink>
      <w:r>
        <w:rPr>
          <w:rStyle w:val="hps"/>
          <w:rFonts w:asciiTheme="minorBidi" w:hAnsiTheme="minorBidi"/>
        </w:rPr>
        <w:t>),</w:t>
      </w:r>
      <w:r>
        <w:t xml:space="preserve"> </w:t>
      </w:r>
      <w:r w:rsidRPr="00DC317C">
        <w:rPr>
          <w:rFonts w:asciiTheme="minorBidi" w:hAnsiTheme="minorBidi"/>
        </w:rPr>
        <w:t>et pour laquelle un soutien financier est nécessaire.</w:t>
      </w:r>
      <w:r w:rsidRPr="00DC317C">
        <w:t xml:space="preserve"> </w:t>
      </w:r>
      <w:r>
        <w:rPr>
          <w:rFonts w:asciiTheme="minorBidi" w:hAnsiTheme="minorBidi"/>
        </w:rPr>
        <w:t>Dès lors qu</w:t>
      </w:r>
      <w:r w:rsidR="00C62E8C">
        <w:rPr>
          <w:rFonts w:asciiTheme="minorBidi" w:hAnsiTheme="minorBidi"/>
        </w:rPr>
        <w:t>’</w:t>
      </w:r>
      <w:r>
        <w:rPr>
          <w:rFonts w:asciiTheme="minorBidi" w:hAnsiTheme="minorBidi"/>
        </w:rPr>
        <w:t>une contribution de cette nature serait versée entre deux sessions du Comité, le Secrétariat la ferait apparaître à l</w:t>
      </w:r>
      <w:r w:rsidR="00C62E8C">
        <w:rPr>
          <w:rFonts w:asciiTheme="minorBidi" w:hAnsiTheme="minorBidi"/>
        </w:rPr>
        <w:t>’</w:t>
      </w:r>
      <w:r>
        <w:rPr>
          <w:rFonts w:asciiTheme="minorBidi" w:hAnsiTheme="minorBidi"/>
        </w:rPr>
        <w:t>ordre du jour de la session suivante pour informer ses membres des progrès accomplis et offrir une bonne visibilité aux pays donateurs.</w:t>
      </w:r>
    </w:p>
    <w:p w14:paraId="527B3397" w14:textId="77777777" w:rsidR="002459E4" w:rsidRPr="00BF1B64" w:rsidRDefault="002459E4" w:rsidP="002459E4">
      <w:pPr>
        <w:keepNext/>
        <w:numPr>
          <w:ilvl w:val="0"/>
          <w:numId w:val="8"/>
        </w:numPr>
        <w:ind w:left="567" w:hanging="567"/>
        <w:jc w:val="both"/>
        <w:rPr>
          <w:rFonts w:ascii="Arial" w:hAnsi="Arial" w:cs="Arial"/>
          <w:snapToGrid w:val="0"/>
          <w:szCs w:val="22"/>
        </w:rPr>
      </w:pPr>
      <w:r>
        <w:rPr>
          <w:rFonts w:ascii="Arial" w:hAnsi="Arial"/>
          <w:snapToGrid w:val="0"/>
        </w:rPr>
        <w:t>Le Comité souhaitera peut-être adopter la décision suivante :</w:t>
      </w:r>
    </w:p>
    <w:p w14:paraId="5B76F841" w14:textId="064ACEFE" w:rsidR="002459E4" w:rsidRPr="00BF1B64" w:rsidRDefault="002459E4" w:rsidP="002459E4">
      <w:pPr>
        <w:keepNext/>
        <w:spacing w:before="240"/>
        <w:ind w:left="567"/>
        <w:jc w:val="both"/>
        <w:rPr>
          <w:rFonts w:ascii="Arial" w:eastAsia="SimSun" w:hAnsi="Arial" w:cs="Arial"/>
          <w:b/>
          <w:szCs w:val="22"/>
        </w:rPr>
      </w:pPr>
      <w:r>
        <w:rPr>
          <w:rFonts w:ascii="Arial" w:hAnsi="Arial"/>
          <w:b/>
        </w:rPr>
        <w:t>PROJET DE DÉCISION 16.COM 12</w:t>
      </w:r>
    </w:p>
    <w:p w14:paraId="7E1EABA1" w14:textId="77777777" w:rsidR="002459E4" w:rsidRPr="00BF1B64" w:rsidRDefault="002459E4" w:rsidP="002459E4">
      <w:pPr>
        <w:keepNext/>
        <w:ind w:left="567"/>
        <w:jc w:val="both"/>
        <w:rPr>
          <w:rFonts w:ascii="Arial" w:eastAsia="SimSun" w:hAnsi="Arial" w:cs="Arial"/>
          <w:szCs w:val="22"/>
        </w:rPr>
      </w:pPr>
      <w:r>
        <w:rPr>
          <w:rFonts w:ascii="Arial" w:hAnsi="Arial"/>
        </w:rPr>
        <w:t>Le Comité,</w:t>
      </w:r>
    </w:p>
    <w:p w14:paraId="79AB2D68" w14:textId="648EB334" w:rsidR="002459E4" w:rsidRPr="00BF1B64" w:rsidRDefault="002459E4" w:rsidP="002459E4">
      <w:pPr>
        <w:numPr>
          <w:ilvl w:val="0"/>
          <w:numId w:val="14"/>
        </w:numPr>
        <w:autoSpaceDE w:val="0"/>
        <w:autoSpaceDN w:val="0"/>
        <w:adjustRightInd w:val="0"/>
        <w:ind w:left="1134" w:hanging="567"/>
        <w:rPr>
          <w:rFonts w:ascii="Arial" w:eastAsia="SimSun" w:hAnsi="Arial" w:cs="Arial"/>
          <w:szCs w:val="22"/>
          <w:u w:val="single"/>
        </w:rPr>
      </w:pPr>
      <w:r>
        <w:rPr>
          <w:rFonts w:ascii="Arial" w:hAnsi="Arial"/>
          <w:u w:val="single"/>
        </w:rPr>
        <w:t>Ayant examiné</w:t>
      </w:r>
      <w:r>
        <w:rPr>
          <w:rFonts w:ascii="Arial" w:hAnsi="Arial"/>
        </w:rPr>
        <w:t xml:space="preserve"> le document LHE/21/16.COM/12,</w:t>
      </w:r>
    </w:p>
    <w:p w14:paraId="36F9DA9B" w14:textId="346571A5" w:rsidR="002459E4" w:rsidRPr="00BF1B64" w:rsidRDefault="002459E4" w:rsidP="00DC317C">
      <w:pPr>
        <w:numPr>
          <w:ilvl w:val="0"/>
          <w:numId w:val="14"/>
        </w:numPr>
        <w:autoSpaceDE w:val="0"/>
        <w:autoSpaceDN w:val="0"/>
        <w:adjustRightInd w:val="0"/>
        <w:ind w:left="1134" w:hanging="567"/>
        <w:jc w:val="both"/>
        <w:rPr>
          <w:rFonts w:ascii="Arial" w:eastAsia="SimSun" w:hAnsi="Arial" w:cs="Arial"/>
          <w:szCs w:val="22"/>
          <w:u w:val="single"/>
        </w:rPr>
      </w:pPr>
      <w:r>
        <w:rPr>
          <w:rFonts w:ascii="Arial" w:hAnsi="Arial"/>
          <w:u w:val="single"/>
        </w:rPr>
        <w:t>Rappelant</w:t>
      </w:r>
      <w:r>
        <w:rPr>
          <w:rFonts w:ascii="Arial" w:hAnsi="Arial"/>
        </w:rPr>
        <w:t xml:space="preserve"> l</w:t>
      </w:r>
      <w:r w:rsidR="00C62E8C">
        <w:rPr>
          <w:rFonts w:ascii="Arial" w:hAnsi="Arial"/>
        </w:rPr>
        <w:t>’</w:t>
      </w:r>
      <w:r>
        <w:rPr>
          <w:rFonts w:ascii="Arial" w:hAnsi="Arial"/>
        </w:rPr>
        <w:t xml:space="preserve">article 25.5 de la Convention et le chapitre II des </w:t>
      </w:r>
      <w:r w:rsidR="00C62E8C">
        <w:rPr>
          <w:rFonts w:ascii="Arial" w:hAnsi="Arial"/>
        </w:rPr>
        <w:t>d</w:t>
      </w:r>
      <w:r>
        <w:rPr>
          <w:rFonts w:ascii="Arial" w:hAnsi="Arial"/>
        </w:rPr>
        <w:t>irectives opérationnelles,</w:t>
      </w:r>
    </w:p>
    <w:p w14:paraId="2A442E79" w14:textId="31C2E0BE" w:rsidR="002459E4" w:rsidRPr="00C411EA" w:rsidRDefault="002459E4" w:rsidP="002459E4">
      <w:pPr>
        <w:numPr>
          <w:ilvl w:val="0"/>
          <w:numId w:val="14"/>
        </w:numPr>
        <w:autoSpaceDE w:val="0"/>
        <w:autoSpaceDN w:val="0"/>
        <w:adjustRightInd w:val="0"/>
        <w:ind w:left="1134" w:hanging="567"/>
        <w:jc w:val="both"/>
        <w:rPr>
          <w:rFonts w:asciiTheme="minorBidi" w:eastAsia="SimSun" w:hAnsiTheme="minorBidi" w:cstheme="minorBidi"/>
          <w:szCs w:val="22"/>
          <w:u w:val="single"/>
        </w:rPr>
      </w:pPr>
      <w:r>
        <w:rPr>
          <w:rFonts w:ascii="Arial" w:hAnsi="Arial"/>
          <w:u w:val="single"/>
        </w:rPr>
        <w:t>Rappelant en outre</w:t>
      </w:r>
      <w:r>
        <w:rPr>
          <w:rFonts w:ascii="Arial" w:hAnsi="Arial"/>
        </w:rPr>
        <w:t xml:space="preserve"> ses décisions précédentes concernant</w:t>
      </w:r>
      <w:r>
        <w:rPr>
          <w:rFonts w:asciiTheme="minorBidi" w:hAnsiTheme="minorBidi"/>
        </w:rPr>
        <w:t xml:space="preserve"> les contributions volontaires supplémentaires au Fonds du patrimoine culturel immatériel, et plus particulièrement ses décisions </w:t>
      </w:r>
      <w:hyperlink r:id="rId33" w:history="1">
        <w:r>
          <w:rPr>
            <w:rStyle w:val="Hyperlink"/>
            <w:rFonts w:ascii="Arial" w:hAnsi="Arial"/>
            <w:snapToGrid w:val="0"/>
          </w:rPr>
          <w:t>12.COM 6</w:t>
        </w:r>
      </w:hyperlink>
      <w:r>
        <w:rPr>
          <w:rFonts w:asciiTheme="minorBidi" w:hAnsiTheme="minorBidi"/>
        </w:rPr>
        <w:t xml:space="preserve"> et </w:t>
      </w:r>
      <w:hyperlink r:id="rId34" w:history="1">
        <w:r>
          <w:rPr>
            <w:rStyle w:val="Hyperlink"/>
            <w:rFonts w:asciiTheme="minorBidi" w:hAnsiTheme="minorBidi"/>
          </w:rPr>
          <w:t>14.COM 6</w:t>
        </w:r>
      </w:hyperlink>
      <w:r>
        <w:rPr>
          <w:rFonts w:asciiTheme="minorBidi" w:hAnsiTheme="minorBidi"/>
        </w:rPr>
        <w:t>,</w:t>
      </w:r>
    </w:p>
    <w:p w14:paraId="3C77820C" w14:textId="1C0102D8" w:rsidR="0051163A" w:rsidRDefault="00D20C78" w:rsidP="002459E4">
      <w:pPr>
        <w:pStyle w:val="COMParaDecision"/>
        <w:rPr>
          <w:u w:val="none"/>
        </w:rPr>
      </w:pPr>
      <w:r>
        <w:t>Remercie</w:t>
      </w:r>
      <w:r>
        <w:rPr>
          <w:u w:val="none"/>
        </w:rPr>
        <w:t xml:space="preserve"> tous les contributeurs qui ont généreusement soutenu la Convention et son Secrétariat par des contributions volontaires supplémentaires au Fonds du patrimoine culturel immatériel</w:t>
      </w:r>
      <w:r w:rsidR="00E25992">
        <w:rPr>
          <w:u w:val="none"/>
        </w:rPr>
        <w:t xml:space="preserve"> </w:t>
      </w:r>
      <w:r w:rsidR="00E25992" w:rsidRPr="00E25992">
        <w:rPr>
          <w:u w:val="none"/>
        </w:rPr>
        <w:t xml:space="preserve">pour les projets en cours de </w:t>
      </w:r>
      <w:r w:rsidR="00E25992">
        <w:rPr>
          <w:u w:val="none"/>
        </w:rPr>
        <w:t xml:space="preserve">mise en œuvre </w:t>
      </w:r>
      <w:r w:rsidR="00E25992" w:rsidRPr="00E25992">
        <w:rPr>
          <w:u w:val="none"/>
        </w:rPr>
        <w:t xml:space="preserve">pendant </w:t>
      </w:r>
      <w:r w:rsidR="00E25992">
        <w:rPr>
          <w:u w:val="none"/>
        </w:rPr>
        <w:t xml:space="preserve">la période </w:t>
      </w:r>
      <w:r w:rsidR="00E25992" w:rsidRPr="00E25992">
        <w:rPr>
          <w:u w:val="none"/>
        </w:rPr>
        <w:t>quadriennal 2018-2021</w:t>
      </w:r>
      <w:r>
        <w:rPr>
          <w:u w:val="none"/>
        </w:rPr>
        <w:t xml:space="preserve"> à savoir </w:t>
      </w:r>
      <w:r w:rsidRPr="006917A6">
        <w:rPr>
          <w:u w:val="none"/>
        </w:rPr>
        <w:t>l</w:t>
      </w:r>
      <w:r w:rsidR="00C62E8C">
        <w:rPr>
          <w:u w:val="none"/>
        </w:rPr>
        <w:t>’</w:t>
      </w:r>
      <w:r w:rsidRPr="006917A6">
        <w:rPr>
          <w:u w:val="none"/>
        </w:rPr>
        <w:t>Azerbaïdjan, la France,</w:t>
      </w:r>
      <w:r w:rsidR="00E25992" w:rsidRPr="006917A6">
        <w:rPr>
          <w:u w:val="none"/>
        </w:rPr>
        <w:t xml:space="preserve"> le Japon, </w:t>
      </w:r>
      <w:r w:rsidRPr="006917A6">
        <w:rPr>
          <w:u w:val="none"/>
        </w:rPr>
        <w:t xml:space="preserve">le Koweït, la Lituanie, Monaco, les Pays-Bas, </w:t>
      </w:r>
      <w:r w:rsidR="00C62E8C" w:rsidRPr="006917A6">
        <w:rPr>
          <w:u w:val="none"/>
        </w:rPr>
        <w:t xml:space="preserve">la Norvège, </w:t>
      </w:r>
      <w:r w:rsidRPr="006917A6">
        <w:rPr>
          <w:u w:val="none"/>
        </w:rPr>
        <w:t>la Palestine,</w:t>
      </w:r>
      <w:r w:rsidR="00E25992" w:rsidRPr="006917A6">
        <w:rPr>
          <w:u w:val="none"/>
        </w:rPr>
        <w:t xml:space="preserve"> la République de Corée, </w:t>
      </w:r>
      <w:r w:rsidRPr="006917A6">
        <w:rPr>
          <w:u w:val="none"/>
        </w:rPr>
        <w:t xml:space="preserve">la Slovaquie, </w:t>
      </w:r>
      <w:r w:rsidR="00C62E8C" w:rsidRPr="006917A6">
        <w:rPr>
          <w:u w:val="none"/>
        </w:rPr>
        <w:t>l</w:t>
      </w:r>
      <w:r w:rsidR="00C62E8C">
        <w:rPr>
          <w:u w:val="none"/>
        </w:rPr>
        <w:t>’</w:t>
      </w:r>
      <w:r w:rsidR="00C62E8C" w:rsidRPr="006917A6">
        <w:rPr>
          <w:u w:val="none"/>
        </w:rPr>
        <w:t xml:space="preserve">Espagne (Generalitat de Catalunya), </w:t>
      </w:r>
      <w:r w:rsidRPr="006917A6">
        <w:rPr>
          <w:u w:val="none"/>
        </w:rPr>
        <w:t>la Suisse, le Centre international d</w:t>
      </w:r>
      <w:r w:rsidR="00C62E8C">
        <w:rPr>
          <w:u w:val="none"/>
        </w:rPr>
        <w:t>’</w:t>
      </w:r>
      <w:r w:rsidRPr="006917A6">
        <w:rPr>
          <w:u w:val="none"/>
        </w:rPr>
        <w:t>information et de travail en réseau sur le patrimoine culturel immatériel dans la région Asie-Pacifique (ICHCAP) et la Fondazione Museo del Violino Antonio Stradivari, ainsi que la République populaire de Chine pour son soutien en nature</w:t>
      </w:r>
      <w:r>
        <w:rPr>
          <w:u w:val="none"/>
        </w:rPr>
        <w:t> ;</w:t>
      </w:r>
    </w:p>
    <w:p w14:paraId="59E9772C" w14:textId="18A53D8D" w:rsidR="00ED447B" w:rsidRPr="00C411EA" w:rsidRDefault="0051163A" w:rsidP="002459E4">
      <w:pPr>
        <w:pStyle w:val="COMParaDecision"/>
        <w:rPr>
          <w:u w:val="none"/>
        </w:rPr>
      </w:pPr>
      <w:r>
        <w:t>Prend note</w:t>
      </w:r>
      <w:r>
        <w:rPr>
          <w:u w:val="none"/>
        </w:rPr>
        <w:t xml:space="preserve"> que si les objectifs de mobilisation pour les deux priorités de financement n</w:t>
      </w:r>
      <w:r w:rsidR="00C62E8C">
        <w:rPr>
          <w:u w:val="none"/>
        </w:rPr>
        <w:t>’</w:t>
      </w:r>
      <w:r>
        <w:rPr>
          <w:u w:val="none"/>
        </w:rPr>
        <w:t xml:space="preserve">ont pas été atteints en termes de contributions volontaires supplémentaires au </w:t>
      </w:r>
      <w:r>
        <w:rPr>
          <w:rFonts w:asciiTheme="minorBidi" w:hAnsiTheme="minorBidi"/>
          <w:u w:val="none"/>
        </w:rPr>
        <w:t>Fonds du patrimoine culturel immatériel, la Convention a reçu un soutien important par le biais des fonds-en-dépôt et d</w:t>
      </w:r>
      <w:r w:rsidR="00C62E8C">
        <w:rPr>
          <w:rFonts w:asciiTheme="minorBidi" w:hAnsiTheme="minorBidi"/>
          <w:u w:val="none"/>
        </w:rPr>
        <w:t>’</w:t>
      </w:r>
      <w:r>
        <w:rPr>
          <w:rFonts w:asciiTheme="minorBidi" w:hAnsiTheme="minorBidi"/>
          <w:u w:val="none"/>
        </w:rPr>
        <w:t xml:space="preserve">autres modalités affectées </w:t>
      </w:r>
      <w:r w:rsidR="00C62E8C">
        <w:rPr>
          <w:rFonts w:asciiTheme="minorBidi" w:hAnsiTheme="minorBidi"/>
          <w:u w:val="none"/>
        </w:rPr>
        <w:t xml:space="preserve">à des fins spécifiques </w:t>
      </w:r>
      <w:r>
        <w:rPr>
          <w:rFonts w:asciiTheme="minorBidi" w:hAnsiTheme="minorBidi"/>
          <w:u w:val="none"/>
        </w:rPr>
        <w:t xml:space="preserve">et </w:t>
      </w:r>
      <w:r>
        <w:t>exprime sa reconnaissance</w:t>
      </w:r>
      <w:r>
        <w:rPr>
          <w:u w:val="none"/>
        </w:rPr>
        <w:t xml:space="preserve"> à tous les contributeurs qui ont généreusement soutenu la Convention au cours de la période quadriennale 2018 - 2021</w:t>
      </w:r>
      <w:r>
        <w:rPr>
          <w:rFonts w:asciiTheme="minorBidi" w:hAnsiTheme="minorBidi"/>
          <w:u w:val="none"/>
        </w:rPr>
        <w:t> ;</w:t>
      </w:r>
    </w:p>
    <w:p w14:paraId="10F02D4D" w14:textId="64D966FA" w:rsidR="008E3F0F" w:rsidRPr="00C411EA" w:rsidRDefault="008E3F0F" w:rsidP="008E3F0F">
      <w:pPr>
        <w:pStyle w:val="COMParaDecision"/>
      </w:pPr>
      <w:r>
        <w:t>Approuve</w:t>
      </w:r>
      <w:r>
        <w:rPr>
          <w:u w:val="none"/>
        </w:rPr>
        <w:t xml:space="preserve"> les deux priorités de financement pour la période 2022 - 2025, à savoir le « renforcement des capacités de sauvegarde du patrimoine culturel immatériel par le biais d</w:t>
      </w:r>
      <w:r w:rsidR="00C62E8C">
        <w:rPr>
          <w:u w:val="none"/>
        </w:rPr>
        <w:t>’</w:t>
      </w:r>
      <w:r>
        <w:rPr>
          <w:u w:val="none"/>
        </w:rPr>
        <w:t>approches multimodales et de contribution au développement durable » et la « sauvegarde du patrimoine culturel immatériel dans l</w:t>
      </w:r>
      <w:r w:rsidR="00C62E8C">
        <w:rPr>
          <w:u w:val="none"/>
        </w:rPr>
        <w:t>’</w:t>
      </w:r>
      <w:r>
        <w:rPr>
          <w:u w:val="none"/>
        </w:rPr>
        <w:t xml:space="preserve">éducation formelle et non formelle », </w:t>
      </w:r>
      <w:r>
        <w:t>accepte</w:t>
      </w:r>
      <w:r>
        <w:rPr>
          <w:u w:val="none"/>
        </w:rPr>
        <w:t xml:space="preserve"> les futures contributions volontaires supplémentaires versées pour soutenir les activités relevant de ces priorités et </w:t>
      </w:r>
      <w:r>
        <w:t>autorise</w:t>
      </w:r>
      <w:r>
        <w:rPr>
          <w:u w:val="none"/>
        </w:rPr>
        <w:t xml:space="preserve"> le Secrétariat à les utiliser sans délai ;</w:t>
      </w:r>
    </w:p>
    <w:p w14:paraId="71ACFBEA" w14:textId="6DD6C6FF" w:rsidR="00C05FA1" w:rsidRPr="0051163A" w:rsidRDefault="00C05FA1">
      <w:pPr>
        <w:pStyle w:val="COMParaDecision"/>
        <w:rPr>
          <w:u w:val="none"/>
        </w:rPr>
      </w:pPr>
      <w:r>
        <w:t>Encourage</w:t>
      </w:r>
      <w:r>
        <w:rPr>
          <w:u w:val="none"/>
        </w:rPr>
        <w:t xml:space="preserve"> les contributeurs potentiels à envisager la possibilité de soutenir la Convention, en particulier par le biais du Fonds pour le patrimoine culturel immatériel et du sous-fonds pour </w:t>
      </w:r>
      <w:r w:rsidR="00C62E8C">
        <w:rPr>
          <w:u w:val="none"/>
        </w:rPr>
        <w:t xml:space="preserve">le renforcement </w:t>
      </w:r>
      <w:r>
        <w:rPr>
          <w:u w:val="none"/>
        </w:rPr>
        <w:t>des ressources humaines du Secrétariat, afin de permettre au Secrétariat de répondre positivement aux besoins exprimés par les États parties conformément aux deux priorités de financement ;</w:t>
      </w:r>
    </w:p>
    <w:p w14:paraId="5381051E" w14:textId="1EFB8A25" w:rsidR="002459E4" w:rsidRPr="00C411EA" w:rsidRDefault="00C05FA1" w:rsidP="002459E4">
      <w:pPr>
        <w:pStyle w:val="COMParaDecision"/>
      </w:pPr>
      <w:r>
        <w:t>Encourage en outre</w:t>
      </w:r>
      <w:r>
        <w:rPr>
          <w:u w:val="none"/>
        </w:rPr>
        <w:t xml:space="preserve"> le Secrétariat à poursuivre ses efforts pour mobiliser des fonds afin de soutenir la mise en œuvre de la Convention, en particulier pour les deux priorités de financement approuvées pour la période 2022 </w:t>
      </w:r>
      <w:r w:rsidR="006917A6">
        <w:rPr>
          <w:u w:val="none"/>
        </w:rPr>
        <w:t>- </w:t>
      </w:r>
      <w:r>
        <w:rPr>
          <w:u w:val="none"/>
        </w:rPr>
        <w:t xml:space="preserve">2025, et </w:t>
      </w:r>
      <w:r w:rsidR="00C62E8C">
        <w:rPr>
          <w:u w:val="none"/>
        </w:rPr>
        <w:t xml:space="preserve">de renforcer </w:t>
      </w:r>
      <w:r>
        <w:rPr>
          <w:u w:val="none"/>
        </w:rPr>
        <w:t>les ressources humaines du Secrétariat ;</w:t>
      </w:r>
    </w:p>
    <w:p w14:paraId="6E68447B" w14:textId="5EF78555" w:rsidR="002459E4" w:rsidRPr="00004349" w:rsidRDefault="008E3F0F" w:rsidP="002459E4">
      <w:pPr>
        <w:keepNext/>
        <w:keepLines/>
        <w:numPr>
          <w:ilvl w:val="0"/>
          <w:numId w:val="14"/>
        </w:numPr>
        <w:autoSpaceDE w:val="0"/>
        <w:autoSpaceDN w:val="0"/>
        <w:adjustRightInd w:val="0"/>
        <w:ind w:left="1134" w:hanging="567"/>
        <w:jc w:val="both"/>
        <w:rPr>
          <w:rFonts w:ascii="Arial" w:eastAsia="SimSun" w:hAnsi="Arial" w:cs="Arial"/>
          <w:szCs w:val="22"/>
        </w:rPr>
      </w:pPr>
      <w:r>
        <w:rPr>
          <w:rFonts w:ascii="Arial" w:hAnsi="Arial"/>
          <w:u w:val="single"/>
        </w:rPr>
        <w:lastRenderedPageBreak/>
        <w:t>Demande</w:t>
      </w:r>
      <w:r>
        <w:rPr>
          <w:rFonts w:ascii="Arial" w:hAnsi="Arial"/>
        </w:rPr>
        <w:t xml:space="preserve"> au Secrétariat de lui rendre compte, lors de sa dix-septième session, de l</w:t>
      </w:r>
      <w:r w:rsidR="00C62E8C">
        <w:rPr>
          <w:rFonts w:ascii="Arial" w:hAnsi="Arial"/>
        </w:rPr>
        <w:t>’</w:t>
      </w:r>
      <w:r>
        <w:rPr>
          <w:rFonts w:ascii="Arial" w:hAnsi="Arial"/>
        </w:rPr>
        <w:t>avancement réalisé dans la mise en œuvre de toute contribution volontaire supplémentaire qu</w:t>
      </w:r>
      <w:r w:rsidR="00C62E8C">
        <w:rPr>
          <w:rFonts w:ascii="Arial" w:hAnsi="Arial"/>
        </w:rPr>
        <w:t>’</w:t>
      </w:r>
      <w:r>
        <w:rPr>
          <w:rFonts w:ascii="Arial" w:hAnsi="Arial"/>
        </w:rPr>
        <w:t>il aurait reçue depuis la seizième session.</w:t>
      </w:r>
    </w:p>
    <w:p w14:paraId="31180896" w14:textId="7D49D5EA" w:rsidR="002459E4" w:rsidRPr="00BF1B64" w:rsidRDefault="002459E4" w:rsidP="002459E4">
      <w:pPr>
        <w:keepNext/>
        <w:pageBreakBefore/>
        <w:autoSpaceDE w:val="0"/>
        <w:autoSpaceDN w:val="0"/>
        <w:adjustRightInd w:val="0"/>
        <w:spacing w:before="240" w:after="480"/>
        <w:jc w:val="center"/>
        <w:rPr>
          <w:rFonts w:ascii="Arial" w:eastAsia="SimSun" w:hAnsi="Arial" w:cs="Arial"/>
          <w:b/>
          <w:caps/>
          <w:snapToGrid w:val="0"/>
          <w:szCs w:val="22"/>
          <w:u w:val="single"/>
        </w:rPr>
      </w:pPr>
      <w:r>
        <w:rPr>
          <w:rFonts w:ascii="Arial" w:hAnsi="Arial"/>
          <w:b/>
          <w:caps/>
          <w:snapToGrid w:val="0"/>
          <w:u w:val="single"/>
        </w:rPr>
        <w:lastRenderedPageBreak/>
        <w:t>ANNEXE I</w:t>
      </w:r>
    </w:p>
    <w:p w14:paraId="020E3D89" w14:textId="48DB8888" w:rsidR="002459E4" w:rsidRPr="00BF1B64" w:rsidRDefault="002459E4" w:rsidP="002459E4">
      <w:pPr>
        <w:keepNext/>
        <w:autoSpaceDE w:val="0"/>
        <w:autoSpaceDN w:val="0"/>
        <w:adjustRightInd w:val="0"/>
        <w:jc w:val="center"/>
        <w:rPr>
          <w:rFonts w:ascii="Arial" w:eastAsia="SimSun" w:hAnsi="Arial" w:cs="Arial"/>
          <w:b/>
          <w:szCs w:val="22"/>
        </w:rPr>
      </w:pPr>
      <w:r>
        <w:rPr>
          <w:rFonts w:ascii="Arial" w:hAnsi="Arial"/>
          <w:b/>
        </w:rPr>
        <w:t>Contributions en espèces et en nature reçues à l</w:t>
      </w:r>
      <w:r w:rsidR="00C62E8C">
        <w:rPr>
          <w:rFonts w:ascii="Arial" w:hAnsi="Arial"/>
          <w:b/>
        </w:rPr>
        <w:t>’</w:t>
      </w:r>
      <w:r>
        <w:rPr>
          <w:rFonts w:ascii="Arial" w:hAnsi="Arial"/>
          <w:b/>
        </w:rPr>
        <w:t>appui de la Convention 2003 entre</w:t>
      </w:r>
    </w:p>
    <w:p w14:paraId="775B587A" w14:textId="6A367114" w:rsidR="002459E4" w:rsidRPr="00BF1B64" w:rsidRDefault="002459E4" w:rsidP="002459E4">
      <w:pPr>
        <w:keepNext/>
        <w:autoSpaceDE w:val="0"/>
        <w:autoSpaceDN w:val="0"/>
        <w:adjustRightInd w:val="0"/>
        <w:jc w:val="center"/>
        <w:rPr>
          <w:rFonts w:ascii="Arial" w:hAnsi="Arial" w:cs="Arial"/>
          <w:b/>
          <w:caps/>
          <w:snapToGrid w:val="0"/>
          <w:szCs w:val="22"/>
        </w:rPr>
      </w:pPr>
      <w:r>
        <w:rPr>
          <w:rFonts w:ascii="Arial" w:hAnsi="Arial"/>
          <w:b/>
        </w:rPr>
        <w:t xml:space="preserve">la quatorzième session du Comité (décembre 2019) </w:t>
      </w:r>
      <w:r w:rsidRPr="00C6176D">
        <w:rPr>
          <w:rFonts w:ascii="Arial" w:hAnsi="Arial"/>
          <w:b/>
        </w:rPr>
        <w:t xml:space="preserve">et </w:t>
      </w:r>
      <w:r w:rsidRPr="00DC317C">
        <w:rPr>
          <w:rFonts w:ascii="Arial" w:hAnsi="Arial"/>
          <w:b/>
        </w:rPr>
        <w:t>juin 2021</w:t>
      </w:r>
      <w:r w:rsidR="00E664AB" w:rsidRPr="00DC317C">
        <w:rPr>
          <w:rStyle w:val="FootnoteReference"/>
          <w:rFonts w:ascii="Arial" w:eastAsia="SimSun" w:hAnsi="Arial" w:cs="Arial"/>
          <w:b/>
          <w:szCs w:val="22"/>
        </w:rPr>
        <w:footnoteReference w:id="3"/>
      </w:r>
    </w:p>
    <w:p w14:paraId="065E4ADE" w14:textId="77777777" w:rsidR="002459E4" w:rsidRPr="00BF1B64" w:rsidRDefault="002459E4" w:rsidP="002459E4">
      <w:pPr>
        <w:spacing w:before="840" w:after="60"/>
        <w:rPr>
          <w:rFonts w:ascii="Arial" w:hAnsi="Arial" w:cs="Arial"/>
          <w:b/>
          <w:smallCaps/>
          <w:color w:val="000000"/>
          <w:szCs w:val="22"/>
        </w:rPr>
      </w:pPr>
      <w:r>
        <w:rPr>
          <w:rFonts w:ascii="Arial" w:hAnsi="Arial"/>
          <w:b/>
          <w:smallCaps/>
          <w:color w:val="000000"/>
        </w:rPr>
        <w:t>Contributions volontaires supplémentaires au Fonds du patrimoine culturel immatériel</w:t>
      </w:r>
    </w:p>
    <w:p w14:paraId="6A6AEB81" w14:textId="2E8004ED" w:rsidR="002459E4" w:rsidRPr="00FF3EC6" w:rsidRDefault="004A69AC" w:rsidP="002459E4">
      <w:pPr>
        <w:spacing w:before="120"/>
        <w:ind w:left="709"/>
        <w:rPr>
          <w:rFonts w:ascii="Arial" w:hAnsi="Arial" w:cs="Arial"/>
          <w:b/>
          <w:color w:val="000000"/>
          <w:sz w:val="20"/>
          <w:szCs w:val="20"/>
        </w:rPr>
      </w:pPr>
      <w:r>
        <w:rPr>
          <w:rFonts w:ascii="Arial" w:hAnsi="Arial"/>
          <w:b/>
          <w:color w:val="000000"/>
          <w:sz w:val="20"/>
        </w:rPr>
        <w:t>Priorité 1 de financement. Renforcement des capacités de sauvegarde du patrimoine culturel immatériel et de contribution au développement durable</w:t>
      </w:r>
    </w:p>
    <w:tbl>
      <w:tblPr>
        <w:tblW w:w="8930" w:type="dxa"/>
        <w:tblInd w:w="709" w:type="dxa"/>
        <w:tblLook w:val="04A0" w:firstRow="1" w:lastRow="0" w:firstColumn="1" w:lastColumn="0" w:noHBand="0" w:noVBand="1"/>
      </w:tblPr>
      <w:tblGrid>
        <w:gridCol w:w="6603"/>
        <w:gridCol w:w="2327"/>
      </w:tblGrid>
      <w:tr w:rsidR="002459E4" w:rsidRPr="00BF1B64" w14:paraId="2A352D45" w14:textId="77777777" w:rsidTr="008E3F0F">
        <w:trPr>
          <w:cantSplit/>
        </w:trPr>
        <w:tc>
          <w:tcPr>
            <w:tcW w:w="6603" w:type="dxa"/>
            <w:vAlign w:val="center"/>
          </w:tcPr>
          <w:p w14:paraId="22D9B14C" w14:textId="2E758491" w:rsidR="002459E4" w:rsidRPr="00FF3EC6" w:rsidRDefault="004A69AC" w:rsidP="008E3F0F">
            <w:pPr>
              <w:spacing w:before="60" w:after="60"/>
              <w:rPr>
                <w:rFonts w:ascii="Arial" w:hAnsi="Arial" w:cs="Arial"/>
                <w:color w:val="000000"/>
                <w:sz w:val="20"/>
                <w:szCs w:val="20"/>
              </w:rPr>
            </w:pPr>
            <w:r>
              <w:rPr>
                <w:rFonts w:ascii="Arial" w:hAnsi="Arial"/>
                <w:color w:val="000000"/>
                <w:sz w:val="20"/>
              </w:rPr>
              <w:t>Azerbaïdjan</w:t>
            </w:r>
          </w:p>
        </w:tc>
        <w:tc>
          <w:tcPr>
            <w:tcW w:w="2327" w:type="dxa"/>
            <w:vAlign w:val="center"/>
          </w:tcPr>
          <w:p w14:paraId="147366A3" w14:textId="4CBE3868" w:rsidR="002459E4" w:rsidRPr="00BF1B64" w:rsidRDefault="002459E4" w:rsidP="008E3F0F">
            <w:pPr>
              <w:spacing w:before="60" w:after="60"/>
              <w:jc w:val="right"/>
              <w:rPr>
                <w:rFonts w:ascii="Arial" w:hAnsi="Arial" w:cs="Arial"/>
                <w:color w:val="000000"/>
                <w:sz w:val="20"/>
                <w:szCs w:val="20"/>
              </w:rPr>
            </w:pPr>
            <w:r>
              <w:rPr>
                <w:rFonts w:ascii="Arial" w:hAnsi="Arial"/>
                <w:color w:val="000000"/>
                <w:sz w:val="20"/>
              </w:rPr>
              <w:t>100 000,00 dollars des États-Unis</w:t>
            </w:r>
          </w:p>
        </w:tc>
      </w:tr>
      <w:tr w:rsidR="004A69AC" w:rsidRPr="00BF1B64" w14:paraId="4E3EE5FA" w14:textId="77777777" w:rsidTr="008E3F0F">
        <w:trPr>
          <w:cantSplit/>
        </w:trPr>
        <w:tc>
          <w:tcPr>
            <w:tcW w:w="6603" w:type="dxa"/>
            <w:vAlign w:val="center"/>
          </w:tcPr>
          <w:p w14:paraId="1A19BB6E" w14:textId="306D08E8" w:rsidR="004A69AC" w:rsidRDefault="004A69AC" w:rsidP="008E3F0F">
            <w:pPr>
              <w:spacing w:before="60" w:after="60"/>
              <w:rPr>
                <w:rFonts w:ascii="Arial" w:hAnsi="Arial" w:cs="Arial"/>
                <w:color w:val="000000"/>
                <w:sz w:val="20"/>
                <w:szCs w:val="20"/>
              </w:rPr>
            </w:pPr>
            <w:r>
              <w:rPr>
                <w:rFonts w:ascii="Arial" w:hAnsi="Arial"/>
                <w:color w:val="000000"/>
                <w:sz w:val="20"/>
              </w:rPr>
              <w:t>France</w:t>
            </w:r>
          </w:p>
        </w:tc>
        <w:tc>
          <w:tcPr>
            <w:tcW w:w="2327" w:type="dxa"/>
            <w:vAlign w:val="center"/>
          </w:tcPr>
          <w:p w14:paraId="68382DB8" w14:textId="464EDE33" w:rsidR="004A69AC" w:rsidRPr="00FF3EC6" w:rsidRDefault="004A69AC" w:rsidP="008E3F0F">
            <w:pPr>
              <w:spacing w:before="60" w:after="60"/>
              <w:jc w:val="right"/>
              <w:rPr>
                <w:rFonts w:ascii="Arial" w:hAnsi="Arial" w:cs="Arial"/>
                <w:color w:val="000000"/>
                <w:sz w:val="20"/>
                <w:szCs w:val="20"/>
              </w:rPr>
            </w:pPr>
            <w:r>
              <w:rPr>
                <w:rFonts w:ascii="Arial" w:hAnsi="Arial"/>
                <w:color w:val="000000"/>
                <w:sz w:val="20"/>
              </w:rPr>
              <w:t>271 445,00 dollars des États-Unis</w:t>
            </w:r>
          </w:p>
        </w:tc>
      </w:tr>
      <w:tr w:rsidR="004A69AC" w:rsidRPr="00BF1B64" w14:paraId="610662C6" w14:textId="77777777" w:rsidTr="008E3F0F">
        <w:trPr>
          <w:cantSplit/>
        </w:trPr>
        <w:tc>
          <w:tcPr>
            <w:tcW w:w="6603" w:type="dxa"/>
            <w:vAlign w:val="center"/>
          </w:tcPr>
          <w:p w14:paraId="227CFD40" w14:textId="6210F2E6" w:rsidR="004A69AC" w:rsidRDefault="004A69AC" w:rsidP="008E3F0F">
            <w:pPr>
              <w:spacing w:before="60" w:after="60"/>
              <w:rPr>
                <w:rFonts w:ascii="Arial" w:hAnsi="Arial" w:cs="Arial"/>
                <w:color w:val="000000"/>
                <w:sz w:val="20"/>
                <w:szCs w:val="20"/>
              </w:rPr>
            </w:pPr>
            <w:r>
              <w:rPr>
                <w:rFonts w:ascii="Arial" w:hAnsi="Arial"/>
                <w:color w:val="000000"/>
                <w:sz w:val="20"/>
              </w:rPr>
              <w:t>Koweït</w:t>
            </w:r>
          </w:p>
        </w:tc>
        <w:tc>
          <w:tcPr>
            <w:tcW w:w="2327" w:type="dxa"/>
            <w:vAlign w:val="center"/>
          </w:tcPr>
          <w:p w14:paraId="300C402A" w14:textId="2E8754F3" w:rsidR="004A69AC" w:rsidRDefault="004A69AC" w:rsidP="008E3F0F">
            <w:pPr>
              <w:spacing w:before="60" w:after="60"/>
              <w:jc w:val="right"/>
              <w:rPr>
                <w:rFonts w:ascii="Arial" w:hAnsi="Arial" w:cs="Arial"/>
                <w:color w:val="000000"/>
                <w:sz w:val="20"/>
                <w:szCs w:val="20"/>
              </w:rPr>
            </w:pPr>
            <w:r>
              <w:rPr>
                <w:rFonts w:ascii="Arial" w:hAnsi="Arial"/>
                <w:color w:val="000000"/>
                <w:sz w:val="20"/>
              </w:rPr>
              <w:t>65 000,00 dollars des États-Unis</w:t>
            </w:r>
          </w:p>
        </w:tc>
      </w:tr>
      <w:tr w:rsidR="004A69AC" w:rsidRPr="00BF1B64" w14:paraId="704B51B4" w14:textId="77777777" w:rsidTr="008E3F0F">
        <w:trPr>
          <w:cantSplit/>
        </w:trPr>
        <w:tc>
          <w:tcPr>
            <w:tcW w:w="6603" w:type="dxa"/>
            <w:vAlign w:val="center"/>
          </w:tcPr>
          <w:p w14:paraId="350EA0EB" w14:textId="2FAE4489" w:rsidR="004A69AC" w:rsidRDefault="004A69AC" w:rsidP="008E3F0F">
            <w:pPr>
              <w:spacing w:before="60" w:after="60"/>
              <w:rPr>
                <w:rFonts w:ascii="Arial" w:hAnsi="Arial" w:cs="Arial"/>
                <w:color w:val="000000"/>
                <w:sz w:val="20"/>
                <w:szCs w:val="20"/>
              </w:rPr>
            </w:pPr>
            <w:r>
              <w:rPr>
                <w:rFonts w:ascii="Arial" w:hAnsi="Arial"/>
                <w:color w:val="000000"/>
                <w:sz w:val="20"/>
              </w:rPr>
              <w:t>Suisse</w:t>
            </w:r>
          </w:p>
        </w:tc>
        <w:tc>
          <w:tcPr>
            <w:tcW w:w="2327" w:type="dxa"/>
            <w:vAlign w:val="center"/>
          </w:tcPr>
          <w:p w14:paraId="0D402154" w14:textId="3BEEB329" w:rsidR="004A69AC" w:rsidRPr="00FF3EC6" w:rsidRDefault="004A69AC" w:rsidP="008E3F0F">
            <w:pPr>
              <w:spacing w:before="60" w:after="60"/>
              <w:jc w:val="right"/>
              <w:rPr>
                <w:rFonts w:ascii="Arial" w:hAnsi="Arial" w:cs="Arial"/>
                <w:color w:val="000000"/>
                <w:sz w:val="20"/>
                <w:szCs w:val="20"/>
              </w:rPr>
            </w:pPr>
            <w:r>
              <w:rPr>
                <w:rFonts w:ascii="Arial" w:hAnsi="Arial"/>
                <w:color w:val="000000"/>
                <w:sz w:val="20"/>
              </w:rPr>
              <w:t>100 000,00 dollars des États-Unis</w:t>
            </w:r>
          </w:p>
        </w:tc>
      </w:tr>
    </w:tbl>
    <w:p w14:paraId="33B4EC32" w14:textId="25C46D25" w:rsidR="004A69AC" w:rsidRPr="00FF3EC6" w:rsidRDefault="004A69AC" w:rsidP="004A69AC">
      <w:pPr>
        <w:spacing w:before="120"/>
        <w:ind w:left="709"/>
        <w:rPr>
          <w:rFonts w:ascii="Arial" w:hAnsi="Arial" w:cs="Arial"/>
          <w:b/>
          <w:color w:val="000000"/>
          <w:sz w:val="20"/>
          <w:szCs w:val="20"/>
        </w:rPr>
      </w:pPr>
      <w:r>
        <w:rPr>
          <w:rFonts w:ascii="Arial" w:hAnsi="Arial"/>
          <w:b/>
          <w:color w:val="000000"/>
          <w:sz w:val="20"/>
        </w:rPr>
        <w:t>Priorité 2 de financement. Sauvegarde du patrimoine culturel immatériel dans l</w:t>
      </w:r>
      <w:r w:rsidR="00C62E8C">
        <w:rPr>
          <w:rFonts w:ascii="Arial" w:hAnsi="Arial"/>
          <w:b/>
          <w:color w:val="000000"/>
          <w:sz w:val="20"/>
        </w:rPr>
        <w:t>’</w:t>
      </w:r>
      <w:r>
        <w:rPr>
          <w:rFonts w:ascii="Arial" w:hAnsi="Arial"/>
          <w:b/>
          <w:color w:val="000000"/>
          <w:sz w:val="20"/>
        </w:rPr>
        <w:t>éducation formelle et non formelle</w:t>
      </w:r>
    </w:p>
    <w:tbl>
      <w:tblPr>
        <w:tblW w:w="8930" w:type="dxa"/>
        <w:tblInd w:w="709" w:type="dxa"/>
        <w:tblLook w:val="04A0" w:firstRow="1" w:lastRow="0" w:firstColumn="1" w:lastColumn="0" w:noHBand="0" w:noVBand="1"/>
      </w:tblPr>
      <w:tblGrid>
        <w:gridCol w:w="6603"/>
        <w:gridCol w:w="2327"/>
      </w:tblGrid>
      <w:tr w:rsidR="004A69AC" w:rsidRPr="00BF1B64" w14:paraId="348C0484" w14:textId="77777777" w:rsidTr="008E3F0F">
        <w:trPr>
          <w:cantSplit/>
        </w:trPr>
        <w:tc>
          <w:tcPr>
            <w:tcW w:w="6603" w:type="dxa"/>
            <w:vAlign w:val="center"/>
          </w:tcPr>
          <w:p w14:paraId="3ED60924" w14:textId="48C355DE" w:rsidR="004A69AC" w:rsidRPr="00FF3EC6" w:rsidRDefault="00895CB1" w:rsidP="008E3F0F">
            <w:pPr>
              <w:spacing w:before="60" w:after="60"/>
              <w:rPr>
                <w:rFonts w:ascii="Arial" w:hAnsi="Arial" w:cs="Arial"/>
                <w:color w:val="000000"/>
                <w:sz w:val="20"/>
                <w:szCs w:val="20"/>
              </w:rPr>
            </w:pPr>
            <w:r>
              <w:rPr>
                <w:rFonts w:ascii="Arial" w:hAnsi="Arial"/>
                <w:color w:val="000000"/>
                <w:sz w:val="20"/>
              </w:rPr>
              <w:t>Pays-Bas</w:t>
            </w:r>
            <w:r w:rsidR="008F3012">
              <w:rPr>
                <w:rStyle w:val="FootnoteReference"/>
                <w:rFonts w:ascii="Arial" w:hAnsi="Arial" w:cs="Arial"/>
                <w:color w:val="000000"/>
                <w:sz w:val="20"/>
                <w:szCs w:val="20"/>
              </w:rPr>
              <w:footnoteReference w:id="4"/>
            </w:r>
          </w:p>
        </w:tc>
        <w:tc>
          <w:tcPr>
            <w:tcW w:w="2327" w:type="dxa"/>
            <w:vAlign w:val="center"/>
          </w:tcPr>
          <w:p w14:paraId="34296ECA" w14:textId="0BA79492" w:rsidR="004A69AC" w:rsidRPr="00BF1B64" w:rsidRDefault="004A69AC" w:rsidP="008E3F0F">
            <w:pPr>
              <w:spacing w:before="60" w:after="60"/>
              <w:jc w:val="right"/>
              <w:rPr>
                <w:rFonts w:ascii="Arial" w:hAnsi="Arial" w:cs="Arial"/>
                <w:color w:val="000000"/>
                <w:sz w:val="20"/>
                <w:szCs w:val="20"/>
              </w:rPr>
            </w:pPr>
            <w:r>
              <w:rPr>
                <w:rFonts w:ascii="Arial" w:hAnsi="Arial"/>
                <w:color w:val="000000"/>
                <w:sz w:val="20"/>
              </w:rPr>
              <w:t>111 000,00 dollars des États-Unis</w:t>
            </w:r>
          </w:p>
        </w:tc>
      </w:tr>
      <w:tr w:rsidR="00895CB1" w:rsidRPr="00BF1B64" w14:paraId="317F505A" w14:textId="77777777" w:rsidTr="00125CDA">
        <w:trPr>
          <w:cantSplit/>
        </w:trPr>
        <w:tc>
          <w:tcPr>
            <w:tcW w:w="6603" w:type="dxa"/>
            <w:vAlign w:val="center"/>
          </w:tcPr>
          <w:p w14:paraId="571649B4" w14:textId="77777777" w:rsidR="00895CB1" w:rsidRPr="00FF3EC6" w:rsidRDefault="00895CB1" w:rsidP="00125CDA">
            <w:pPr>
              <w:spacing w:before="60" w:after="60"/>
              <w:rPr>
                <w:rFonts w:ascii="Arial" w:hAnsi="Arial" w:cs="Arial"/>
                <w:color w:val="000000"/>
                <w:sz w:val="20"/>
                <w:szCs w:val="20"/>
              </w:rPr>
            </w:pPr>
            <w:r>
              <w:rPr>
                <w:rFonts w:ascii="Arial" w:hAnsi="Arial"/>
                <w:color w:val="000000"/>
                <w:sz w:val="20"/>
              </w:rPr>
              <w:t>ICHCAP</w:t>
            </w:r>
          </w:p>
        </w:tc>
        <w:tc>
          <w:tcPr>
            <w:tcW w:w="2327" w:type="dxa"/>
            <w:vAlign w:val="center"/>
          </w:tcPr>
          <w:p w14:paraId="0D16747B" w14:textId="77777777" w:rsidR="00895CB1" w:rsidRPr="00BF1B64" w:rsidRDefault="00895CB1" w:rsidP="00125CDA">
            <w:pPr>
              <w:spacing w:before="60" w:after="60"/>
              <w:jc w:val="right"/>
              <w:rPr>
                <w:rFonts w:ascii="Arial" w:hAnsi="Arial" w:cs="Arial"/>
                <w:color w:val="000000"/>
                <w:sz w:val="20"/>
                <w:szCs w:val="20"/>
              </w:rPr>
            </w:pPr>
            <w:r>
              <w:rPr>
                <w:rFonts w:ascii="Arial" w:hAnsi="Arial"/>
                <w:color w:val="000000"/>
                <w:sz w:val="20"/>
              </w:rPr>
              <w:t>180 000,00 dollars des États-Unis</w:t>
            </w:r>
          </w:p>
        </w:tc>
      </w:tr>
    </w:tbl>
    <w:p w14:paraId="5516706E" w14:textId="77777777" w:rsidR="002459E4" w:rsidRPr="00BF1B64" w:rsidRDefault="002459E4" w:rsidP="002459E4">
      <w:pPr>
        <w:spacing w:before="120"/>
        <w:ind w:left="709"/>
        <w:rPr>
          <w:rFonts w:ascii="Arial" w:hAnsi="Arial" w:cs="Arial"/>
          <w:b/>
          <w:color w:val="000000"/>
          <w:sz w:val="20"/>
          <w:szCs w:val="20"/>
        </w:rPr>
      </w:pPr>
      <w:r>
        <w:rPr>
          <w:rFonts w:ascii="Arial" w:hAnsi="Arial"/>
          <w:b/>
          <w:color w:val="000000"/>
          <w:sz w:val="20"/>
        </w:rPr>
        <w:t>Sous-fonds pour le renforcement des capacités humaines du Secrétariat</w:t>
      </w:r>
    </w:p>
    <w:tbl>
      <w:tblPr>
        <w:tblW w:w="8930" w:type="dxa"/>
        <w:tblInd w:w="709" w:type="dxa"/>
        <w:tblLook w:val="04A0" w:firstRow="1" w:lastRow="0" w:firstColumn="1" w:lastColumn="0" w:noHBand="0" w:noVBand="1"/>
      </w:tblPr>
      <w:tblGrid>
        <w:gridCol w:w="6603"/>
        <w:gridCol w:w="2327"/>
      </w:tblGrid>
      <w:tr w:rsidR="004A69AC" w:rsidRPr="00BF1B64" w14:paraId="62E4BA8D" w14:textId="77777777" w:rsidTr="008E3F0F">
        <w:trPr>
          <w:cantSplit/>
        </w:trPr>
        <w:tc>
          <w:tcPr>
            <w:tcW w:w="6603" w:type="dxa"/>
            <w:vAlign w:val="center"/>
          </w:tcPr>
          <w:p w14:paraId="4F0B75D3" w14:textId="480A8C8A" w:rsidR="004A69AC" w:rsidRPr="00BF1B64" w:rsidRDefault="004A69AC" w:rsidP="008E3F0F">
            <w:pPr>
              <w:spacing w:before="60" w:after="60"/>
              <w:rPr>
                <w:rFonts w:ascii="Arial" w:hAnsi="Arial" w:cs="Arial"/>
                <w:color w:val="000000"/>
                <w:sz w:val="20"/>
                <w:szCs w:val="20"/>
              </w:rPr>
            </w:pPr>
            <w:r>
              <w:rPr>
                <w:rFonts w:ascii="Arial" w:hAnsi="Arial"/>
                <w:color w:val="000000"/>
                <w:sz w:val="20"/>
              </w:rPr>
              <w:t>Lituanie</w:t>
            </w:r>
          </w:p>
        </w:tc>
        <w:tc>
          <w:tcPr>
            <w:tcW w:w="2327" w:type="dxa"/>
            <w:vAlign w:val="center"/>
          </w:tcPr>
          <w:p w14:paraId="05B3EF01" w14:textId="3175A0C3" w:rsidR="004A69AC" w:rsidRPr="00BF1B64" w:rsidRDefault="004A69AC" w:rsidP="008E3F0F">
            <w:pPr>
              <w:spacing w:before="60" w:after="60"/>
              <w:jc w:val="right"/>
              <w:rPr>
                <w:rFonts w:ascii="Arial" w:hAnsi="Arial" w:cs="Arial"/>
                <w:color w:val="000000"/>
                <w:sz w:val="20"/>
                <w:szCs w:val="20"/>
              </w:rPr>
            </w:pPr>
            <w:r>
              <w:rPr>
                <w:rFonts w:ascii="Arial" w:hAnsi="Arial"/>
                <w:color w:val="000000"/>
                <w:sz w:val="20"/>
              </w:rPr>
              <w:t>2 600,44 dollars des États-Unis</w:t>
            </w:r>
          </w:p>
        </w:tc>
      </w:tr>
      <w:tr w:rsidR="004A69AC" w:rsidRPr="00BF1B64" w14:paraId="506EE8E8" w14:textId="77777777" w:rsidTr="008E3F0F">
        <w:trPr>
          <w:cantSplit/>
        </w:trPr>
        <w:tc>
          <w:tcPr>
            <w:tcW w:w="6603" w:type="dxa"/>
            <w:vAlign w:val="center"/>
          </w:tcPr>
          <w:p w14:paraId="7BD58E1B" w14:textId="77777777" w:rsidR="004A69AC" w:rsidRPr="00BF1B64" w:rsidRDefault="004A69AC" w:rsidP="008E3F0F">
            <w:pPr>
              <w:spacing w:before="60" w:after="60"/>
              <w:rPr>
                <w:rFonts w:ascii="Arial" w:hAnsi="Arial" w:cs="Arial"/>
                <w:color w:val="000000"/>
                <w:sz w:val="20"/>
                <w:szCs w:val="20"/>
              </w:rPr>
            </w:pPr>
            <w:r>
              <w:rPr>
                <w:rFonts w:ascii="Arial" w:hAnsi="Arial"/>
                <w:color w:val="000000"/>
                <w:sz w:val="20"/>
              </w:rPr>
              <w:t>Monaco</w:t>
            </w:r>
          </w:p>
        </w:tc>
        <w:tc>
          <w:tcPr>
            <w:tcW w:w="2327" w:type="dxa"/>
            <w:vAlign w:val="center"/>
          </w:tcPr>
          <w:p w14:paraId="4AB9AEAC" w14:textId="16420591" w:rsidR="004A69AC" w:rsidRPr="00BF1B64" w:rsidRDefault="004A69AC" w:rsidP="008E3F0F">
            <w:pPr>
              <w:spacing w:before="60" w:after="60"/>
              <w:jc w:val="right"/>
              <w:rPr>
                <w:rFonts w:ascii="Arial" w:hAnsi="Arial" w:cs="Arial"/>
                <w:color w:val="000000"/>
                <w:sz w:val="20"/>
                <w:szCs w:val="20"/>
              </w:rPr>
            </w:pPr>
            <w:r>
              <w:rPr>
                <w:rFonts w:ascii="Arial" w:hAnsi="Arial"/>
                <w:color w:val="000000"/>
                <w:sz w:val="20"/>
              </w:rPr>
              <w:t>11 737,10 dollars des États-Unis</w:t>
            </w:r>
          </w:p>
        </w:tc>
      </w:tr>
      <w:tr w:rsidR="004A69AC" w:rsidRPr="00BF1B64" w14:paraId="3C1EF582" w14:textId="77777777" w:rsidTr="008E3F0F">
        <w:trPr>
          <w:cantSplit/>
        </w:trPr>
        <w:tc>
          <w:tcPr>
            <w:tcW w:w="6603" w:type="dxa"/>
            <w:vAlign w:val="center"/>
          </w:tcPr>
          <w:p w14:paraId="49E9DFC0" w14:textId="1B80181A" w:rsidR="004A69AC" w:rsidRPr="00BF1B64" w:rsidRDefault="004A69AC" w:rsidP="008E3F0F">
            <w:pPr>
              <w:spacing w:before="60" w:after="60"/>
              <w:rPr>
                <w:rFonts w:ascii="Arial" w:hAnsi="Arial" w:cs="Arial"/>
                <w:color w:val="000000"/>
                <w:sz w:val="20"/>
                <w:szCs w:val="20"/>
              </w:rPr>
            </w:pPr>
            <w:r>
              <w:rPr>
                <w:rFonts w:ascii="Arial" w:hAnsi="Arial"/>
                <w:color w:val="000000"/>
                <w:sz w:val="20"/>
              </w:rPr>
              <w:t>Palestine</w:t>
            </w:r>
          </w:p>
        </w:tc>
        <w:tc>
          <w:tcPr>
            <w:tcW w:w="2327" w:type="dxa"/>
            <w:vAlign w:val="center"/>
          </w:tcPr>
          <w:p w14:paraId="2C39AFEE" w14:textId="621BF0FD" w:rsidR="004A69AC" w:rsidRPr="00BF1B64" w:rsidRDefault="004A69AC" w:rsidP="008E3F0F">
            <w:pPr>
              <w:spacing w:before="60" w:after="60"/>
              <w:jc w:val="right"/>
              <w:rPr>
                <w:rFonts w:ascii="Arial" w:hAnsi="Arial" w:cs="Arial"/>
                <w:color w:val="000000"/>
                <w:sz w:val="20"/>
                <w:szCs w:val="20"/>
              </w:rPr>
            </w:pPr>
            <w:r>
              <w:rPr>
                <w:rFonts w:ascii="Arial" w:hAnsi="Arial"/>
                <w:color w:val="000000"/>
                <w:sz w:val="20"/>
              </w:rPr>
              <w:t>262,00 dollars des États-Unis</w:t>
            </w:r>
          </w:p>
        </w:tc>
      </w:tr>
      <w:tr w:rsidR="002459E4" w:rsidRPr="00BF1B64" w14:paraId="4438A831" w14:textId="77777777" w:rsidTr="008E3F0F">
        <w:trPr>
          <w:cantSplit/>
        </w:trPr>
        <w:tc>
          <w:tcPr>
            <w:tcW w:w="6603" w:type="dxa"/>
            <w:vAlign w:val="center"/>
          </w:tcPr>
          <w:p w14:paraId="58E406EC" w14:textId="10FB7C13" w:rsidR="002459E4" w:rsidRPr="00BF1B64" w:rsidRDefault="004A69AC" w:rsidP="008E3F0F">
            <w:pPr>
              <w:spacing w:before="60" w:after="60"/>
              <w:rPr>
                <w:rFonts w:ascii="Arial" w:hAnsi="Arial" w:cs="Arial"/>
                <w:color w:val="000000"/>
                <w:sz w:val="20"/>
                <w:szCs w:val="20"/>
              </w:rPr>
            </w:pPr>
            <w:r>
              <w:rPr>
                <w:rFonts w:ascii="Arial" w:hAnsi="Arial"/>
                <w:color w:val="000000"/>
                <w:sz w:val="20"/>
              </w:rPr>
              <w:t>Slovaquie</w:t>
            </w:r>
          </w:p>
        </w:tc>
        <w:tc>
          <w:tcPr>
            <w:tcW w:w="2327" w:type="dxa"/>
            <w:vAlign w:val="center"/>
          </w:tcPr>
          <w:p w14:paraId="3EEA7934" w14:textId="7E22E441" w:rsidR="002459E4" w:rsidRPr="00BF1B64" w:rsidRDefault="002459E4" w:rsidP="008E3F0F">
            <w:pPr>
              <w:spacing w:before="60" w:after="60"/>
              <w:jc w:val="right"/>
              <w:rPr>
                <w:rFonts w:ascii="Arial" w:hAnsi="Arial" w:cs="Arial"/>
                <w:color w:val="000000"/>
                <w:sz w:val="20"/>
                <w:szCs w:val="20"/>
              </w:rPr>
            </w:pPr>
            <w:r>
              <w:rPr>
                <w:rFonts w:ascii="Arial" w:hAnsi="Arial"/>
                <w:color w:val="000000"/>
                <w:sz w:val="20"/>
              </w:rPr>
              <w:t>23 196,59 dollars des États-Unis</w:t>
            </w:r>
          </w:p>
        </w:tc>
      </w:tr>
      <w:tr w:rsidR="002459E4" w:rsidRPr="00BF1B64" w14:paraId="590BCB63" w14:textId="77777777" w:rsidTr="008E3F0F">
        <w:trPr>
          <w:cantSplit/>
        </w:trPr>
        <w:tc>
          <w:tcPr>
            <w:tcW w:w="6603" w:type="dxa"/>
            <w:vAlign w:val="center"/>
          </w:tcPr>
          <w:p w14:paraId="4C9933A5" w14:textId="32D17F9F" w:rsidR="002459E4" w:rsidRPr="00436ADC" w:rsidRDefault="004A69AC" w:rsidP="008E3F0F">
            <w:pPr>
              <w:spacing w:before="60" w:after="60"/>
              <w:rPr>
                <w:rFonts w:ascii="Arial" w:hAnsi="Arial" w:cs="Arial"/>
                <w:color w:val="000000"/>
                <w:sz w:val="20"/>
                <w:szCs w:val="20"/>
                <w:lang w:val="es-ES"/>
              </w:rPr>
            </w:pPr>
            <w:r w:rsidRPr="00436ADC">
              <w:rPr>
                <w:rFonts w:ascii="Arial" w:hAnsi="Arial"/>
                <w:color w:val="000000"/>
                <w:sz w:val="20"/>
                <w:lang w:val="es-ES"/>
              </w:rPr>
              <w:t>Fondazione Museo del Violino Antonio Stradivari</w:t>
            </w:r>
          </w:p>
        </w:tc>
        <w:tc>
          <w:tcPr>
            <w:tcW w:w="2327" w:type="dxa"/>
            <w:vAlign w:val="center"/>
          </w:tcPr>
          <w:p w14:paraId="2C5F2499" w14:textId="4D360880" w:rsidR="002459E4" w:rsidRPr="00BF1B64" w:rsidRDefault="002459E4" w:rsidP="008E3F0F">
            <w:pPr>
              <w:spacing w:before="60" w:after="60"/>
              <w:jc w:val="right"/>
              <w:rPr>
                <w:rFonts w:ascii="Arial" w:hAnsi="Arial" w:cs="Arial"/>
                <w:color w:val="000000"/>
                <w:sz w:val="20"/>
                <w:szCs w:val="20"/>
                <w:highlight w:val="yellow"/>
              </w:rPr>
            </w:pPr>
            <w:r>
              <w:rPr>
                <w:rFonts w:ascii="Arial" w:hAnsi="Arial"/>
                <w:color w:val="000000"/>
                <w:sz w:val="20"/>
              </w:rPr>
              <w:t>3 026,63 dollars des États-Unis</w:t>
            </w:r>
          </w:p>
        </w:tc>
      </w:tr>
    </w:tbl>
    <w:p w14:paraId="34866B95" w14:textId="5016025F" w:rsidR="002459E4" w:rsidRPr="00BF1B64" w:rsidRDefault="002459E4" w:rsidP="002459E4">
      <w:pPr>
        <w:spacing w:before="360" w:after="60"/>
        <w:rPr>
          <w:rFonts w:ascii="Arial" w:hAnsi="Arial" w:cs="Arial"/>
          <w:b/>
          <w:smallCaps/>
          <w:color w:val="000000"/>
          <w:szCs w:val="22"/>
        </w:rPr>
      </w:pPr>
      <w:r>
        <w:rPr>
          <w:rFonts w:ascii="Arial" w:hAnsi="Arial"/>
          <w:b/>
          <w:smallCaps/>
          <w:color w:val="000000"/>
        </w:rPr>
        <w:t>Prêts et détachements</w:t>
      </w:r>
    </w:p>
    <w:tbl>
      <w:tblPr>
        <w:tblW w:w="8935" w:type="dxa"/>
        <w:tblInd w:w="709" w:type="dxa"/>
        <w:tblLook w:val="04A0" w:firstRow="1" w:lastRow="0" w:firstColumn="1" w:lastColumn="0" w:noHBand="0" w:noVBand="1"/>
      </w:tblPr>
      <w:tblGrid>
        <w:gridCol w:w="6605"/>
        <w:gridCol w:w="2330"/>
      </w:tblGrid>
      <w:tr w:rsidR="002459E4" w:rsidRPr="00325105" w14:paraId="5156DCE7" w14:textId="77777777" w:rsidTr="008E3F0F">
        <w:trPr>
          <w:cantSplit/>
        </w:trPr>
        <w:tc>
          <w:tcPr>
            <w:tcW w:w="6605" w:type="dxa"/>
            <w:vAlign w:val="center"/>
            <w:hideMark/>
          </w:tcPr>
          <w:p w14:paraId="23DA0C12" w14:textId="77777777" w:rsidR="002459E4" w:rsidRPr="00BF1B64" w:rsidRDefault="002459E4" w:rsidP="008E3F0F">
            <w:pPr>
              <w:spacing w:before="60" w:after="60"/>
              <w:rPr>
                <w:rFonts w:ascii="Arial" w:hAnsi="Arial" w:cs="Arial"/>
                <w:color w:val="000000"/>
                <w:sz w:val="20"/>
                <w:szCs w:val="20"/>
              </w:rPr>
            </w:pPr>
            <w:r>
              <w:rPr>
                <w:rFonts w:ascii="Arial" w:hAnsi="Arial"/>
                <w:color w:val="000000"/>
                <w:sz w:val="20"/>
              </w:rPr>
              <w:t>Chine</w:t>
            </w:r>
          </w:p>
        </w:tc>
        <w:tc>
          <w:tcPr>
            <w:tcW w:w="2330" w:type="dxa"/>
            <w:vAlign w:val="center"/>
            <w:hideMark/>
          </w:tcPr>
          <w:p w14:paraId="7F0DD950" w14:textId="37FF0264" w:rsidR="002459E4" w:rsidRPr="00BF1B64" w:rsidRDefault="001B01FE" w:rsidP="008E3F0F">
            <w:pPr>
              <w:spacing w:before="60" w:after="60"/>
              <w:jc w:val="right"/>
              <w:rPr>
                <w:rFonts w:ascii="Arial" w:hAnsi="Arial" w:cs="Arial"/>
                <w:color w:val="000000"/>
                <w:sz w:val="20"/>
                <w:szCs w:val="20"/>
              </w:rPr>
            </w:pPr>
            <w:r>
              <w:rPr>
                <w:rFonts w:ascii="Arial" w:hAnsi="Arial"/>
                <w:color w:val="000000"/>
                <w:sz w:val="20"/>
              </w:rPr>
              <w:t>2 mois au niveau P-2</w:t>
            </w:r>
          </w:p>
        </w:tc>
      </w:tr>
      <w:tr w:rsidR="00610F88" w:rsidRPr="00325105" w14:paraId="70B43DE1" w14:textId="77777777" w:rsidTr="008E3F0F">
        <w:trPr>
          <w:cantSplit/>
        </w:trPr>
        <w:tc>
          <w:tcPr>
            <w:tcW w:w="6605" w:type="dxa"/>
            <w:vAlign w:val="center"/>
          </w:tcPr>
          <w:p w14:paraId="5B38C494" w14:textId="616A9652" w:rsidR="00610F88" w:rsidRPr="00BF1B64" w:rsidRDefault="00610F88" w:rsidP="008E3F0F">
            <w:pPr>
              <w:spacing w:before="60" w:after="60"/>
              <w:rPr>
                <w:rFonts w:ascii="Arial" w:hAnsi="Arial" w:cs="Arial"/>
                <w:color w:val="000000"/>
                <w:sz w:val="20"/>
                <w:szCs w:val="20"/>
              </w:rPr>
            </w:pPr>
          </w:p>
        </w:tc>
        <w:tc>
          <w:tcPr>
            <w:tcW w:w="2330" w:type="dxa"/>
            <w:vAlign w:val="center"/>
          </w:tcPr>
          <w:p w14:paraId="2BDA4C77" w14:textId="3E657C49" w:rsidR="00610F88" w:rsidRDefault="00C6176D" w:rsidP="008E3F0F">
            <w:pPr>
              <w:spacing w:before="60" w:after="60"/>
              <w:jc w:val="right"/>
              <w:rPr>
                <w:rFonts w:ascii="Arial" w:hAnsi="Arial" w:cs="Arial"/>
                <w:color w:val="000000"/>
                <w:sz w:val="20"/>
                <w:szCs w:val="20"/>
              </w:rPr>
            </w:pPr>
            <w:r>
              <w:rPr>
                <w:rFonts w:ascii="Arial" w:hAnsi="Arial"/>
                <w:color w:val="000000"/>
                <w:sz w:val="20"/>
              </w:rPr>
              <w:t xml:space="preserve">4 </w:t>
            </w:r>
            <w:r w:rsidR="00610F88">
              <w:rPr>
                <w:rFonts w:ascii="Arial" w:hAnsi="Arial"/>
                <w:color w:val="000000"/>
                <w:sz w:val="20"/>
              </w:rPr>
              <w:t xml:space="preserve">mois </w:t>
            </w:r>
            <w:r w:rsidR="00610F88" w:rsidRPr="00FA378B">
              <w:rPr>
                <w:rFonts w:ascii="Arial" w:hAnsi="Arial"/>
                <w:color w:val="000000"/>
                <w:sz w:val="20"/>
              </w:rPr>
              <w:t>(stagiaire parrainé)</w:t>
            </w:r>
          </w:p>
        </w:tc>
      </w:tr>
    </w:tbl>
    <w:p w14:paraId="1830845F" w14:textId="763C3F1B" w:rsidR="00DB7255" w:rsidRDefault="00DB7255">
      <w:pPr>
        <w:spacing w:after="0"/>
        <w:rPr>
          <w:rFonts w:ascii="Arial" w:hAnsi="Arial" w:cs="Arial"/>
          <w:snapToGrid w:val="0"/>
          <w:szCs w:val="22"/>
        </w:rPr>
      </w:pPr>
    </w:p>
    <w:p w14:paraId="1E3447A0" w14:textId="7181ED49" w:rsidR="00DB7255" w:rsidRPr="006D06BC" w:rsidRDefault="00DB7255" w:rsidP="00DB7255">
      <w:pPr>
        <w:keepNext/>
        <w:pageBreakBefore/>
        <w:autoSpaceDE w:val="0"/>
        <w:autoSpaceDN w:val="0"/>
        <w:adjustRightInd w:val="0"/>
        <w:spacing w:before="240" w:after="480"/>
        <w:jc w:val="center"/>
        <w:rPr>
          <w:rFonts w:asciiTheme="minorBidi" w:hAnsiTheme="minorBidi" w:cstheme="minorBidi"/>
          <w:b/>
          <w:caps/>
          <w:snapToGrid w:val="0"/>
          <w:szCs w:val="22"/>
          <w:u w:val="single"/>
        </w:rPr>
      </w:pPr>
      <w:r>
        <w:rPr>
          <w:rFonts w:asciiTheme="minorBidi" w:hAnsiTheme="minorBidi"/>
          <w:b/>
          <w:caps/>
          <w:snapToGrid w:val="0"/>
          <w:u w:val="single"/>
        </w:rPr>
        <w:lastRenderedPageBreak/>
        <w:t>ANNEXE II</w:t>
      </w:r>
    </w:p>
    <w:p w14:paraId="5D99EC31" w14:textId="77777777" w:rsidR="00925A18" w:rsidRPr="00220740" w:rsidRDefault="00925A18" w:rsidP="00925A18">
      <w:pPr>
        <w:keepNext/>
        <w:autoSpaceDE w:val="0"/>
        <w:autoSpaceDN w:val="0"/>
        <w:adjustRightInd w:val="0"/>
        <w:jc w:val="center"/>
        <w:rPr>
          <w:rFonts w:ascii="Arial" w:hAnsi="Arial" w:cs="Arial"/>
          <w:b/>
          <w:snapToGrid w:val="0"/>
          <w:szCs w:val="22"/>
          <w:u w:val="single"/>
        </w:rPr>
      </w:pPr>
      <w:r>
        <w:rPr>
          <w:rFonts w:ascii="Arial" w:hAnsi="Arial"/>
          <w:b/>
          <w:snapToGrid w:val="0"/>
          <w:u w:val="single"/>
        </w:rPr>
        <w:t>Priorité 1 de financement</w:t>
      </w:r>
    </w:p>
    <w:p w14:paraId="7506F667" w14:textId="2899B74C" w:rsidR="00925A18" w:rsidRPr="00A41EB7" w:rsidRDefault="00925A18" w:rsidP="00925A18">
      <w:pPr>
        <w:spacing w:before="240" w:after="240"/>
        <w:jc w:val="both"/>
        <w:rPr>
          <w:rFonts w:ascii="Calibri" w:eastAsia="Calibri" w:hAnsi="Calibri"/>
          <w:color w:val="FFFFFF"/>
          <w:sz w:val="40"/>
          <w:szCs w:val="40"/>
          <w:shd w:val="clear" w:color="auto" w:fill="0077D4"/>
        </w:rPr>
      </w:pPr>
      <w:bookmarkStart w:id="1" w:name="Priority1"/>
      <w:bookmarkEnd w:id="1"/>
      <w:r>
        <w:rPr>
          <w:rFonts w:ascii="Calibri" w:hAnsi="Calibri"/>
          <w:color w:val="FFFFFF"/>
          <w:sz w:val="40"/>
          <w:shd w:val="clear" w:color="auto" w:fill="0077D4"/>
        </w:rPr>
        <w:t>Renforcement des capacités de sauvegarde du patrimoine culturel immatériel par le biais d</w:t>
      </w:r>
      <w:r w:rsidR="00C62E8C">
        <w:rPr>
          <w:rFonts w:ascii="Calibri" w:hAnsi="Calibri"/>
          <w:color w:val="FFFFFF"/>
          <w:sz w:val="40"/>
          <w:shd w:val="clear" w:color="auto" w:fill="0077D4"/>
        </w:rPr>
        <w:t>’</w:t>
      </w:r>
      <w:r>
        <w:rPr>
          <w:rFonts w:ascii="Calibri" w:hAnsi="Calibri"/>
          <w:color w:val="FFFFFF"/>
          <w:sz w:val="40"/>
          <w:shd w:val="clear" w:color="auto" w:fill="0077D4"/>
        </w:rPr>
        <w:t>approches multimodales et de contribution au développement durable</w:t>
      </w:r>
    </w:p>
    <w:tbl>
      <w:tblPr>
        <w:tblStyle w:val="TableGrid1"/>
        <w:tblW w:w="9638" w:type="dxa"/>
        <w:tblInd w:w="0" w:type="dxa"/>
        <w:tblBorders>
          <w:top w:val="single" w:sz="2" w:space="0" w:color="FFFFFF"/>
          <w:left w:val="single" w:sz="2" w:space="0" w:color="FFFFFF"/>
          <w:bottom w:val="single" w:sz="2" w:space="0" w:color="FFFFFF"/>
          <w:right w:val="single" w:sz="2" w:space="0" w:color="FFFFFF"/>
          <w:insideH w:val="single" w:sz="2" w:space="0" w:color="C5192D"/>
          <w:insideV w:val="single" w:sz="2" w:space="0" w:color="0077D4"/>
        </w:tblBorders>
        <w:tblLayout w:type="fixed"/>
        <w:tblCellMar>
          <w:left w:w="0" w:type="dxa"/>
          <w:right w:w="0" w:type="dxa"/>
        </w:tblCellMar>
        <w:tblLook w:val="04A0" w:firstRow="1" w:lastRow="0" w:firstColumn="1" w:lastColumn="0" w:noHBand="0" w:noVBand="1"/>
      </w:tblPr>
      <w:tblGrid>
        <w:gridCol w:w="3685"/>
        <w:gridCol w:w="5953"/>
      </w:tblGrid>
      <w:tr w:rsidR="00925A18" w:rsidRPr="00423C72" w14:paraId="19078766" w14:textId="77777777" w:rsidTr="00C62E8C">
        <w:tc>
          <w:tcPr>
            <w:tcW w:w="3685" w:type="dxa"/>
            <w:tcBorders>
              <w:top w:val="single" w:sz="4" w:space="0" w:color="EEBBC0"/>
              <w:left w:val="single" w:sz="2" w:space="0" w:color="FFFFFF"/>
              <w:bottom w:val="single" w:sz="4" w:space="0" w:color="EEBBC0"/>
              <w:right w:val="single" w:sz="2" w:space="0" w:color="0077D4"/>
            </w:tcBorders>
            <w:shd w:val="clear" w:color="auto" w:fill="D8E2F4"/>
            <w:noWrap/>
            <w:tcMar>
              <w:top w:w="113" w:type="dxa"/>
              <w:left w:w="113" w:type="dxa"/>
              <w:bottom w:w="0" w:type="dxa"/>
              <w:right w:w="113" w:type="dxa"/>
            </w:tcMar>
            <w:hideMark/>
          </w:tcPr>
          <w:p w14:paraId="2727CF1F" w14:textId="77777777" w:rsidR="00925A18" w:rsidRPr="00E67A04" w:rsidRDefault="00925A18" w:rsidP="00C62E8C">
            <w:pPr>
              <w:widowControl w:val="0"/>
              <w:autoSpaceDE w:val="0"/>
              <w:autoSpaceDN w:val="0"/>
              <w:adjustRightInd w:val="0"/>
              <w:rPr>
                <w:rFonts w:ascii="Arial" w:eastAsia="Batang" w:hAnsi="Arial" w:cs="Arial"/>
                <w:b/>
                <w:color w:val="0070C0"/>
                <w:szCs w:val="22"/>
              </w:rPr>
            </w:pPr>
            <w:r>
              <w:rPr>
                <w:rFonts w:ascii="Arial" w:hAnsi="Arial"/>
                <w:b/>
                <w:color w:val="0070C0"/>
              </w:rPr>
              <w:t>Portée géographique/pays bénéficiaire(s) :</w:t>
            </w:r>
          </w:p>
        </w:tc>
        <w:tc>
          <w:tcPr>
            <w:tcW w:w="5953" w:type="dxa"/>
            <w:tcBorders>
              <w:top w:val="single" w:sz="4" w:space="0" w:color="EEBBC0"/>
              <w:left w:val="single" w:sz="2" w:space="0" w:color="0077D4"/>
              <w:bottom w:val="single" w:sz="4" w:space="0" w:color="EEBBC0"/>
              <w:right w:val="single" w:sz="2" w:space="0" w:color="FFFFFF"/>
            </w:tcBorders>
            <w:shd w:val="clear" w:color="auto" w:fill="ECF0FA"/>
            <w:noWrap/>
            <w:tcMar>
              <w:top w:w="113" w:type="dxa"/>
              <w:left w:w="113" w:type="dxa"/>
              <w:bottom w:w="0" w:type="dxa"/>
              <w:right w:w="113" w:type="dxa"/>
            </w:tcMar>
            <w:hideMark/>
          </w:tcPr>
          <w:p w14:paraId="3D419BEC" w14:textId="70BD7158" w:rsidR="00925A18" w:rsidRPr="00E67A04" w:rsidRDefault="00925A18" w:rsidP="00C62E8C">
            <w:pPr>
              <w:widowControl w:val="0"/>
              <w:autoSpaceDE w:val="0"/>
              <w:autoSpaceDN w:val="0"/>
              <w:adjustRightInd w:val="0"/>
              <w:rPr>
                <w:rFonts w:ascii="Arial" w:eastAsia="Calibri" w:hAnsi="Arial" w:cs="Arial"/>
                <w:szCs w:val="22"/>
              </w:rPr>
            </w:pPr>
            <w:r>
              <w:rPr>
                <w:rFonts w:ascii="Arial" w:hAnsi="Arial"/>
              </w:rPr>
              <w:t>25 pays dans toutes les régions, en donnant la priorité à l</w:t>
            </w:r>
            <w:r w:rsidR="00C62E8C">
              <w:rPr>
                <w:rFonts w:ascii="Arial" w:hAnsi="Arial"/>
              </w:rPr>
              <w:t>’</w:t>
            </w:r>
            <w:r>
              <w:rPr>
                <w:rFonts w:ascii="Arial" w:hAnsi="Arial"/>
              </w:rPr>
              <w:t>Afrique et aux petits États insulaires en développement</w:t>
            </w:r>
          </w:p>
        </w:tc>
      </w:tr>
      <w:tr w:rsidR="00925A18" w:rsidRPr="00423C72" w14:paraId="27E626B4" w14:textId="77777777" w:rsidTr="00C62E8C">
        <w:tc>
          <w:tcPr>
            <w:tcW w:w="3685" w:type="dxa"/>
            <w:tcBorders>
              <w:top w:val="single" w:sz="4" w:space="0" w:color="EEBBC0"/>
              <w:left w:val="single" w:sz="2" w:space="0" w:color="FFFFFF"/>
              <w:bottom w:val="single" w:sz="4" w:space="0" w:color="EEBBC0"/>
              <w:right w:val="single" w:sz="2" w:space="0" w:color="0077D4"/>
            </w:tcBorders>
            <w:shd w:val="clear" w:color="auto" w:fill="D8E2F4"/>
            <w:noWrap/>
            <w:tcMar>
              <w:top w:w="113" w:type="dxa"/>
              <w:left w:w="113" w:type="dxa"/>
              <w:bottom w:w="0" w:type="dxa"/>
              <w:right w:w="113" w:type="dxa"/>
            </w:tcMar>
            <w:hideMark/>
          </w:tcPr>
          <w:p w14:paraId="50E225A7" w14:textId="77777777" w:rsidR="00925A18" w:rsidRPr="00E67A04" w:rsidRDefault="00925A18" w:rsidP="00C62E8C">
            <w:pPr>
              <w:widowControl w:val="0"/>
              <w:autoSpaceDE w:val="0"/>
              <w:autoSpaceDN w:val="0"/>
              <w:adjustRightInd w:val="0"/>
              <w:rPr>
                <w:rFonts w:ascii="Arial" w:hAnsi="Arial" w:cs="Arial"/>
                <w:b/>
                <w:color w:val="0070C0"/>
                <w:szCs w:val="22"/>
              </w:rPr>
            </w:pPr>
            <w:r>
              <w:rPr>
                <w:rFonts w:ascii="Arial" w:hAnsi="Arial"/>
                <w:b/>
                <w:color w:val="0070C0"/>
              </w:rPr>
              <w:t>Durée (en mois) :</w:t>
            </w:r>
          </w:p>
        </w:tc>
        <w:tc>
          <w:tcPr>
            <w:tcW w:w="5953" w:type="dxa"/>
            <w:tcBorders>
              <w:top w:val="single" w:sz="4" w:space="0" w:color="EEBBC0"/>
              <w:left w:val="single" w:sz="2" w:space="0" w:color="0077D4"/>
              <w:bottom w:val="single" w:sz="4" w:space="0" w:color="EEBBC0"/>
              <w:right w:val="single" w:sz="2" w:space="0" w:color="FFFFFF"/>
            </w:tcBorders>
            <w:shd w:val="clear" w:color="auto" w:fill="ECF0FA"/>
            <w:noWrap/>
            <w:tcMar>
              <w:top w:w="113" w:type="dxa"/>
              <w:left w:w="113" w:type="dxa"/>
              <w:bottom w:w="0" w:type="dxa"/>
              <w:right w:w="113" w:type="dxa"/>
            </w:tcMar>
            <w:hideMark/>
          </w:tcPr>
          <w:p w14:paraId="0ECB4A18" w14:textId="77777777" w:rsidR="00925A18" w:rsidRPr="00E67A04" w:rsidRDefault="00925A18" w:rsidP="00C62E8C">
            <w:pPr>
              <w:widowControl w:val="0"/>
              <w:autoSpaceDE w:val="0"/>
              <w:autoSpaceDN w:val="0"/>
              <w:adjustRightInd w:val="0"/>
              <w:rPr>
                <w:rFonts w:ascii="Arial" w:eastAsia="Batang" w:hAnsi="Arial" w:cs="Arial"/>
                <w:szCs w:val="22"/>
              </w:rPr>
            </w:pPr>
            <w:r>
              <w:rPr>
                <w:rFonts w:ascii="Arial" w:hAnsi="Arial"/>
              </w:rPr>
              <w:t>2022 - 2025 (48 mois)</w:t>
            </w:r>
          </w:p>
        </w:tc>
      </w:tr>
      <w:tr w:rsidR="00925A18" w:rsidRPr="00423C72" w14:paraId="4842029E" w14:textId="77777777" w:rsidTr="00C62E8C">
        <w:tc>
          <w:tcPr>
            <w:tcW w:w="3685" w:type="dxa"/>
            <w:tcBorders>
              <w:top w:val="single" w:sz="4" w:space="0" w:color="EEBBC0"/>
              <w:left w:val="single" w:sz="2" w:space="0" w:color="FFFFFF"/>
              <w:bottom w:val="single" w:sz="4" w:space="0" w:color="EEBBC0"/>
              <w:right w:val="single" w:sz="2" w:space="0" w:color="0077D4"/>
            </w:tcBorders>
            <w:shd w:val="clear" w:color="auto" w:fill="D8E2F4"/>
            <w:noWrap/>
            <w:tcMar>
              <w:top w:w="113" w:type="dxa"/>
              <w:left w:w="113" w:type="dxa"/>
              <w:bottom w:w="0" w:type="dxa"/>
              <w:right w:w="113" w:type="dxa"/>
            </w:tcMar>
            <w:hideMark/>
          </w:tcPr>
          <w:p w14:paraId="436792C5" w14:textId="77777777" w:rsidR="00925A18" w:rsidRPr="00E67A04" w:rsidRDefault="00925A18" w:rsidP="00C62E8C">
            <w:pPr>
              <w:widowControl w:val="0"/>
              <w:autoSpaceDE w:val="0"/>
              <w:autoSpaceDN w:val="0"/>
              <w:adjustRightInd w:val="0"/>
              <w:rPr>
                <w:rFonts w:ascii="Arial" w:hAnsi="Arial" w:cs="Arial"/>
                <w:b/>
                <w:color w:val="0070C0"/>
                <w:szCs w:val="22"/>
              </w:rPr>
            </w:pPr>
            <w:r>
              <w:rPr>
                <w:rFonts w:ascii="Arial" w:hAnsi="Arial"/>
                <w:b/>
                <w:color w:val="0070C0"/>
              </w:rPr>
              <w:t>Nom et unité du/de la/des responsable(s) de projet :</w:t>
            </w:r>
          </w:p>
        </w:tc>
        <w:tc>
          <w:tcPr>
            <w:tcW w:w="5953" w:type="dxa"/>
            <w:tcBorders>
              <w:top w:val="single" w:sz="4" w:space="0" w:color="EEBBC0"/>
              <w:left w:val="single" w:sz="2" w:space="0" w:color="0077D4"/>
              <w:bottom w:val="single" w:sz="4" w:space="0" w:color="EEBBC0"/>
              <w:right w:val="single" w:sz="2" w:space="0" w:color="FFFFFF"/>
            </w:tcBorders>
            <w:shd w:val="clear" w:color="auto" w:fill="ECF0FA"/>
            <w:noWrap/>
            <w:tcMar>
              <w:top w:w="113" w:type="dxa"/>
              <w:left w:w="113" w:type="dxa"/>
              <w:bottom w:w="0" w:type="dxa"/>
              <w:right w:w="113" w:type="dxa"/>
            </w:tcMar>
            <w:hideMark/>
          </w:tcPr>
          <w:p w14:paraId="77765F10" w14:textId="565DC486" w:rsidR="00925A18" w:rsidRPr="00E67A04" w:rsidRDefault="00925A18" w:rsidP="00C62E8C">
            <w:pPr>
              <w:widowControl w:val="0"/>
              <w:autoSpaceDE w:val="0"/>
              <w:autoSpaceDN w:val="0"/>
              <w:adjustRightInd w:val="0"/>
              <w:rPr>
                <w:rFonts w:ascii="Arial" w:eastAsia="Batang" w:hAnsi="Arial" w:cs="Arial"/>
                <w:szCs w:val="22"/>
              </w:rPr>
            </w:pPr>
            <w:r>
              <w:rPr>
                <w:rFonts w:ascii="Arial" w:hAnsi="Arial"/>
              </w:rPr>
              <w:t>Tim Curtis, chef de l</w:t>
            </w:r>
            <w:r w:rsidR="00C62E8C">
              <w:rPr>
                <w:rFonts w:ascii="Arial" w:hAnsi="Arial"/>
              </w:rPr>
              <w:t>’</w:t>
            </w:r>
            <w:r>
              <w:rPr>
                <w:rFonts w:ascii="Arial" w:hAnsi="Arial"/>
              </w:rPr>
              <w:t xml:space="preserve">Entité du patrimoine vivant et </w:t>
            </w:r>
            <w:r w:rsidR="00757123">
              <w:rPr>
                <w:rFonts w:ascii="Arial" w:hAnsi="Arial"/>
              </w:rPr>
              <w:t>S</w:t>
            </w:r>
            <w:r>
              <w:rPr>
                <w:rFonts w:ascii="Arial" w:hAnsi="Arial"/>
              </w:rPr>
              <w:t>ecrétaire de la Convention de 2003 pour la sauvegarde du patrimoine culturel immatériel</w:t>
            </w:r>
          </w:p>
          <w:p w14:paraId="1329DE4E" w14:textId="0F5089F9" w:rsidR="00925A18" w:rsidRPr="00E67A04" w:rsidRDefault="00925A18" w:rsidP="00C62E8C">
            <w:pPr>
              <w:widowControl w:val="0"/>
              <w:autoSpaceDE w:val="0"/>
              <w:autoSpaceDN w:val="0"/>
              <w:adjustRightInd w:val="0"/>
              <w:rPr>
                <w:rFonts w:ascii="Arial" w:eastAsia="Calibri" w:hAnsi="Arial" w:cs="Arial"/>
                <w:szCs w:val="22"/>
              </w:rPr>
            </w:pPr>
            <w:r>
              <w:rPr>
                <w:rFonts w:ascii="Arial" w:hAnsi="Arial"/>
              </w:rPr>
              <w:t>Susanne Schnüttgen, chef de l</w:t>
            </w:r>
            <w:r w:rsidR="00C62E8C">
              <w:rPr>
                <w:rFonts w:ascii="Arial" w:hAnsi="Arial"/>
              </w:rPr>
              <w:t>’</w:t>
            </w:r>
            <w:r>
              <w:rPr>
                <w:rFonts w:ascii="Arial" w:hAnsi="Arial"/>
              </w:rPr>
              <w:t>Unité de renforcement des capacités et politiques du patrimoine, Entité du patrimoine vivant</w:t>
            </w:r>
          </w:p>
        </w:tc>
      </w:tr>
      <w:tr w:rsidR="00925A18" w:rsidRPr="00423C72" w14:paraId="70F3D932" w14:textId="77777777" w:rsidTr="00C62E8C">
        <w:tc>
          <w:tcPr>
            <w:tcW w:w="3685" w:type="dxa"/>
            <w:tcBorders>
              <w:top w:val="single" w:sz="4" w:space="0" w:color="EEBBC0"/>
              <w:left w:val="single" w:sz="2" w:space="0" w:color="FFFFFF"/>
              <w:bottom w:val="single" w:sz="4" w:space="0" w:color="EEBBC0"/>
              <w:right w:val="single" w:sz="2" w:space="0" w:color="0077D4"/>
            </w:tcBorders>
            <w:shd w:val="clear" w:color="auto" w:fill="D8E2F4"/>
            <w:noWrap/>
            <w:tcMar>
              <w:top w:w="113" w:type="dxa"/>
              <w:left w:w="113" w:type="dxa"/>
              <w:bottom w:w="0" w:type="dxa"/>
              <w:right w:w="113" w:type="dxa"/>
            </w:tcMar>
            <w:hideMark/>
          </w:tcPr>
          <w:p w14:paraId="276B4EA7" w14:textId="77777777" w:rsidR="00925A18" w:rsidRPr="00E67A04" w:rsidRDefault="00925A18" w:rsidP="00C62E8C">
            <w:pPr>
              <w:widowControl w:val="0"/>
              <w:autoSpaceDE w:val="0"/>
              <w:autoSpaceDN w:val="0"/>
              <w:adjustRightInd w:val="0"/>
              <w:rPr>
                <w:rFonts w:ascii="Arial" w:hAnsi="Arial" w:cs="Arial"/>
                <w:b/>
                <w:color w:val="0070C0"/>
                <w:szCs w:val="22"/>
              </w:rPr>
            </w:pPr>
            <w:r>
              <w:rPr>
                <w:rFonts w:ascii="Arial" w:hAnsi="Arial"/>
                <w:b/>
                <w:color w:val="0070C0"/>
              </w:rPr>
              <w:t>Institution(s) partenaire(s) :</w:t>
            </w:r>
          </w:p>
        </w:tc>
        <w:tc>
          <w:tcPr>
            <w:tcW w:w="5953" w:type="dxa"/>
            <w:tcBorders>
              <w:top w:val="single" w:sz="4" w:space="0" w:color="EEBBC0"/>
              <w:left w:val="single" w:sz="2" w:space="0" w:color="0077D4"/>
              <w:bottom w:val="single" w:sz="4" w:space="0" w:color="EEBBC0"/>
              <w:right w:val="single" w:sz="2" w:space="0" w:color="FFFFFF"/>
            </w:tcBorders>
            <w:shd w:val="clear" w:color="auto" w:fill="ECF0FA"/>
            <w:noWrap/>
            <w:tcMar>
              <w:top w:w="113" w:type="dxa"/>
              <w:left w:w="113" w:type="dxa"/>
              <w:bottom w:w="0" w:type="dxa"/>
              <w:right w:w="113" w:type="dxa"/>
            </w:tcMar>
            <w:hideMark/>
          </w:tcPr>
          <w:p w14:paraId="5AB51BAE" w14:textId="77777777" w:rsidR="00925A18" w:rsidRPr="00E67A04" w:rsidRDefault="00925A18" w:rsidP="00C62E8C">
            <w:pPr>
              <w:widowControl w:val="0"/>
              <w:autoSpaceDE w:val="0"/>
              <w:autoSpaceDN w:val="0"/>
              <w:adjustRightInd w:val="0"/>
              <w:rPr>
                <w:rFonts w:ascii="Arial" w:eastAsia="Batang" w:hAnsi="Arial" w:cs="Arial"/>
                <w:szCs w:val="22"/>
              </w:rPr>
            </w:pPr>
            <w:r>
              <w:rPr>
                <w:rFonts w:ascii="Arial" w:hAnsi="Arial"/>
              </w:rPr>
              <w:t>Ministères chargés du patrimoine culturel immatériel et/ou autres organisations gouvernementales et non gouvernementales responsables du patrimoine culturel immatériel</w:t>
            </w:r>
          </w:p>
        </w:tc>
      </w:tr>
      <w:tr w:rsidR="00925A18" w:rsidRPr="00423C72" w14:paraId="1389CE9B" w14:textId="77777777" w:rsidTr="00C62E8C">
        <w:tc>
          <w:tcPr>
            <w:tcW w:w="3685" w:type="dxa"/>
            <w:tcBorders>
              <w:top w:val="single" w:sz="4" w:space="0" w:color="EEBBC0"/>
              <w:left w:val="single" w:sz="2" w:space="0" w:color="FFFFFF"/>
              <w:bottom w:val="single" w:sz="2" w:space="0" w:color="FFFFFF"/>
              <w:right w:val="single" w:sz="2" w:space="0" w:color="0077D4"/>
            </w:tcBorders>
            <w:shd w:val="clear" w:color="auto" w:fill="D8E2F4"/>
            <w:noWrap/>
            <w:tcMar>
              <w:top w:w="113" w:type="dxa"/>
              <w:left w:w="113" w:type="dxa"/>
              <w:bottom w:w="0" w:type="dxa"/>
              <w:right w:w="113" w:type="dxa"/>
            </w:tcMar>
            <w:hideMark/>
          </w:tcPr>
          <w:p w14:paraId="55E03E16" w14:textId="77777777" w:rsidR="00925A18" w:rsidRPr="00E67A04" w:rsidRDefault="00925A18" w:rsidP="00C62E8C">
            <w:pPr>
              <w:widowControl w:val="0"/>
              <w:autoSpaceDE w:val="0"/>
              <w:autoSpaceDN w:val="0"/>
              <w:adjustRightInd w:val="0"/>
              <w:rPr>
                <w:rFonts w:ascii="Arial" w:hAnsi="Arial" w:cs="Arial"/>
                <w:b/>
                <w:color w:val="0070C0"/>
                <w:szCs w:val="22"/>
              </w:rPr>
            </w:pPr>
            <w:r>
              <w:rPr>
                <w:rFonts w:ascii="Arial" w:hAnsi="Arial"/>
                <w:b/>
                <w:color w:val="0070C0"/>
              </w:rPr>
              <w:t>Estimation du budget total comprenant les coûts de soutien au programme :</w:t>
            </w:r>
          </w:p>
        </w:tc>
        <w:tc>
          <w:tcPr>
            <w:tcW w:w="5953" w:type="dxa"/>
            <w:tcBorders>
              <w:top w:val="single" w:sz="4" w:space="0" w:color="EEBBC0"/>
              <w:left w:val="single" w:sz="2" w:space="0" w:color="0077D4"/>
              <w:bottom w:val="single" w:sz="2" w:space="0" w:color="FFFFFF"/>
              <w:right w:val="single" w:sz="2" w:space="0" w:color="FFFFFF"/>
            </w:tcBorders>
            <w:shd w:val="clear" w:color="auto" w:fill="ECF0FA"/>
            <w:noWrap/>
            <w:tcMar>
              <w:top w:w="113" w:type="dxa"/>
              <w:left w:w="113" w:type="dxa"/>
              <w:bottom w:w="0" w:type="dxa"/>
              <w:right w:w="113" w:type="dxa"/>
            </w:tcMar>
            <w:hideMark/>
          </w:tcPr>
          <w:p w14:paraId="16BAB3A0" w14:textId="77777777" w:rsidR="00925A18" w:rsidRPr="00E67A04" w:rsidRDefault="00925A18" w:rsidP="00C62E8C">
            <w:pPr>
              <w:widowControl w:val="0"/>
              <w:autoSpaceDE w:val="0"/>
              <w:autoSpaceDN w:val="0"/>
              <w:adjustRightInd w:val="0"/>
              <w:rPr>
                <w:rFonts w:ascii="Arial" w:eastAsia="Batang" w:hAnsi="Arial" w:cs="Arial"/>
                <w:szCs w:val="22"/>
              </w:rPr>
            </w:pPr>
            <w:r>
              <w:rPr>
                <w:rFonts w:ascii="Arial" w:hAnsi="Arial"/>
              </w:rPr>
              <w:t>5 millions de dollars des États-Unis</w:t>
            </w:r>
          </w:p>
        </w:tc>
      </w:tr>
    </w:tbl>
    <w:p w14:paraId="28C7BCBE" w14:textId="77777777" w:rsidR="00925A18" w:rsidRPr="00E67A04" w:rsidRDefault="00925A18" w:rsidP="00925A18">
      <w:pPr>
        <w:shd w:val="clear" w:color="auto" w:fill="0077D4"/>
        <w:tabs>
          <w:tab w:val="left" w:pos="567"/>
        </w:tabs>
        <w:snapToGrid w:val="0"/>
        <w:spacing w:before="240"/>
        <w:rPr>
          <w:rFonts w:ascii="Arial" w:eastAsia="Calibri" w:hAnsi="Arial" w:cs="Arial"/>
          <w:color w:val="FFFFFF"/>
          <w:sz w:val="28"/>
          <w:szCs w:val="28"/>
        </w:rPr>
      </w:pPr>
      <w:r>
        <w:rPr>
          <w:rFonts w:ascii="Arial" w:hAnsi="Arial"/>
          <w:color w:val="FFFFFF"/>
          <w:sz w:val="28"/>
        </w:rPr>
        <w:t>Principe et objectif global</w:t>
      </w:r>
    </w:p>
    <w:p w14:paraId="11A093DA" w14:textId="54C98896" w:rsidR="00925A18" w:rsidRDefault="00925A18" w:rsidP="00925A18">
      <w:pPr>
        <w:spacing w:before="120"/>
        <w:jc w:val="both"/>
        <w:rPr>
          <w:rFonts w:ascii="Arial" w:eastAsia="Calibri" w:hAnsi="Arial" w:cs="Arial"/>
          <w:szCs w:val="22"/>
        </w:rPr>
      </w:pPr>
      <w:r>
        <w:rPr>
          <w:rFonts w:ascii="Arial" w:hAnsi="Arial"/>
          <w:noProof/>
        </w:rPr>
        <w:drawing>
          <wp:anchor distT="0" distB="0" distL="114300" distR="114300" simplePos="0" relativeHeight="251667456" behindDoc="1" locked="0" layoutInCell="1" allowOverlap="1" wp14:anchorId="552841B8" wp14:editId="046DFFF2">
            <wp:simplePos x="0" y="0"/>
            <wp:positionH relativeFrom="margin">
              <wp:posOffset>3268345</wp:posOffset>
            </wp:positionH>
            <wp:positionV relativeFrom="paragraph">
              <wp:posOffset>131445</wp:posOffset>
            </wp:positionV>
            <wp:extent cx="2807335" cy="1734820"/>
            <wp:effectExtent l="133350" t="114300" r="145415" b="170180"/>
            <wp:wrapTight wrapText="bothSides">
              <wp:wrapPolygon edited="0">
                <wp:start x="-879" y="-1423"/>
                <wp:lineTo x="-1026" y="22059"/>
                <wp:lineTo x="-586" y="23482"/>
                <wp:lineTo x="21986" y="23482"/>
                <wp:lineTo x="22572" y="21821"/>
                <wp:lineTo x="22572" y="2846"/>
                <wp:lineTo x="22279" y="-1423"/>
                <wp:lineTo x="-879" y="-1423"/>
              </wp:wrapPolygon>
            </wp:wrapTight>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07335" cy="17348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Pr>
          <w:rFonts w:ascii="Arial" w:hAnsi="Arial"/>
          <w:noProof/>
        </w:rPr>
        <mc:AlternateContent>
          <mc:Choice Requires="wps">
            <w:drawing>
              <wp:anchor distT="0" distB="0" distL="114300" distR="114300" simplePos="0" relativeHeight="251668480" behindDoc="0" locked="0" layoutInCell="1" allowOverlap="1" wp14:anchorId="0B00A110" wp14:editId="322F947E">
                <wp:simplePos x="0" y="0"/>
                <wp:positionH relativeFrom="margin">
                  <wp:align>right</wp:align>
                </wp:positionH>
                <wp:positionV relativeFrom="paragraph">
                  <wp:posOffset>1921321</wp:posOffset>
                </wp:positionV>
                <wp:extent cx="2881630" cy="149860"/>
                <wp:effectExtent l="0" t="0" r="0" b="2540"/>
                <wp:wrapSquare wrapText="bothSides"/>
                <wp:docPr id="6" name="Text Box 6"/>
                <wp:cNvGraphicFramePr/>
                <a:graphic xmlns:a="http://schemas.openxmlformats.org/drawingml/2006/main">
                  <a:graphicData uri="http://schemas.microsoft.com/office/word/2010/wordprocessingShape">
                    <wps:wsp>
                      <wps:cNvSpPr txBox="1"/>
                      <wps:spPr>
                        <a:xfrm>
                          <a:off x="0" y="0"/>
                          <a:ext cx="2881630" cy="149860"/>
                        </a:xfrm>
                        <a:prstGeom prst="rect">
                          <a:avLst/>
                        </a:prstGeom>
                        <a:solidFill>
                          <a:prstClr val="white"/>
                        </a:solidFill>
                        <a:ln>
                          <a:noFill/>
                        </a:ln>
                      </wps:spPr>
                      <wps:txbx>
                        <w:txbxContent>
                          <w:p w14:paraId="2F2906E9" w14:textId="77777777" w:rsidR="00DC317C" w:rsidRPr="009F04D9" w:rsidRDefault="00DC317C" w:rsidP="00925A18">
                            <w:pPr>
                              <w:pStyle w:val="Caption"/>
                              <w:rPr>
                                <w:rFonts w:ascii="Arial" w:eastAsia="Calibri" w:hAnsi="Arial" w:cs="Arial"/>
                                <w:noProof/>
                                <w:color w:val="0077D4"/>
                              </w:rPr>
                            </w:pPr>
                            <w:r>
                              <w:rPr>
                                <w:color w:val="0077D4"/>
                              </w:rPr>
                              <w:t>© Philippe Bordas / UNESCO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B00A110" id="_x0000_t202" coordsize="21600,21600" o:spt="202" path="m,l,21600r21600,l21600,xe">
                <v:stroke joinstyle="miter"/>
                <v:path gradientshapeok="t" o:connecttype="rect"/>
              </v:shapetype>
              <v:shape id="Text Box 6" o:spid="_x0000_s1026" type="#_x0000_t202" style="position:absolute;left:0;text-align:left;margin-left:175.7pt;margin-top:151.3pt;width:226.9pt;height:11.8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" stroked="f">
                <v:textbox inset="0,0,0,0">
                  <w:txbxContent>
                    <w:p w14:paraId="2F2906E9" w14:textId="77777777" w:rsidR="00DC317C" w:rsidRPr="009F04D9" w:rsidRDefault="00DC317C" w:rsidP="00925A18">
                      <w:pPr>
                        <w:pStyle w:val="Caption"/>
                        <w:rPr>
                          <w:rFonts w:ascii="Arial" w:eastAsia="Calibri" w:hAnsi="Arial" w:cs="Arial"/>
                          <w:noProof/>
                          <w:color w:val="0077D4"/>
                        </w:rPr>
                      </w:pPr>
                      <w:r>
                        <w:rPr>
                          <w:color w:val="0077D4"/>
                        </w:rPr>
                        <w:t>© Philippe Bordas / UNESCO</w:t>
                      </w:r>
                    </w:p>
                  </w:txbxContent>
                </v:textbox>
                <w10:wrap type="square" anchorx="margin"/>
              </v:shape>
            </w:pict>
          </mc:Fallback>
        </mc:AlternateContent>
      </w:r>
      <w:r>
        <w:rPr>
          <w:rFonts w:ascii="Arial" w:hAnsi="Arial"/>
        </w:rPr>
        <w:t>Fort d</w:t>
      </w:r>
      <w:r w:rsidR="00C62E8C">
        <w:rPr>
          <w:rFonts w:ascii="Arial" w:hAnsi="Arial"/>
        </w:rPr>
        <w:t>’</w:t>
      </w:r>
      <w:r>
        <w:rPr>
          <w:rFonts w:ascii="Arial" w:hAnsi="Arial"/>
        </w:rPr>
        <w:t>une décennie d</w:t>
      </w:r>
      <w:r w:rsidR="00C62E8C">
        <w:rPr>
          <w:rFonts w:ascii="Arial" w:hAnsi="Arial"/>
        </w:rPr>
        <w:t>’</w:t>
      </w:r>
      <w:r>
        <w:rPr>
          <w:rFonts w:ascii="Arial" w:hAnsi="Arial"/>
        </w:rPr>
        <w:t xml:space="preserve">expérience en matière de formation en présentiel, le programme mondial de renforcement des capacités fait désormais partie intégrante de la mise en œuvre de la Convention de 2003 pour la sauvegarde du patrimoine culturel immatériel au niveau national. </w:t>
      </w:r>
      <w:r>
        <w:rPr>
          <w:rFonts w:ascii="Arial" w:hAnsi="Arial"/>
          <w:i/>
        </w:rPr>
        <w:t>« (...) le renforcement des capacités est au cœur de ce que l</w:t>
      </w:r>
      <w:r w:rsidR="00C62E8C">
        <w:rPr>
          <w:rFonts w:ascii="Arial" w:hAnsi="Arial"/>
          <w:i/>
        </w:rPr>
        <w:t>’</w:t>
      </w:r>
      <w:r>
        <w:rPr>
          <w:rFonts w:ascii="Arial" w:hAnsi="Arial"/>
          <w:i/>
        </w:rPr>
        <w:t xml:space="preserve">UNESCO fait et devrait faire », </w:t>
      </w:r>
      <w:r>
        <w:rPr>
          <w:rFonts w:ascii="Arial" w:hAnsi="Arial"/>
        </w:rPr>
        <w:t>souligne l</w:t>
      </w:r>
      <w:r w:rsidR="00C62E8C">
        <w:rPr>
          <w:rFonts w:ascii="Arial" w:hAnsi="Arial"/>
        </w:rPr>
        <w:t>’</w:t>
      </w:r>
      <w:r>
        <w:rPr>
          <w:rFonts w:ascii="Arial" w:hAnsi="Arial"/>
        </w:rPr>
        <w:t>évaluation du Service d</w:t>
      </w:r>
      <w:r w:rsidR="00C62E8C">
        <w:rPr>
          <w:rFonts w:ascii="Arial" w:hAnsi="Arial"/>
        </w:rPr>
        <w:t>’</w:t>
      </w:r>
      <w:r>
        <w:rPr>
          <w:rFonts w:ascii="Arial" w:hAnsi="Arial"/>
        </w:rPr>
        <w:t>évaluation et d</w:t>
      </w:r>
      <w:r w:rsidR="00C62E8C">
        <w:rPr>
          <w:rFonts w:ascii="Arial" w:hAnsi="Arial"/>
        </w:rPr>
        <w:t>’</w:t>
      </w:r>
      <w:r>
        <w:rPr>
          <w:rFonts w:ascii="Arial" w:hAnsi="Arial"/>
        </w:rPr>
        <w:t xml:space="preserve">audit, 2021 (voir document </w:t>
      </w:r>
      <w:hyperlink r:id="rId36" w:history="1">
        <w:r w:rsidRPr="0005628D">
          <w:rPr>
            <w:rStyle w:val="Hyperlink"/>
            <w:rFonts w:ascii="Arial" w:hAnsi="Arial"/>
          </w:rPr>
          <w:t>LHE/21/16.COM</w:t>
        </w:r>
        <w:r w:rsidR="00757123" w:rsidRPr="0005628D">
          <w:rPr>
            <w:rStyle w:val="Hyperlink"/>
            <w:rFonts w:ascii="Arial" w:hAnsi="Arial"/>
            <w:i/>
          </w:rPr>
          <w:t> </w:t>
        </w:r>
        <w:r w:rsidRPr="0005628D">
          <w:rPr>
            <w:rStyle w:val="Hyperlink"/>
            <w:rFonts w:ascii="Arial" w:hAnsi="Arial"/>
          </w:rPr>
          <w:t>10</w:t>
        </w:r>
      </w:hyperlink>
      <w:r w:rsidRPr="0005628D">
        <w:rPr>
          <w:rFonts w:ascii="Arial" w:hAnsi="Arial"/>
        </w:rPr>
        <w:t>).</w:t>
      </w:r>
      <w:r>
        <w:rPr>
          <w:rFonts w:ascii="Arial" w:hAnsi="Arial"/>
        </w:rPr>
        <w:t xml:space="preserve"> L</w:t>
      </w:r>
      <w:r w:rsidR="00C62E8C">
        <w:rPr>
          <w:rFonts w:ascii="Arial" w:hAnsi="Arial"/>
        </w:rPr>
        <w:t>’</w:t>
      </w:r>
      <w:r>
        <w:rPr>
          <w:rFonts w:ascii="Arial" w:hAnsi="Arial"/>
        </w:rPr>
        <w:t>émergence de la crise du COVID-19 et les restrictions qui y sont liées ont clairement montré que le programme de renforcement des capacités devait s</w:t>
      </w:r>
      <w:r w:rsidR="00C62E8C">
        <w:rPr>
          <w:rFonts w:ascii="Arial" w:hAnsi="Arial"/>
        </w:rPr>
        <w:t>’</w:t>
      </w:r>
      <w:r>
        <w:rPr>
          <w:rFonts w:ascii="Arial" w:hAnsi="Arial"/>
        </w:rPr>
        <w:t>adapter, en recherchant des moyens créatifs et innovants pour exécuter le programme dans un environnement en ligne. Le programme a piloté avec succès de nouveaux formats d</w:t>
      </w:r>
      <w:r w:rsidR="00C62E8C">
        <w:rPr>
          <w:rFonts w:ascii="Arial" w:hAnsi="Arial"/>
        </w:rPr>
        <w:t>’</w:t>
      </w:r>
      <w:r>
        <w:rPr>
          <w:rFonts w:ascii="Arial" w:hAnsi="Arial"/>
        </w:rPr>
        <w:t>exécution en ligne et hybrides. En s</w:t>
      </w:r>
      <w:r w:rsidR="00C62E8C">
        <w:rPr>
          <w:rFonts w:ascii="Arial" w:hAnsi="Arial"/>
        </w:rPr>
        <w:t>’</w:t>
      </w:r>
      <w:r>
        <w:rPr>
          <w:rFonts w:ascii="Arial" w:hAnsi="Arial"/>
        </w:rPr>
        <w:t>appuyant sur ces enseignements, le programme fait actuellement l</w:t>
      </w:r>
      <w:r w:rsidR="00C62E8C">
        <w:rPr>
          <w:rFonts w:ascii="Arial" w:hAnsi="Arial"/>
        </w:rPr>
        <w:t>’</w:t>
      </w:r>
      <w:r>
        <w:rPr>
          <w:rFonts w:ascii="Arial" w:hAnsi="Arial"/>
        </w:rPr>
        <w:t>objet d</w:t>
      </w:r>
      <w:r w:rsidR="00C62E8C">
        <w:rPr>
          <w:rFonts w:ascii="Arial" w:hAnsi="Arial"/>
        </w:rPr>
        <w:t>’</w:t>
      </w:r>
      <w:r>
        <w:rPr>
          <w:rFonts w:ascii="Arial" w:hAnsi="Arial"/>
        </w:rPr>
        <w:t>une réorientation afin d</w:t>
      </w:r>
      <w:r w:rsidR="00C62E8C">
        <w:rPr>
          <w:rFonts w:ascii="Arial" w:hAnsi="Arial"/>
        </w:rPr>
        <w:t>’</w:t>
      </w:r>
      <w:r>
        <w:rPr>
          <w:rFonts w:ascii="Arial" w:hAnsi="Arial"/>
        </w:rPr>
        <w:t>inclure une approche d</w:t>
      </w:r>
      <w:r w:rsidR="00C62E8C">
        <w:rPr>
          <w:rFonts w:ascii="Arial" w:hAnsi="Arial"/>
        </w:rPr>
        <w:t>’</w:t>
      </w:r>
      <w:r>
        <w:rPr>
          <w:rFonts w:ascii="Arial" w:hAnsi="Arial"/>
        </w:rPr>
        <w:t>exécution multimodale, offrant ainsi des possibilités pour étendre la portée du programme à de nouveaux publics et exploiter une pédagogie innovante, tout en assurant sa rentabilité (</w:t>
      </w:r>
      <w:hyperlink r:id="rId37" w:history="1">
        <w:r>
          <w:rPr>
            <w:rStyle w:val="Hyperlink"/>
            <w:rFonts w:ascii="Arial" w:hAnsi="Arial"/>
          </w:rPr>
          <w:t>LHE/20/8.GA/7 Rev.</w:t>
        </w:r>
        <w:r>
          <w:rPr>
            <w:rStyle w:val="Hyperlink"/>
            <w:rFonts w:ascii="Arial" w:hAnsi="Arial"/>
            <w:color w:val="auto"/>
            <w:u w:val="none"/>
          </w:rPr>
          <w:t>)</w:t>
        </w:r>
      </w:hyperlink>
      <w:r>
        <w:rPr>
          <w:rFonts w:ascii="Arial" w:hAnsi="Arial"/>
        </w:rPr>
        <w:t>.</w:t>
      </w:r>
    </w:p>
    <w:p w14:paraId="5854C8F7" w14:textId="77777777" w:rsidR="00925A18" w:rsidRPr="00A41EB7" w:rsidRDefault="00925A18" w:rsidP="0051163A">
      <w:pPr>
        <w:keepNext/>
        <w:spacing w:before="240"/>
        <w:jc w:val="both"/>
        <w:rPr>
          <w:rFonts w:ascii="Arial" w:eastAsia="Calibri" w:hAnsi="Arial" w:cs="Arial"/>
          <w:b/>
          <w:bCs/>
          <w:i/>
          <w:iCs/>
          <w:szCs w:val="22"/>
        </w:rPr>
      </w:pPr>
      <w:r>
        <w:rPr>
          <w:rFonts w:ascii="Arial" w:hAnsi="Arial"/>
          <w:b/>
          <w:i/>
        </w:rPr>
        <w:lastRenderedPageBreak/>
        <w:t>Avancement et réalisations</w:t>
      </w:r>
    </w:p>
    <w:p w14:paraId="47AEA377" w14:textId="639D1D1F" w:rsidR="00925A18" w:rsidRDefault="00925A18" w:rsidP="00925A18">
      <w:pPr>
        <w:spacing w:before="120"/>
        <w:jc w:val="both"/>
        <w:rPr>
          <w:rFonts w:ascii="Arial" w:eastAsia="Calibri" w:hAnsi="Arial" w:cs="Arial"/>
          <w:szCs w:val="22"/>
        </w:rPr>
      </w:pPr>
      <w:r>
        <w:rPr>
          <w:rFonts w:ascii="Arial" w:hAnsi="Arial"/>
        </w:rPr>
        <w:t>Le programme a continué à traiter les actions essentielles de sauvegarde du patrimoine vivant tout en avançant dans le traitement des nouveaux besoins de formation. Une approche spécifique de renforcement des capacités a été élaborée pour le déploiement du mécanisme réformé de soumission des rapports périodiques, et mise en œuvre dans le premier cycle régional de soumission des rapports (Amérique latine et Caraïbes, Europe). Concernant le champ thématique, le programme a affiné et a piloté des approches de formation dans divers domaines.</w:t>
      </w:r>
    </w:p>
    <w:tbl>
      <w:tblPr>
        <w:tblStyle w:val="TableGrid"/>
        <w:tblW w:w="0" w:type="auto"/>
        <w:tblBorders>
          <w:top w:val="dotted" w:sz="4" w:space="0" w:color="8064A2" w:themeColor="accent4"/>
          <w:left w:val="dotted" w:sz="4" w:space="0" w:color="8064A2" w:themeColor="accent4"/>
          <w:bottom w:val="none" w:sz="0" w:space="0" w:color="auto"/>
          <w:right w:val="dotted" w:sz="4" w:space="0" w:color="8064A2" w:themeColor="accent4"/>
          <w:insideH w:val="dotted" w:sz="4" w:space="0" w:color="8064A2" w:themeColor="accent4"/>
          <w:insideV w:val="dotted" w:sz="4" w:space="0" w:color="8064A2" w:themeColor="accent4"/>
        </w:tblBorders>
        <w:shd w:val="clear" w:color="auto" w:fill="DBE5F1" w:themeFill="accent1" w:themeFillTint="33"/>
        <w:tblLook w:val="04A0" w:firstRow="1" w:lastRow="0" w:firstColumn="1" w:lastColumn="0" w:noHBand="0" w:noVBand="1"/>
      </w:tblPr>
      <w:tblGrid>
        <w:gridCol w:w="5035"/>
        <w:gridCol w:w="4590"/>
      </w:tblGrid>
      <w:tr w:rsidR="00925A18" w14:paraId="2836E85B" w14:textId="77777777" w:rsidTr="00C62E8C">
        <w:trPr>
          <w:trHeight w:val="273"/>
        </w:trPr>
        <w:tc>
          <w:tcPr>
            <w:tcW w:w="5035" w:type="dxa"/>
            <w:shd w:val="clear" w:color="auto" w:fill="95B3D7" w:themeFill="accent1" w:themeFillTint="99"/>
            <w:vAlign w:val="center"/>
          </w:tcPr>
          <w:p w14:paraId="11C1F01D" w14:textId="77777777" w:rsidR="00925A18" w:rsidRPr="00A41EB7" w:rsidRDefault="00925A18" w:rsidP="00C62E8C">
            <w:pPr>
              <w:spacing w:after="0"/>
              <w:jc w:val="center"/>
              <w:rPr>
                <w:rFonts w:ascii="Arial" w:eastAsia="Calibri" w:hAnsi="Arial" w:cs="Arial"/>
                <w:b/>
                <w:bCs/>
                <w:sz w:val="20"/>
                <w:szCs w:val="20"/>
              </w:rPr>
            </w:pPr>
            <w:r>
              <w:rPr>
                <w:rFonts w:ascii="Arial" w:hAnsi="Arial"/>
                <w:b/>
                <w:sz w:val="20"/>
              </w:rPr>
              <w:t>Actions principales</w:t>
            </w:r>
          </w:p>
        </w:tc>
        <w:tc>
          <w:tcPr>
            <w:tcW w:w="4590" w:type="dxa"/>
            <w:shd w:val="clear" w:color="auto" w:fill="95B3D7" w:themeFill="accent1" w:themeFillTint="99"/>
            <w:vAlign w:val="center"/>
          </w:tcPr>
          <w:p w14:paraId="582540E1" w14:textId="77777777" w:rsidR="00925A18" w:rsidRPr="00A41EB7" w:rsidRDefault="00925A18" w:rsidP="00C62E8C">
            <w:pPr>
              <w:spacing w:after="0"/>
              <w:jc w:val="center"/>
              <w:rPr>
                <w:rFonts w:ascii="Arial" w:eastAsia="Calibri" w:hAnsi="Arial" w:cs="Arial"/>
                <w:b/>
                <w:bCs/>
                <w:sz w:val="20"/>
                <w:szCs w:val="20"/>
              </w:rPr>
            </w:pPr>
            <w:r>
              <w:rPr>
                <w:rFonts w:ascii="Arial" w:hAnsi="Arial"/>
                <w:b/>
                <w:sz w:val="20"/>
              </w:rPr>
              <w:t>Domaines thématiques à ce jour</w:t>
            </w:r>
          </w:p>
        </w:tc>
      </w:tr>
      <w:tr w:rsidR="00925A18" w14:paraId="6BE06A30" w14:textId="77777777" w:rsidTr="00C62E8C">
        <w:trPr>
          <w:trHeight w:val="1191"/>
        </w:trPr>
        <w:tc>
          <w:tcPr>
            <w:tcW w:w="5035" w:type="dxa"/>
            <w:shd w:val="clear" w:color="auto" w:fill="DBE5F1" w:themeFill="accent1" w:themeFillTint="33"/>
          </w:tcPr>
          <w:p w14:paraId="5D7CC51F" w14:textId="77777777" w:rsidR="00925A18" w:rsidRPr="00ED3B52" w:rsidRDefault="00925A18" w:rsidP="00925A18">
            <w:pPr>
              <w:pStyle w:val="ListParagraph"/>
              <w:numPr>
                <w:ilvl w:val="0"/>
                <w:numId w:val="23"/>
              </w:numPr>
              <w:spacing w:after="0"/>
              <w:ind w:left="600" w:hanging="240"/>
              <w:rPr>
                <w:rFonts w:eastAsia="Calibri"/>
                <w:sz w:val="20"/>
                <w:szCs w:val="20"/>
              </w:rPr>
            </w:pPr>
            <w:r>
              <w:rPr>
                <w:sz w:val="20"/>
              </w:rPr>
              <w:t>mise en œuvre de la Convention</w:t>
            </w:r>
          </w:p>
          <w:p w14:paraId="16A31CD7" w14:textId="50888353" w:rsidR="00925A18" w:rsidRPr="00ED3B52" w:rsidRDefault="00925A18" w:rsidP="00925A18">
            <w:pPr>
              <w:pStyle w:val="ListParagraph"/>
              <w:numPr>
                <w:ilvl w:val="0"/>
                <w:numId w:val="23"/>
              </w:numPr>
              <w:spacing w:after="0"/>
              <w:ind w:left="600" w:hanging="240"/>
              <w:rPr>
                <w:rFonts w:eastAsia="Calibri"/>
                <w:sz w:val="20"/>
                <w:szCs w:val="20"/>
              </w:rPr>
            </w:pPr>
            <w:r>
              <w:rPr>
                <w:sz w:val="20"/>
              </w:rPr>
              <w:t>réalisation d</w:t>
            </w:r>
            <w:r w:rsidR="00C62E8C">
              <w:rPr>
                <w:sz w:val="20"/>
              </w:rPr>
              <w:t>’</w:t>
            </w:r>
            <w:r>
              <w:rPr>
                <w:sz w:val="20"/>
              </w:rPr>
              <w:t>un inventaire par les communautés.</w:t>
            </w:r>
          </w:p>
          <w:p w14:paraId="0A963123" w14:textId="77777777" w:rsidR="00925A18" w:rsidRPr="00ED3B52" w:rsidRDefault="00925A18" w:rsidP="00925A18">
            <w:pPr>
              <w:pStyle w:val="ListParagraph"/>
              <w:numPr>
                <w:ilvl w:val="0"/>
                <w:numId w:val="23"/>
              </w:numPr>
              <w:spacing w:after="0"/>
              <w:ind w:left="600" w:hanging="240"/>
              <w:rPr>
                <w:rFonts w:eastAsia="Calibri"/>
                <w:sz w:val="20"/>
                <w:szCs w:val="20"/>
              </w:rPr>
            </w:pPr>
            <w:r>
              <w:rPr>
                <w:sz w:val="20"/>
              </w:rPr>
              <w:t xml:space="preserve">plans de sauvegarde </w:t>
            </w:r>
          </w:p>
          <w:p w14:paraId="3EE7B4B3" w14:textId="77777777" w:rsidR="00925A18" w:rsidRPr="00ED3B52" w:rsidRDefault="00925A18" w:rsidP="00925A18">
            <w:pPr>
              <w:pStyle w:val="ListParagraph"/>
              <w:numPr>
                <w:ilvl w:val="0"/>
                <w:numId w:val="23"/>
              </w:numPr>
              <w:spacing w:after="0"/>
              <w:ind w:left="600" w:hanging="240"/>
              <w:rPr>
                <w:rFonts w:eastAsia="Calibri"/>
                <w:sz w:val="20"/>
                <w:szCs w:val="20"/>
              </w:rPr>
            </w:pPr>
            <w:r>
              <w:rPr>
                <w:sz w:val="20"/>
              </w:rPr>
              <w:t>inscriptions et assistance internationale</w:t>
            </w:r>
          </w:p>
          <w:p w14:paraId="5A0C1E94" w14:textId="77777777" w:rsidR="00925A18" w:rsidRPr="00ED3B52" w:rsidRDefault="00925A18" w:rsidP="00925A18">
            <w:pPr>
              <w:pStyle w:val="ListParagraph"/>
              <w:numPr>
                <w:ilvl w:val="0"/>
                <w:numId w:val="23"/>
              </w:numPr>
              <w:spacing w:after="0"/>
              <w:ind w:left="600" w:hanging="240"/>
              <w:rPr>
                <w:rFonts w:eastAsia="Calibri"/>
                <w:sz w:val="20"/>
                <w:szCs w:val="20"/>
              </w:rPr>
            </w:pPr>
            <w:r>
              <w:rPr>
                <w:sz w:val="20"/>
              </w:rPr>
              <w:t>cadre global de résultats &amp; rapports périodiques associés</w:t>
            </w:r>
          </w:p>
        </w:tc>
        <w:tc>
          <w:tcPr>
            <w:tcW w:w="4590" w:type="dxa"/>
            <w:shd w:val="clear" w:color="auto" w:fill="DBE5F1" w:themeFill="accent1" w:themeFillTint="33"/>
          </w:tcPr>
          <w:p w14:paraId="1DFDEEA8" w14:textId="77777777" w:rsidR="00925A18" w:rsidRPr="00ED3B52" w:rsidRDefault="00925A18" w:rsidP="00925A18">
            <w:pPr>
              <w:pStyle w:val="ListParagraph"/>
              <w:numPr>
                <w:ilvl w:val="0"/>
                <w:numId w:val="24"/>
              </w:numPr>
              <w:spacing w:after="0"/>
              <w:ind w:left="600" w:hanging="240"/>
              <w:rPr>
                <w:rFonts w:eastAsia="Calibri"/>
                <w:sz w:val="20"/>
                <w:szCs w:val="20"/>
              </w:rPr>
            </w:pPr>
            <w:r>
              <w:rPr>
                <w:sz w:val="20"/>
              </w:rPr>
              <w:t>éducation</w:t>
            </w:r>
          </w:p>
          <w:p w14:paraId="31B9632C" w14:textId="77777777" w:rsidR="00925A18" w:rsidRPr="00ED3B52" w:rsidRDefault="00925A18" w:rsidP="00925A18">
            <w:pPr>
              <w:pStyle w:val="ListParagraph"/>
              <w:numPr>
                <w:ilvl w:val="0"/>
                <w:numId w:val="24"/>
              </w:numPr>
              <w:spacing w:after="0"/>
              <w:ind w:left="600" w:hanging="240"/>
              <w:rPr>
                <w:rFonts w:eastAsia="Calibri"/>
                <w:sz w:val="20"/>
                <w:szCs w:val="20"/>
              </w:rPr>
            </w:pPr>
            <w:r>
              <w:rPr>
                <w:sz w:val="20"/>
              </w:rPr>
              <w:t>développement durable</w:t>
            </w:r>
          </w:p>
          <w:p w14:paraId="301E550B" w14:textId="77777777" w:rsidR="00925A18" w:rsidRPr="00ED3B52" w:rsidRDefault="00925A18" w:rsidP="00925A18">
            <w:pPr>
              <w:pStyle w:val="ListParagraph"/>
              <w:numPr>
                <w:ilvl w:val="0"/>
                <w:numId w:val="24"/>
              </w:numPr>
              <w:spacing w:after="0"/>
              <w:ind w:left="600" w:hanging="240"/>
              <w:rPr>
                <w:rFonts w:eastAsia="Calibri"/>
                <w:sz w:val="20"/>
                <w:szCs w:val="20"/>
              </w:rPr>
            </w:pPr>
            <w:r>
              <w:rPr>
                <w:sz w:val="20"/>
              </w:rPr>
              <w:t>genre</w:t>
            </w:r>
          </w:p>
          <w:p w14:paraId="16B15A78" w14:textId="77777777" w:rsidR="00925A18" w:rsidRPr="00ED3B52" w:rsidRDefault="00925A18" w:rsidP="00925A18">
            <w:pPr>
              <w:pStyle w:val="ListParagraph"/>
              <w:numPr>
                <w:ilvl w:val="0"/>
                <w:numId w:val="24"/>
              </w:numPr>
              <w:spacing w:after="0"/>
              <w:ind w:left="600" w:hanging="240"/>
              <w:rPr>
                <w:rFonts w:eastAsia="Calibri"/>
                <w:sz w:val="20"/>
                <w:szCs w:val="20"/>
              </w:rPr>
            </w:pPr>
            <w:r>
              <w:rPr>
                <w:sz w:val="20"/>
              </w:rPr>
              <w:t>urgences</w:t>
            </w:r>
          </w:p>
          <w:p w14:paraId="2CE86E69" w14:textId="77777777" w:rsidR="00925A18" w:rsidRPr="00ED3B52" w:rsidRDefault="00925A18" w:rsidP="00925A18">
            <w:pPr>
              <w:pStyle w:val="ListParagraph"/>
              <w:numPr>
                <w:ilvl w:val="0"/>
                <w:numId w:val="24"/>
              </w:numPr>
              <w:spacing w:after="0"/>
              <w:ind w:left="600" w:hanging="240"/>
              <w:rPr>
                <w:rFonts w:eastAsia="Calibri"/>
                <w:sz w:val="20"/>
                <w:szCs w:val="20"/>
              </w:rPr>
            </w:pPr>
            <w:r>
              <w:rPr>
                <w:sz w:val="20"/>
              </w:rPr>
              <w:t>contextes urbains</w:t>
            </w:r>
          </w:p>
        </w:tc>
      </w:tr>
    </w:tbl>
    <w:p w14:paraId="1B56AE8C" w14:textId="2E765309" w:rsidR="00925A18" w:rsidRDefault="00925A18" w:rsidP="00925A18">
      <w:pPr>
        <w:tabs>
          <w:tab w:val="left" w:pos="851"/>
        </w:tabs>
        <w:snapToGrid w:val="0"/>
        <w:spacing w:before="120"/>
        <w:jc w:val="both"/>
        <w:rPr>
          <w:rFonts w:ascii="Arial" w:hAnsi="Arial"/>
        </w:rPr>
      </w:pPr>
      <w:r>
        <w:rPr>
          <w:rFonts w:ascii="Arial" w:hAnsi="Arial"/>
        </w:rPr>
        <w:t xml:space="preserve">Au cours des quatre dernières années, le programme a atteint plus de </w:t>
      </w:r>
      <w:bookmarkStart w:id="2" w:name="_Hlk85399530"/>
      <w:r>
        <w:rPr>
          <w:rFonts w:ascii="Arial" w:hAnsi="Arial"/>
        </w:rPr>
        <w:t>120 pays et permis de former plus de 2 400 personnes issues du gouvernement, de la société civile et des communautés. Les premières informations des rapports et des évaluations de projets suggèrent que le renforcement des capacités dans ces domaines ainsi que les services consultatifs fournis pour l</w:t>
      </w:r>
      <w:r w:rsidR="00C62E8C">
        <w:rPr>
          <w:rFonts w:ascii="Arial" w:hAnsi="Arial"/>
        </w:rPr>
        <w:t>’</w:t>
      </w:r>
      <w:r>
        <w:rPr>
          <w:rFonts w:ascii="Arial" w:hAnsi="Arial"/>
        </w:rPr>
        <w:t>analyse et la révision des politiques contribuent effectivement à la mise en place de l</w:t>
      </w:r>
      <w:r w:rsidR="00C62E8C">
        <w:rPr>
          <w:rFonts w:ascii="Arial" w:hAnsi="Arial"/>
        </w:rPr>
        <w:t>’</w:t>
      </w:r>
      <w:r>
        <w:rPr>
          <w:rFonts w:ascii="Arial" w:hAnsi="Arial"/>
        </w:rPr>
        <w:t xml:space="preserve">environnement professionnel et institutionnel nécessaire pour soutenir les groupes et les communautés dans leurs efforts de transmission et de </w:t>
      </w:r>
      <w:r w:rsidRPr="00757123">
        <w:rPr>
          <w:rFonts w:ascii="Arial" w:hAnsi="Arial"/>
        </w:rPr>
        <w:t>recréation</w:t>
      </w:r>
      <w:r>
        <w:rPr>
          <w:rFonts w:ascii="Arial" w:hAnsi="Arial"/>
        </w:rPr>
        <w:t xml:space="preserve"> du PCI.</w:t>
      </w:r>
    </w:p>
    <w:p w14:paraId="6772F51E" w14:textId="77777777" w:rsidR="00925A18" w:rsidRPr="00A41EB7" w:rsidRDefault="00925A18" w:rsidP="000660D9">
      <w:pPr>
        <w:tabs>
          <w:tab w:val="left" w:pos="851"/>
        </w:tabs>
        <w:snapToGrid w:val="0"/>
        <w:spacing w:before="240"/>
        <w:jc w:val="both"/>
        <w:rPr>
          <w:rFonts w:ascii="Arial" w:hAnsi="Arial" w:cs="Arial"/>
          <w:b/>
          <w:bCs/>
          <w:i/>
          <w:iCs/>
        </w:rPr>
      </w:pPr>
      <w:r>
        <w:rPr>
          <w:rFonts w:ascii="Arial" w:hAnsi="Arial"/>
          <w:b/>
          <w:i/>
        </w:rPr>
        <w:t>Défis et voies à suivre</w:t>
      </w:r>
    </w:p>
    <w:p w14:paraId="40326BF2" w14:textId="21F15522" w:rsidR="00925A18" w:rsidRPr="00A41EB7" w:rsidRDefault="00925A18" w:rsidP="00925A18">
      <w:pPr>
        <w:tabs>
          <w:tab w:val="left" w:pos="851"/>
        </w:tabs>
        <w:snapToGrid w:val="0"/>
        <w:jc w:val="both"/>
        <w:rPr>
          <w:rFonts w:ascii="Arial" w:hAnsi="Arial" w:cs="Arial"/>
        </w:rPr>
      </w:pPr>
      <w:r>
        <w:rPr>
          <w:rFonts w:ascii="Arial" w:hAnsi="Arial"/>
        </w:rPr>
        <w:t>Si l</w:t>
      </w:r>
      <w:r w:rsidR="00C62E8C">
        <w:rPr>
          <w:rFonts w:ascii="Arial" w:hAnsi="Arial"/>
        </w:rPr>
        <w:t>’</w:t>
      </w:r>
      <w:r>
        <w:rPr>
          <w:rFonts w:ascii="Arial" w:hAnsi="Arial"/>
        </w:rPr>
        <w:t>évaluation 2021 de l</w:t>
      </w:r>
      <w:r w:rsidR="00C62E8C">
        <w:rPr>
          <w:rFonts w:ascii="Arial" w:hAnsi="Arial"/>
        </w:rPr>
        <w:t>’</w:t>
      </w:r>
      <w:r>
        <w:rPr>
          <w:rFonts w:ascii="Arial" w:hAnsi="Arial"/>
        </w:rPr>
        <w:t xml:space="preserve">IOS a encore confirmé le caractère central du programme mondial de renforcement des capacités pour la mise en œuvre de la </w:t>
      </w:r>
      <w:r w:rsidR="00757123">
        <w:rPr>
          <w:rFonts w:ascii="Arial" w:hAnsi="Arial"/>
        </w:rPr>
        <w:t>C</w:t>
      </w:r>
      <w:r>
        <w:rPr>
          <w:rFonts w:ascii="Arial" w:hAnsi="Arial"/>
        </w:rPr>
        <w:t>onvention, le contexte et les conditions de mise en œuvre du programme évoluent. La demande croissante et continue de services de renforcement des capacités s</w:t>
      </w:r>
      <w:r w:rsidR="00C62E8C">
        <w:rPr>
          <w:rFonts w:ascii="Arial" w:hAnsi="Arial"/>
        </w:rPr>
        <w:t>’</w:t>
      </w:r>
      <w:r>
        <w:rPr>
          <w:rFonts w:ascii="Arial" w:hAnsi="Arial"/>
        </w:rPr>
        <w:t>exprime individuellement par les États membres</w:t>
      </w:r>
      <w:r w:rsidRPr="00E67A04">
        <w:rPr>
          <w:rFonts w:ascii="Arial" w:hAnsi="Arial" w:cs="Arial"/>
          <w:vertAlign w:val="superscript"/>
          <w:lang w:eastAsia="en-US"/>
        </w:rPr>
        <w:footnoteReference w:id="5"/>
      </w:r>
      <w:r>
        <w:rPr>
          <w:rFonts w:ascii="Arial" w:hAnsi="Arial"/>
        </w:rPr>
        <w:t xml:space="preserve"> et par différents groupes de parties prenantes, tels que les organisations non gouvernementales, les universités et les centres culturels. La demande dépasse la capacité d</w:t>
      </w:r>
      <w:r w:rsidR="00C62E8C">
        <w:rPr>
          <w:rFonts w:ascii="Arial" w:hAnsi="Arial"/>
        </w:rPr>
        <w:t>’</w:t>
      </w:r>
      <w:r>
        <w:rPr>
          <w:rFonts w:ascii="Arial" w:hAnsi="Arial"/>
        </w:rPr>
        <w:t>exécution du programme, qui a du reste vu une baisse de son financement. C</w:t>
      </w:r>
      <w:r w:rsidR="00C62E8C">
        <w:rPr>
          <w:rFonts w:ascii="Arial" w:hAnsi="Arial"/>
        </w:rPr>
        <w:t>’</w:t>
      </w:r>
      <w:r>
        <w:rPr>
          <w:rFonts w:ascii="Arial" w:hAnsi="Arial"/>
        </w:rPr>
        <w:t>est pourquoi il est impératif de développer et de maintenir la collaboration, ainsi que de créer de nouveaux partenariats avec divers acteurs, notamment les centres de catégorie 2, les agences de développement, les institutions du patrimoine, les universités et les chaires universitaires de l</w:t>
      </w:r>
      <w:r w:rsidR="00C62E8C">
        <w:rPr>
          <w:rFonts w:ascii="Arial" w:hAnsi="Arial"/>
        </w:rPr>
        <w:t>’</w:t>
      </w:r>
      <w:r>
        <w:rPr>
          <w:rFonts w:ascii="Arial" w:hAnsi="Arial"/>
        </w:rPr>
        <w:t>UNESCO.</w:t>
      </w:r>
    </w:p>
    <w:tbl>
      <w:tblPr>
        <w:tblStyle w:val="TableGrid"/>
        <w:tblpPr w:leftFromText="180" w:rightFromText="180" w:vertAnchor="page" w:horzAnchor="margin" w:tblpXSpec="right" w:tblpY="11070"/>
        <w:tblW w:w="0" w:type="auto"/>
        <w:tblBorders>
          <w:top w:val="dotted" w:sz="4" w:space="0" w:color="8064A2" w:themeColor="accent4"/>
          <w:left w:val="dotted" w:sz="4" w:space="0" w:color="8064A2" w:themeColor="accent4"/>
          <w:bottom w:val="none" w:sz="0" w:space="0" w:color="auto"/>
          <w:right w:val="dotted" w:sz="4" w:space="0" w:color="8064A2" w:themeColor="accent4"/>
          <w:insideH w:val="dotted" w:sz="4" w:space="0" w:color="8064A2" w:themeColor="accent4"/>
          <w:insideV w:val="dotted" w:sz="4" w:space="0" w:color="8064A2" w:themeColor="accent4"/>
        </w:tblBorders>
        <w:shd w:val="clear" w:color="auto" w:fill="DBE5F1" w:themeFill="accent1" w:themeFillTint="33"/>
        <w:tblLook w:val="04A0" w:firstRow="1" w:lastRow="0" w:firstColumn="1" w:lastColumn="0" w:noHBand="0" w:noVBand="1"/>
      </w:tblPr>
      <w:tblGrid>
        <w:gridCol w:w="3494"/>
      </w:tblGrid>
      <w:tr w:rsidR="00925A18" w14:paraId="3B770EB3" w14:textId="77777777" w:rsidTr="00C62E8C">
        <w:trPr>
          <w:trHeight w:val="353"/>
        </w:trPr>
        <w:tc>
          <w:tcPr>
            <w:tcW w:w="3494" w:type="dxa"/>
            <w:shd w:val="clear" w:color="auto" w:fill="95B3D7" w:themeFill="accent1" w:themeFillTint="99"/>
            <w:vAlign w:val="center"/>
          </w:tcPr>
          <w:p w14:paraId="6963F9E7" w14:textId="77777777" w:rsidR="00925A18" w:rsidRPr="000754EB" w:rsidRDefault="00925A18" w:rsidP="00C62E8C">
            <w:pPr>
              <w:jc w:val="center"/>
              <w:rPr>
                <w:rFonts w:ascii="Arial" w:eastAsia="Calibri" w:hAnsi="Arial" w:cs="Arial"/>
                <w:b/>
                <w:bCs/>
                <w:sz w:val="20"/>
                <w:szCs w:val="20"/>
              </w:rPr>
            </w:pPr>
            <w:r>
              <w:rPr>
                <w:rFonts w:ascii="Arial" w:hAnsi="Arial"/>
                <w:b/>
                <w:sz w:val="20"/>
              </w:rPr>
              <w:t xml:space="preserve">Nouveaux domaines de programme potentiels </w:t>
            </w:r>
          </w:p>
        </w:tc>
      </w:tr>
      <w:tr w:rsidR="00925A18" w14:paraId="337E757D" w14:textId="77777777" w:rsidTr="00C62E8C">
        <w:trPr>
          <w:trHeight w:val="1543"/>
        </w:trPr>
        <w:tc>
          <w:tcPr>
            <w:tcW w:w="3494" w:type="dxa"/>
            <w:shd w:val="clear" w:color="auto" w:fill="DBE5F1" w:themeFill="accent1" w:themeFillTint="33"/>
          </w:tcPr>
          <w:p w14:paraId="617BC590" w14:textId="77777777" w:rsidR="00925A18" w:rsidRPr="00ED3B52" w:rsidRDefault="00925A18" w:rsidP="00C62E8C">
            <w:pPr>
              <w:pStyle w:val="ListParagraph"/>
              <w:numPr>
                <w:ilvl w:val="0"/>
                <w:numId w:val="25"/>
              </w:numPr>
              <w:spacing w:after="0"/>
              <w:rPr>
                <w:rFonts w:eastAsia="Calibri"/>
                <w:sz w:val="20"/>
                <w:szCs w:val="20"/>
              </w:rPr>
            </w:pPr>
            <w:r>
              <w:rPr>
                <w:sz w:val="20"/>
              </w:rPr>
              <w:t>commercialisation du PCI</w:t>
            </w:r>
          </w:p>
          <w:p w14:paraId="64570BAA" w14:textId="77777777" w:rsidR="00925A18" w:rsidRPr="00ED3B52" w:rsidRDefault="00925A18" w:rsidP="00C62E8C">
            <w:pPr>
              <w:pStyle w:val="ListParagraph"/>
              <w:numPr>
                <w:ilvl w:val="0"/>
                <w:numId w:val="25"/>
              </w:numPr>
              <w:spacing w:after="0"/>
              <w:rPr>
                <w:rFonts w:eastAsia="Calibri"/>
                <w:sz w:val="20"/>
                <w:szCs w:val="20"/>
              </w:rPr>
            </w:pPr>
            <w:r>
              <w:rPr>
                <w:sz w:val="20"/>
              </w:rPr>
              <w:t>changement climatique</w:t>
            </w:r>
          </w:p>
          <w:p w14:paraId="7A67573D" w14:textId="77777777" w:rsidR="00925A18" w:rsidRPr="00ED3B52" w:rsidRDefault="00925A18" w:rsidP="00C62E8C">
            <w:pPr>
              <w:pStyle w:val="ListParagraph"/>
              <w:numPr>
                <w:ilvl w:val="0"/>
                <w:numId w:val="25"/>
              </w:numPr>
              <w:spacing w:after="0"/>
              <w:rPr>
                <w:rFonts w:eastAsia="Calibri"/>
                <w:sz w:val="20"/>
                <w:szCs w:val="20"/>
              </w:rPr>
            </w:pPr>
            <w:r>
              <w:rPr>
                <w:sz w:val="20"/>
              </w:rPr>
              <w:t>tourisme durable</w:t>
            </w:r>
          </w:p>
          <w:p w14:paraId="698AC13C" w14:textId="407A6D59" w:rsidR="00925A18" w:rsidRPr="00ED3B52" w:rsidRDefault="00925A18" w:rsidP="00C62E8C">
            <w:pPr>
              <w:pStyle w:val="ListParagraph"/>
              <w:numPr>
                <w:ilvl w:val="0"/>
                <w:numId w:val="25"/>
              </w:numPr>
              <w:tabs>
                <w:tab w:val="clear" w:pos="567"/>
                <w:tab w:val="left" w:pos="607"/>
              </w:tabs>
              <w:spacing w:after="0"/>
              <w:ind w:left="607" w:hanging="247"/>
              <w:rPr>
                <w:rFonts w:eastAsia="Calibri"/>
                <w:sz w:val="20"/>
                <w:szCs w:val="20"/>
              </w:rPr>
            </w:pPr>
            <w:r>
              <w:rPr>
                <w:sz w:val="20"/>
              </w:rPr>
              <w:t>inscriptions dans le cadre du mécanisme d</w:t>
            </w:r>
            <w:r w:rsidR="00C62E8C">
              <w:rPr>
                <w:sz w:val="20"/>
              </w:rPr>
              <w:t>’</w:t>
            </w:r>
            <w:r>
              <w:rPr>
                <w:sz w:val="20"/>
              </w:rPr>
              <w:t>inscription réformé</w:t>
            </w:r>
          </w:p>
          <w:p w14:paraId="0B24013A" w14:textId="77777777" w:rsidR="00925A18" w:rsidRPr="00ED3B52" w:rsidRDefault="00925A18" w:rsidP="00C62E8C">
            <w:pPr>
              <w:pStyle w:val="ListParagraph"/>
              <w:numPr>
                <w:ilvl w:val="0"/>
                <w:numId w:val="25"/>
              </w:numPr>
              <w:spacing w:after="0"/>
              <w:rPr>
                <w:rFonts w:eastAsia="Calibri"/>
                <w:sz w:val="20"/>
                <w:szCs w:val="20"/>
              </w:rPr>
            </w:pPr>
            <w:r>
              <w:rPr>
                <w:sz w:val="20"/>
              </w:rPr>
              <w:t>assistance internationale</w:t>
            </w:r>
          </w:p>
          <w:p w14:paraId="7F4FCD28" w14:textId="77777777" w:rsidR="00925A18" w:rsidRPr="000754EB" w:rsidRDefault="00925A18" w:rsidP="00C62E8C">
            <w:pPr>
              <w:pStyle w:val="ListParagraph"/>
              <w:numPr>
                <w:ilvl w:val="0"/>
                <w:numId w:val="25"/>
              </w:numPr>
              <w:spacing w:after="0"/>
              <w:rPr>
                <w:rFonts w:eastAsia="Calibri"/>
                <w:sz w:val="18"/>
                <w:szCs w:val="18"/>
              </w:rPr>
            </w:pPr>
            <w:r>
              <w:rPr>
                <w:sz w:val="20"/>
              </w:rPr>
              <w:t>autres</w:t>
            </w:r>
          </w:p>
        </w:tc>
      </w:tr>
    </w:tbl>
    <w:p w14:paraId="156DFCED" w14:textId="3BEDA92A" w:rsidR="00925A18" w:rsidRDefault="00925A18" w:rsidP="00925A18">
      <w:pPr>
        <w:tabs>
          <w:tab w:val="left" w:pos="851"/>
        </w:tabs>
        <w:snapToGrid w:val="0"/>
        <w:jc w:val="both"/>
        <w:rPr>
          <w:rFonts w:ascii="Arial" w:hAnsi="Arial" w:cs="Arial"/>
          <w:szCs w:val="22"/>
        </w:rPr>
      </w:pPr>
      <w:r>
        <w:rPr>
          <w:rFonts w:ascii="Arial" w:hAnsi="Arial"/>
        </w:rPr>
        <w:t>La réorientation stratégique en cours du Programme exploitera les possibilités et les atouts de la formation en ligne et en présentiel (modalités mixtes, hybrides et en ligne) afin de répondre à l</w:t>
      </w:r>
      <w:r w:rsidR="00C62E8C">
        <w:rPr>
          <w:rFonts w:ascii="Arial" w:hAnsi="Arial"/>
        </w:rPr>
        <w:t>’</w:t>
      </w:r>
      <w:r>
        <w:rPr>
          <w:rFonts w:ascii="Arial" w:hAnsi="Arial"/>
        </w:rPr>
        <w:t>évolution de la demande. Dans le même temps, le Programme renforcera le réseau de facilitateurs pour élargir sa portée géographique et l</w:t>
      </w:r>
      <w:r w:rsidR="00C62E8C">
        <w:rPr>
          <w:rFonts w:ascii="Arial" w:hAnsi="Arial"/>
        </w:rPr>
        <w:t>’</w:t>
      </w:r>
      <w:r>
        <w:rPr>
          <w:rFonts w:ascii="Arial" w:hAnsi="Arial"/>
        </w:rPr>
        <w:t>expertise thématique en exploitant les nouvelles technologies et les plateformes de médias sociaux. Le déploiement du mécanisme réformé de soumission des rapports périodiques offrira de nouvelles opportunités de développement de réseaux nationaux de formateurs (ou de mécanismes équivalents) afin de renforcer et soutenir le renforcement des capacités dans les pays. La formation au cadre global de résultats de la Convention et aux rapports périodiques associés continuera de bénéficier d</w:t>
      </w:r>
      <w:r w:rsidR="00C62E8C">
        <w:rPr>
          <w:rFonts w:ascii="Arial" w:hAnsi="Arial"/>
        </w:rPr>
        <w:t>’</w:t>
      </w:r>
      <w:r>
        <w:rPr>
          <w:rFonts w:ascii="Arial" w:hAnsi="Arial"/>
        </w:rPr>
        <w:t>une priorité élevée.</w:t>
      </w:r>
    </w:p>
    <w:p w14:paraId="378CD2A3" w14:textId="425BBB24" w:rsidR="00925A18" w:rsidRDefault="00925A18" w:rsidP="00925A18">
      <w:pPr>
        <w:tabs>
          <w:tab w:val="left" w:pos="851"/>
        </w:tabs>
        <w:snapToGrid w:val="0"/>
        <w:spacing w:before="120"/>
        <w:jc w:val="both"/>
        <w:rPr>
          <w:rFonts w:ascii="Arial" w:hAnsi="Arial" w:cs="Arial"/>
          <w:szCs w:val="22"/>
        </w:rPr>
      </w:pPr>
      <w:r>
        <w:rPr>
          <w:rFonts w:ascii="Arial" w:hAnsi="Arial"/>
        </w:rPr>
        <w:t>Concernant le niveau thématique, le Programme continuera à déployer le renforcement des capacités liées aux urgences, au PCI dans les contextes urbains, à l</w:t>
      </w:r>
      <w:r w:rsidR="00C62E8C">
        <w:rPr>
          <w:rFonts w:ascii="Arial" w:hAnsi="Arial"/>
        </w:rPr>
        <w:t>’</w:t>
      </w:r>
      <w:r>
        <w:rPr>
          <w:rFonts w:ascii="Arial" w:hAnsi="Arial"/>
        </w:rPr>
        <w:t>éducation, au genre et au développement durable, tout en s</w:t>
      </w:r>
      <w:r w:rsidR="00C62E8C">
        <w:rPr>
          <w:rFonts w:ascii="Arial" w:hAnsi="Arial"/>
        </w:rPr>
        <w:t>’</w:t>
      </w:r>
      <w:r>
        <w:rPr>
          <w:rFonts w:ascii="Arial" w:hAnsi="Arial"/>
        </w:rPr>
        <w:t>intéressant à de nouveaux domaines. Il répondra également aux besoins de renforcement des capacités résultant de l</w:t>
      </w:r>
      <w:r w:rsidR="00C62E8C">
        <w:rPr>
          <w:rFonts w:ascii="Arial" w:hAnsi="Arial"/>
        </w:rPr>
        <w:t>’</w:t>
      </w:r>
      <w:r>
        <w:rPr>
          <w:rFonts w:ascii="Arial" w:hAnsi="Arial"/>
        </w:rPr>
        <w:t xml:space="preserve">évolution de la </w:t>
      </w:r>
      <w:r w:rsidR="00757123">
        <w:rPr>
          <w:rFonts w:ascii="Arial" w:hAnsi="Arial"/>
        </w:rPr>
        <w:t>C</w:t>
      </w:r>
      <w:r>
        <w:rPr>
          <w:rFonts w:ascii="Arial" w:hAnsi="Arial"/>
        </w:rPr>
        <w:t>onvention.</w:t>
      </w:r>
    </w:p>
    <w:bookmarkEnd w:id="2"/>
    <w:p w14:paraId="30797615" w14:textId="4C96ED87" w:rsidR="00925A18" w:rsidRDefault="00925A18" w:rsidP="0051163A">
      <w:pPr>
        <w:spacing w:before="120"/>
        <w:jc w:val="both"/>
        <w:rPr>
          <w:rFonts w:ascii="Arial" w:eastAsia="Calibri" w:hAnsi="Arial" w:cs="Arial"/>
          <w:szCs w:val="20"/>
        </w:rPr>
      </w:pPr>
      <w:r>
        <w:rPr>
          <w:rFonts w:ascii="Arial" w:hAnsi="Arial"/>
        </w:rPr>
        <w:lastRenderedPageBreak/>
        <w:t>Ce programme doit se traduire par une collaboration étroite entre les institutions gouvernementales et non gouvernementales, les universités et les communautés dans un nombre croissant de pays afin de garantir que ces dernières recréent, préservent et transmettent de façon durable leur patrimoine vivant aux générations suivantes, conformément aux principes de la Convention. De plus, le Programme vise à renforcer la reconnaissance du PCI dans le développement durable et à contribuer à l</w:t>
      </w:r>
      <w:r w:rsidR="00C62E8C">
        <w:rPr>
          <w:rFonts w:ascii="Arial" w:hAnsi="Arial"/>
        </w:rPr>
        <w:t>’</w:t>
      </w:r>
      <w:r>
        <w:rPr>
          <w:rFonts w:ascii="Arial" w:hAnsi="Arial"/>
        </w:rPr>
        <w:t>Agenda 2030</w:t>
      </w:r>
      <w:r w:rsidRPr="00F37DA0">
        <w:rPr>
          <w:rFonts w:ascii="Calibri" w:eastAsia="Calibri" w:hAnsi="Calibri"/>
          <w:sz w:val="20"/>
          <w:szCs w:val="20"/>
          <w:vertAlign w:val="superscript"/>
          <w:lang w:eastAsia="en-US"/>
        </w:rPr>
        <w:footnoteReference w:id="6"/>
      </w:r>
      <w:r>
        <w:rPr>
          <w:rFonts w:ascii="Arial" w:hAnsi="Arial"/>
        </w:rPr>
        <w:t xml:space="preserve"> et à d</w:t>
      </w:r>
      <w:r w:rsidR="00C62E8C">
        <w:rPr>
          <w:rFonts w:ascii="Arial" w:hAnsi="Arial"/>
        </w:rPr>
        <w:t>’</w:t>
      </w:r>
      <w:r>
        <w:rPr>
          <w:rFonts w:ascii="Arial" w:hAnsi="Arial"/>
        </w:rPr>
        <w:t>autres agendas de développement régionaux ou mondiaux convenus au niveau international, tels que l</w:t>
      </w:r>
      <w:r w:rsidR="00C62E8C">
        <w:rPr>
          <w:rFonts w:ascii="Arial" w:hAnsi="Arial"/>
        </w:rPr>
        <w:t>’</w:t>
      </w:r>
      <w:r>
        <w:rPr>
          <w:rFonts w:ascii="Arial" w:hAnsi="Arial"/>
        </w:rPr>
        <w:t>Agenda 2063 de l</w:t>
      </w:r>
      <w:r w:rsidR="00C62E8C">
        <w:rPr>
          <w:rFonts w:ascii="Arial" w:hAnsi="Arial"/>
        </w:rPr>
        <w:t>’</w:t>
      </w:r>
      <w:r>
        <w:rPr>
          <w:rFonts w:ascii="Arial" w:hAnsi="Arial"/>
        </w:rPr>
        <w:t>Union africaine : l</w:t>
      </w:r>
      <w:r w:rsidR="00C62E8C">
        <w:rPr>
          <w:rFonts w:ascii="Arial" w:hAnsi="Arial"/>
        </w:rPr>
        <w:t>’</w:t>
      </w:r>
      <w:r>
        <w:rPr>
          <w:rFonts w:ascii="Arial" w:hAnsi="Arial"/>
        </w:rPr>
        <w:t>Afrique que nous voulons, l</w:t>
      </w:r>
      <w:r w:rsidR="00C62E8C">
        <w:rPr>
          <w:rFonts w:ascii="Arial" w:hAnsi="Arial"/>
        </w:rPr>
        <w:t>’</w:t>
      </w:r>
      <w:r>
        <w:rPr>
          <w:rFonts w:ascii="Arial" w:hAnsi="Arial"/>
        </w:rPr>
        <w:t>Accord de Paris sur le changement climatique, entre autres.</w:t>
      </w:r>
    </w:p>
    <w:p w14:paraId="3EB3C651" w14:textId="77777777" w:rsidR="00925A18" w:rsidRPr="00072EE1" w:rsidRDefault="00925A18" w:rsidP="0051163A">
      <w:pPr>
        <w:keepNext/>
        <w:shd w:val="clear" w:color="auto" w:fill="0077D4"/>
        <w:tabs>
          <w:tab w:val="left" w:pos="567"/>
        </w:tabs>
        <w:snapToGrid w:val="0"/>
        <w:spacing w:before="360"/>
        <w:rPr>
          <w:rFonts w:ascii="Arial" w:eastAsia="Calibri" w:hAnsi="Arial" w:cs="Arial"/>
          <w:color w:val="FFFFFF"/>
          <w:sz w:val="28"/>
          <w:szCs w:val="28"/>
        </w:rPr>
      </w:pPr>
      <w:r>
        <w:rPr>
          <w:rFonts w:ascii="Arial" w:hAnsi="Arial"/>
          <w:color w:val="FFFFFF"/>
          <w:sz w:val="28"/>
        </w:rPr>
        <w:t xml:space="preserve">Résumé des résultats et réalisations </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21"/>
        <w:gridCol w:w="9212"/>
      </w:tblGrid>
      <w:tr w:rsidR="00925A18" w:rsidRPr="00423C72" w14:paraId="551937E0" w14:textId="77777777" w:rsidTr="00C62E8C">
        <w:trPr>
          <w:trHeight w:val="185"/>
          <w:jc w:val="center"/>
        </w:trPr>
        <w:tc>
          <w:tcPr>
            <w:tcW w:w="9633" w:type="dxa"/>
            <w:gridSpan w:val="3"/>
            <w:tcBorders>
              <w:top w:val="single" w:sz="4" w:space="0" w:color="auto"/>
              <w:left w:val="single" w:sz="4" w:space="0" w:color="auto"/>
              <w:bottom w:val="single" w:sz="4" w:space="0" w:color="auto"/>
              <w:right w:val="single" w:sz="4" w:space="0" w:color="auto"/>
            </w:tcBorders>
            <w:shd w:val="clear" w:color="auto" w:fill="548DD4" w:themeFill="text2" w:themeFillTint="99"/>
            <w:tcMar>
              <w:top w:w="57" w:type="dxa"/>
              <w:left w:w="108" w:type="dxa"/>
              <w:bottom w:w="57" w:type="dxa"/>
              <w:right w:w="108" w:type="dxa"/>
            </w:tcMar>
            <w:hideMark/>
          </w:tcPr>
          <w:p w14:paraId="11CBDE3B" w14:textId="77777777" w:rsidR="00925A18" w:rsidRPr="00E67A04" w:rsidRDefault="00925A18" w:rsidP="00C62E8C">
            <w:pPr>
              <w:autoSpaceDE w:val="0"/>
              <w:autoSpaceDN w:val="0"/>
              <w:adjustRightInd w:val="0"/>
              <w:spacing w:after="60" w:line="256" w:lineRule="auto"/>
              <w:jc w:val="both"/>
              <w:rPr>
                <w:rFonts w:ascii="Arial" w:hAnsi="Arial" w:cs="Arial"/>
                <w:b/>
                <w:bCs/>
                <w:szCs w:val="22"/>
              </w:rPr>
            </w:pPr>
            <w:r>
              <w:rPr>
                <w:rFonts w:ascii="Arial" w:hAnsi="Arial"/>
                <w:b/>
              </w:rPr>
              <w:t xml:space="preserve">Résultat N° 1 : </w:t>
            </w:r>
            <w:r>
              <w:rPr>
                <w:rFonts w:ascii="Arial" w:hAnsi="Arial"/>
              </w:rPr>
              <w:t>Les pays intègrent la sauvegarde du PCI dans leurs plans, politiques et programmes, en utilisant le cadre global de résultats de la Convention de 2003 et en appliquant une approche inclusive et sensible au genre</w:t>
            </w:r>
            <w:r w:rsidRPr="00E67A04">
              <w:rPr>
                <w:rFonts w:ascii="Arial" w:eastAsia="Calibri" w:hAnsi="Arial" w:cs="Arial"/>
                <w:szCs w:val="22"/>
                <w:vertAlign w:val="superscript"/>
                <w:lang w:eastAsia="en-US"/>
              </w:rPr>
              <w:footnoteReference w:id="7"/>
            </w:r>
          </w:p>
        </w:tc>
      </w:tr>
      <w:tr w:rsidR="00925A18" w:rsidRPr="00423C72" w14:paraId="5A2370A5" w14:textId="77777777" w:rsidTr="00C62E8C">
        <w:trPr>
          <w:gridBefore w:val="1"/>
          <w:wBefore w:w="400" w:type="dxa"/>
          <w:trHeight w:val="567"/>
          <w:jc w:val="center"/>
        </w:trPr>
        <w:tc>
          <w:tcPr>
            <w:tcW w:w="9233"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Mar>
              <w:top w:w="57" w:type="dxa"/>
              <w:left w:w="108" w:type="dxa"/>
              <w:bottom w:w="57" w:type="dxa"/>
              <w:right w:w="108" w:type="dxa"/>
            </w:tcMar>
            <w:hideMark/>
          </w:tcPr>
          <w:p w14:paraId="4381804A" w14:textId="60E3F03D" w:rsidR="00925A18" w:rsidRPr="00E67A04" w:rsidRDefault="00925A18" w:rsidP="00C62E8C">
            <w:pPr>
              <w:autoSpaceDE w:val="0"/>
              <w:autoSpaceDN w:val="0"/>
              <w:adjustRightInd w:val="0"/>
              <w:spacing w:after="60" w:line="256" w:lineRule="auto"/>
              <w:jc w:val="both"/>
              <w:rPr>
                <w:rFonts w:ascii="Arial" w:hAnsi="Arial" w:cs="Arial"/>
                <w:b/>
                <w:bCs/>
                <w:color w:val="3392DD"/>
                <w:szCs w:val="22"/>
              </w:rPr>
            </w:pPr>
            <w:r>
              <w:rPr>
                <w:rFonts w:ascii="Arial" w:hAnsi="Arial"/>
                <w:b/>
              </w:rPr>
              <w:t xml:space="preserve">Réalisation N° 1.1 : </w:t>
            </w:r>
            <w:r>
              <w:rPr>
                <w:rFonts w:ascii="Arial" w:hAnsi="Arial"/>
              </w:rPr>
              <w:t>Assistance technique pour l</w:t>
            </w:r>
            <w:r w:rsidR="00C62E8C">
              <w:rPr>
                <w:rFonts w:ascii="Arial" w:hAnsi="Arial"/>
              </w:rPr>
              <w:t>’</w:t>
            </w:r>
            <w:r>
              <w:rPr>
                <w:rFonts w:ascii="Arial" w:hAnsi="Arial"/>
              </w:rPr>
              <w:t>élaboration de politiques et de programmes, y compris l</w:t>
            </w:r>
            <w:r w:rsidR="00C62E8C">
              <w:rPr>
                <w:rFonts w:ascii="Arial" w:hAnsi="Arial"/>
              </w:rPr>
              <w:t>’</w:t>
            </w:r>
            <w:r>
              <w:rPr>
                <w:rFonts w:ascii="Arial" w:hAnsi="Arial"/>
              </w:rPr>
              <w:t>intégration de la sauvegarde du PCI aux programmes nationaux de développement</w:t>
            </w:r>
            <w:r w:rsidR="00474CBC">
              <w:rPr>
                <w:rFonts w:ascii="Arial" w:hAnsi="Arial"/>
              </w:rPr>
              <w:t>.</w:t>
            </w:r>
          </w:p>
        </w:tc>
      </w:tr>
      <w:tr w:rsidR="00925A18" w:rsidRPr="00423C72" w14:paraId="0EA1393E" w14:textId="77777777" w:rsidTr="00C62E8C">
        <w:trPr>
          <w:gridBefore w:val="2"/>
          <w:wBefore w:w="421" w:type="dxa"/>
          <w:trHeight w:val="185"/>
          <w:jc w:val="center"/>
        </w:trPr>
        <w:tc>
          <w:tcPr>
            <w:tcW w:w="9212"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57" w:type="dxa"/>
              <w:left w:w="108" w:type="dxa"/>
              <w:bottom w:w="57" w:type="dxa"/>
              <w:right w:w="108" w:type="dxa"/>
            </w:tcMar>
            <w:hideMark/>
          </w:tcPr>
          <w:p w14:paraId="1CA55B03" w14:textId="23BFA6D3" w:rsidR="00925A18" w:rsidRPr="00E67A04" w:rsidRDefault="00925A18" w:rsidP="00C62E8C">
            <w:pPr>
              <w:autoSpaceDE w:val="0"/>
              <w:autoSpaceDN w:val="0"/>
              <w:adjustRightInd w:val="0"/>
              <w:spacing w:after="60" w:line="256" w:lineRule="auto"/>
              <w:jc w:val="both"/>
              <w:rPr>
                <w:rFonts w:ascii="Arial" w:hAnsi="Arial" w:cs="Arial"/>
                <w:b/>
                <w:bCs/>
                <w:color w:val="3392DD"/>
                <w:szCs w:val="22"/>
              </w:rPr>
            </w:pPr>
            <w:r>
              <w:rPr>
                <w:rFonts w:ascii="Arial" w:hAnsi="Arial"/>
                <w:b/>
              </w:rPr>
              <w:t xml:space="preserve">Réalisation n° 1.2 : </w:t>
            </w:r>
            <w:r>
              <w:rPr>
                <w:rFonts w:ascii="Arial" w:hAnsi="Arial"/>
              </w:rPr>
              <w:t>Renforcement des capacités pour l</w:t>
            </w:r>
            <w:r w:rsidR="00C62E8C">
              <w:rPr>
                <w:rFonts w:ascii="Arial" w:hAnsi="Arial"/>
              </w:rPr>
              <w:t>’</w:t>
            </w:r>
            <w:r>
              <w:rPr>
                <w:rFonts w:ascii="Arial" w:hAnsi="Arial"/>
              </w:rPr>
              <w:t>élaboration de politiques et de lois relatives au PCI.</w:t>
            </w:r>
          </w:p>
        </w:tc>
      </w:tr>
      <w:tr w:rsidR="00925A18" w:rsidRPr="00423C72" w14:paraId="3E9CED5D" w14:textId="77777777" w:rsidTr="00C62E8C">
        <w:trPr>
          <w:trHeight w:val="185"/>
          <w:jc w:val="center"/>
        </w:trPr>
        <w:tc>
          <w:tcPr>
            <w:tcW w:w="9633" w:type="dxa"/>
            <w:gridSpan w:val="3"/>
            <w:tcBorders>
              <w:top w:val="single" w:sz="4" w:space="0" w:color="auto"/>
              <w:left w:val="single" w:sz="4" w:space="0" w:color="auto"/>
              <w:bottom w:val="single" w:sz="4" w:space="0" w:color="auto"/>
              <w:right w:val="single" w:sz="4" w:space="0" w:color="auto"/>
            </w:tcBorders>
            <w:shd w:val="clear" w:color="auto" w:fill="548DD4" w:themeFill="text2" w:themeFillTint="99"/>
            <w:tcMar>
              <w:top w:w="57" w:type="dxa"/>
              <w:left w:w="108" w:type="dxa"/>
              <w:bottom w:w="57" w:type="dxa"/>
              <w:right w:w="108" w:type="dxa"/>
            </w:tcMar>
            <w:hideMark/>
          </w:tcPr>
          <w:p w14:paraId="5A1DA702" w14:textId="7B69B519" w:rsidR="00925A18" w:rsidRPr="00E67A04" w:rsidRDefault="00925A18" w:rsidP="00C62E8C">
            <w:pPr>
              <w:autoSpaceDE w:val="0"/>
              <w:autoSpaceDN w:val="0"/>
              <w:adjustRightInd w:val="0"/>
              <w:spacing w:after="60" w:line="256" w:lineRule="auto"/>
              <w:jc w:val="both"/>
              <w:rPr>
                <w:rFonts w:ascii="Arial" w:hAnsi="Arial" w:cs="Arial"/>
                <w:b/>
                <w:bCs/>
                <w:szCs w:val="22"/>
              </w:rPr>
            </w:pPr>
            <w:r>
              <w:rPr>
                <w:rFonts w:ascii="Arial" w:hAnsi="Arial"/>
                <w:b/>
              </w:rPr>
              <w:t xml:space="preserve">Résultat N° 2 : </w:t>
            </w:r>
            <w:r>
              <w:rPr>
                <w:rFonts w:ascii="Arial" w:hAnsi="Arial"/>
              </w:rPr>
              <w:t>Les pays s</w:t>
            </w:r>
            <w:r w:rsidR="00C62E8C">
              <w:rPr>
                <w:rFonts w:ascii="Arial" w:hAnsi="Arial"/>
              </w:rPr>
              <w:t>’</w:t>
            </w:r>
            <w:r>
              <w:rPr>
                <w:rFonts w:ascii="Arial" w:hAnsi="Arial"/>
              </w:rPr>
              <w:t>appuient sur les organes et institutions compétents et sur des réseaux au niveau national pour aider à pérenniser et transmettre le PCI.</w:t>
            </w:r>
          </w:p>
        </w:tc>
      </w:tr>
      <w:tr w:rsidR="00925A18" w:rsidRPr="00423C72" w14:paraId="45E79A28" w14:textId="77777777" w:rsidTr="00C62E8C">
        <w:trPr>
          <w:gridBefore w:val="2"/>
          <w:wBefore w:w="421" w:type="dxa"/>
          <w:trHeight w:val="185"/>
          <w:jc w:val="center"/>
        </w:trPr>
        <w:tc>
          <w:tcPr>
            <w:tcW w:w="9212"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57" w:type="dxa"/>
              <w:left w:w="108" w:type="dxa"/>
              <w:bottom w:w="57" w:type="dxa"/>
              <w:right w:w="108" w:type="dxa"/>
            </w:tcMar>
            <w:hideMark/>
          </w:tcPr>
          <w:p w14:paraId="254AE95F" w14:textId="77777777" w:rsidR="00925A18" w:rsidRPr="00E67A04" w:rsidRDefault="00925A18" w:rsidP="00C62E8C">
            <w:pPr>
              <w:autoSpaceDE w:val="0"/>
              <w:autoSpaceDN w:val="0"/>
              <w:adjustRightInd w:val="0"/>
              <w:spacing w:after="60" w:line="256" w:lineRule="auto"/>
              <w:jc w:val="both"/>
              <w:rPr>
                <w:rFonts w:ascii="Arial" w:hAnsi="Arial" w:cs="Arial"/>
                <w:b/>
                <w:bCs/>
                <w:szCs w:val="22"/>
              </w:rPr>
            </w:pPr>
            <w:r>
              <w:rPr>
                <w:rFonts w:ascii="Arial" w:hAnsi="Arial"/>
                <w:b/>
              </w:rPr>
              <w:t xml:space="preserve">Réalisation N° 2.1 : </w:t>
            </w:r>
            <w:r>
              <w:rPr>
                <w:rFonts w:ascii="Arial" w:hAnsi="Arial"/>
              </w:rPr>
              <w:t>Renforcement des capacités des organismes et institutions compétents pour la sauvegarde du PCI.</w:t>
            </w:r>
          </w:p>
        </w:tc>
      </w:tr>
      <w:tr w:rsidR="00925A18" w:rsidRPr="00423C72" w14:paraId="0464DAFA" w14:textId="77777777" w:rsidTr="00C62E8C">
        <w:trPr>
          <w:gridBefore w:val="2"/>
          <w:wBefore w:w="421" w:type="dxa"/>
          <w:trHeight w:val="185"/>
          <w:jc w:val="center"/>
        </w:trPr>
        <w:tc>
          <w:tcPr>
            <w:tcW w:w="9212"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57" w:type="dxa"/>
              <w:left w:w="108" w:type="dxa"/>
              <w:bottom w:w="57" w:type="dxa"/>
              <w:right w:w="108" w:type="dxa"/>
            </w:tcMar>
            <w:hideMark/>
          </w:tcPr>
          <w:p w14:paraId="6111D6A8" w14:textId="77777777" w:rsidR="00925A18" w:rsidRPr="00E67A04" w:rsidRDefault="00925A18" w:rsidP="00C62E8C">
            <w:pPr>
              <w:autoSpaceDE w:val="0"/>
              <w:autoSpaceDN w:val="0"/>
              <w:adjustRightInd w:val="0"/>
              <w:spacing w:after="60" w:line="256" w:lineRule="auto"/>
              <w:jc w:val="both"/>
              <w:rPr>
                <w:rFonts w:ascii="Arial" w:hAnsi="Arial" w:cs="Arial"/>
                <w:bCs/>
                <w:szCs w:val="22"/>
              </w:rPr>
            </w:pPr>
            <w:r>
              <w:rPr>
                <w:rFonts w:ascii="Arial" w:hAnsi="Arial"/>
                <w:b/>
              </w:rPr>
              <w:t>Réalisation n° 2.2 :</w:t>
            </w:r>
            <w:r>
              <w:rPr>
                <w:rFonts w:ascii="Arial" w:hAnsi="Arial"/>
              </w:rPr>
              <w:t xml:space="preserve"> Réseau national de formateurs (ou mécanisme équivalent) et réseaux universitaires lancés ou renforcés pour répondre aux besoins de renforcement des capacités aux niveaux national et décentralisé. </w:t>
            </w:r>
          </w:p>
        </w:tc>
      </w:tr>
      <w:tr w:rsidR="00925A18" w:rsidRPr="00423C72" w14:paraId="7ED0C8B5" w14:textId="77777777" w:rsidTr="00C62E8C">
        <w:trPr>
          <w:trHeight w:val="185"/>
          <w:jc w:val="center"/>
        </w:trPr>
        <w:tc>
          <w:tcPr>
            <w:tcW w:w="9633" w:type="dxa"/>
            <w:gridSpan w:val="3"/>
            <w:tcBorders>
              <w:top w:val="single" w:sz="4" w:space="0" w:color="auto"/>
              <w:left w:val="single" w:sz="4" w:space="0" w:color="auto"/>
              <w:bottom w:val="single" w:sz="4" w:space="0" w:color="auto"/>
              <w:right w:val="single" w:sz="4" w:space="0" w:color="auto"/>
            </w:tcBorders>
            <w:shd w:val="clear" w:color="auto" w:fill="548DD4" w:themeFill="text2" w:themeFillTint="99"/>
            <w:tcMar>
              <w:top w:w="57" w:type="dxa"/>
              <w:left w:w="108" w:type="dxa"/>
              <w:bottom w:w="57" w:type="dxa"/>
              <w:right w:w="108" w:type="dxa"/>
            </w:tcMar>
            <w:hideMark/>
          </w:tcPr>
          <w:p w14:paraId="2C316A89" w14:textId="69F8ED50" w:rsidR="00925A18" w:rsidRPr="00E67A04" w:rsidRDefault="00925A18" w:rsidP="00C62E8C">
            <w:pPr>
              <w:autoSpaceDE w:val="0"/>
              <w:autoSpaceDN w:val="0"/>
              <w:adjustRightInd w:val="0"/>
              <w:spacing w:after="60" w:line="256" w:lineRule="auto"/>
              <w:jc w:val="both"/>
              <w:rPr>
                <w:rFonts w:ascii="Arial" w:hAnsi="Arial" w:cs="Arial"/>
                <w:b/>
                <w:bCs/>
                <w:szCs w:val="22"/>
              </w:rPr>
            </w:pPr>
            <w:r>
              <w:rPr>
                <w:rFonts w:ascii="Arial" w:hAnsi="Arial"/>
                <w:b/>
              </w:rPr>
              <w:t>Résultat N° 3 :</w:t>
            </w:r>
            <w:r>
              <w:rPr>
                <w:rFonts w:ascii="Arial" w:hAnsi="Arial"/>
              </w:rPr>
              <w:t xml:space="preserve"> Les pays définissent ou revoient un cadre et une méthodologie d</w:t>
            </w:r>
            <w:r w:rsidR="00C62E8C">
              <w:rPr>
                <w:rFonts w:ascii="Arial" w:hAnsi="Arial"/>
              </w:rPr>
              <w:t>’</w:t>
            </w:r>
            <w:r>
              <w:rPr>
                <w:rFonts w:ascii="Arial" w:hAnsi="Arial"/>
              </w:rPr>
              <w:t>inventaire inclusif, respectueux de la diversité du PCI et de ses praticiens et soutenant la sauvegarde par les communautés, groupes et individus concernés.</w:t>
            </w:r>
          </w:p>
        </w:tc>
      </w:tr>
      <w:tr w:rsidR="00925A18" w:rsidRPr="00423C72" w14:paraId="5886EFAF" w14:textId="77777777" w:rsidTr="00C62E8C">
        <w:trPr>
          <w:gridBefore w:val="2"/>
          <w:wBefore w:w="421" w:type="dxa"/>
          <w:trHeight w:val="185"/>
          <w:jc w:val="center"/>
        </w:trPr>
        <w:tc>
          <w:tcPr>
            <w:tcW w:w="9212"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57" w:type="dxa"/>
              <w:left w:w="108" w:type="dxa"/>
              <w:bottom w:w="57" w:type="dxa"/>
              <w:right w:w="108" w:type="dxa"/>
            </w:tcMar>
            <w:vAlign w:val="center"/>
            <w:hideMark/>
          </w:tcPr>
          <w:p w14:paraId="2AB0B7C6" w14:textId="75CDEFC3" w:rsidR="00925A18" w:rsidRPr="00E67A04" w:rsidRDefault="00925A18" w:rsidP="00C62E8C">
            <w:pPr>
              <w:spacing w:after="60" w:line="256" w:lineRule="auto"/>
              <w:rPr>
                <w:rFonts w:ascii="Arial" w:hAnsi="Arial" w:cs="Arial"/>
                <w:b/>
                <w:bCs/>
                <w:szCs w:val="22"/>
              </w:rPr>
            </w:pPr>
            <w:r>
              <w:rPr>
                <w:rFonts w:ascii="Arial" w:hAnsi="Arial"/>
                <w:b/>
              </w:rPr>
              <w:t>Réalisation N° 3.1 :</w:t>
            </w:r>
            <w:r>
              <w:rPr>
                <w:rFonts w:ascii="Arial" w:hAnsi="Arial"/>
              </w:rPr>
              <w:t xml:space="preserve"> Renforcement des connaissances et savoir-faire pratiques locaux pour l</w:t>
            </w:r>
            <w:r w:rsidR="00C62E8C">
              <w:rPr>
                <w:rFonts w:ascii="Arial" w:hAnsi="Arial"/>
              </w:rPr>
              <w:t>’</w:t>
            </w:r>
            <w:r>
              <w:rPr>
                <w:rFonts w:ascii="Arial" w:hAnsi="Arial"/>
              </w:rPr>
              <w:t>inventaire communautaire, en suivant une approche inclusive et sensible au genre.</w:t>
            </w:r>
          </w:p>
        </w:tc>
      </w:tr>
      <w:tr w:rsidR="00925A18" w:rsidRPr="00423C72" w14:paraId="38AA497B" w14:textId="77777777" w:rsidTr="00C62E8C">
        <w:trPr>
          <w:trHeight w:val="185"/>
          <w:jc w:val="center"/>
        </w:trPr>
        <w:tc>
          <w:tcPr>
            <w:tcW w:w="9633" w:type="dxa"/>
            <w:gridSpan w:val="3"/>
            <w:tcBorders>
              <w:top w:val="single" w:sz="4" w:space="0" w:color="auto"/>
              <w:left w:val="single" w:sz="4" w:space="0" w:color="auto"/>
              <w:bottom w:val="single" w:sz="4" w:space="0" w:color="auto"/>
              <w:right w:val="single" w:sz="4" w:space="0" w:color="auto"/>
            </w:tcBorders>
            <w:shd w:val="clear" w:color="auto" w:fill="548DD4" w:themeFill="text2" w:themeFillTint="99"/>
            <w:tcMar>
              <w:top w:w="57" w:type="dxa"/>
              <w:left w:w="108" w:type="dxa"/>
              <w:bottom w:w="57" w:type="dxa"/>
              <w:right w:w="108" w:type="dxa"/>
            </w:tcMar>
            <w:hideMark/>
          </w:tcPr>
          <w:p w14:paraId="4BA5F4B9" w14:textId="77777777" w:rsidR="00925A18" w:rsidRPr="00E67A04" w:rsidRDefault="00925A18" w:rsidP="00C62E8C">
            <w:pPr>
              <w:spacing w:after="60" w:line="257" w:lineRule="auto"/>
              <w:jc w:val="both"/>
              <w:rPr>
                <w:rFonts w:ascii="Arial" w:eastAsia="Calibri" w:hAnsi="Arial" w:cs="Arial"/>
                <w:szCs w:val="22"/>
              </w:rPr>
            </w:pPr>
            <w:r>
              <w:rPr>
                <w:rFonts w:ascii="Arial" w:hAnsi="Arial"/>
                <w:b/>
              </w:rPr>
              <w:t>Résultat N° 4 :</w:t>
            </w:r>
            <w:r>
              <w:rPr>
                <w:rFonts w:ascii="Arial" w:hAnsi="Arial"/>
              </w:rPr>
              <w:t xml:space="preserve"> Les pays affectent des ressources humaines renforcées à la sauvegarde du PCI, dans différents domaines, contribuant ainsi au développement durable.</w:t>
            </w:r>
          </w:p>
        </w:tc>
      </w:tr>
      <w:tr w:rsidR="00925A18" w:rsidRPr="00423C72" w14:paraId="43BB6266" w14:textId="77777777" w:rsidTr="00C62E8C">
        <w:trPr>
          <w:gridBefore w:val="2"/>
          <w:wBefore w:w="421" w:type="dxa"/>
          <w:trHeight w:val="185"/>
          <w:jc w:val="center"/>
        </w:trPr>
        <w:tc>
          <w:tcPr>
            <w:tcW w:w="9212"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57" w:type="dxa"/>
              <w:left w:w="108" w:type="dxa"/>
              <w:bottom w:w="57" w:type="dxa"/>
              <w:right w:w="108" w:type="dxa"/>
            </w:tcMar>
            <w:vAlign w:val="center"/>
            <w:hideMark/>
          </w:tcPr>
          <w:p w14:paraId="77D1B937" w14:textId="77777777" w:rsidR="00925A18" w:rsidRPr="00E67A04" w:rsidRDefault="00925A18" w:rsidP="00C62E8C">
            <w:pPr>
              <w:spacing w:after="60" w:line="256" w:lineRule="auto"/>
              <w:jc w:val="both"/>
              <w:rPr>
                <w:rFonts w:ascii="Arial" w:eastAsia="Calibri" w:hAnsi="Arial" w:cs="Arial"/>
                <w:szCs w:val="22"/>
              </w:rPr>
            </w:pPr>
            <w:r>
              <w:rPr>
                <w:rFonts w:ascii="Arial" w:hAnsi="Arial"/>
                <w:b/>
              </w:rPr>
              <w:t>Réalisation N° 4.1 :</w:t>
            </w:r>
            <w:r>
              <w:rPr>
                <w:rFonts w:ascii="Arial" w:hAnsi="Arial"/>
              </w:rPr>
              <w:t xml:space="preserve"> Renforcement des capacités et des compétences des communautés, des groupes et des individus pour élaborer des plans de sauvegarde du PCI.</w:t>
            </w:r>
          </w:p>
        </w:tc>
      </w:tr>
      <w:tr w:rsidR="00925A18" w:rsidRPr="00423C72" w14:paraId="4582E823" w14:textId="77777777" w:rsidTr="00C62E8C">
        <w:trPr>
          <w:gridBefore w:val="2"/>
          <w:wBefore w:w="421" w:type="dxa"/>
          <w:trHeight w:val="185"/>
          <w:jc w:val="center"/>
        </w:trPr>
        <w:tc>
          <w:tcPr>
            <w:tcW w:w="9212"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57" w:type="dxa"/>
              <w:left w:w="108" w:type="dxa"/>
              <w:bottom w:w="57" w:type="dxa"/>
              <w:right w:w="108" w:type="dxa"/>
            </w:tcMar>
            <w:vAlign w:val="center"/>
          </w:tcPr>
          <w:p w14:paraId="06BAC0CB" w14:textId="259A1BBF" w:rsidR="00925A18" w:rsidRPr="00A41EB7" w:rsidDel="00D217AB" w:rsidRDefault="00925A18" w:rsidP="00C62E8C">
            <w:pPr>
              <w:spacing w:after="60" w:line="256" w:lineRule="auto"/>
              <w:jc w:val="both"/>
              <w:rPr>
                <w:rFonts w:ascii="Arial" w:eastAsia="Calibri" w:hAnsi="Arial" w:cs="Arial"/>
                <w:szCs w:val="22"/>
              </w:rPr>
            </w:pPr>
            <w:r>
              <w:rPr>
                <w:rFonts w:ascii="Arial" w:hAnsi="Arial"/>
                <w:b/>
              </w:rPr>
              <w:t xml:space="preserve">Réalisation N° 4.1 : </w:t>
            </w:r>
            <w:r>
              <w:rPr>
                <w:rFonts w:ascii="Arial" w:hAnsi="Arial"/>
              </w:rPr>
              <w:t>Renforcement des capacités des acteurs de la culture et d</w:t>
            </w:r>
            <w:r w:rsidR="00C62E8C">
              <w:rPr>
                <w:rFonts w:ascii="Arial" w:hAnsi="Arial"/>
              </w:rPr>
              <w:t>’</w:t>
            </w:r>
            <w:r>
              <w:rPr>
                <w:rFonts w:ascii="Arial" w:hAnsi="Arial"/>
              </w:rPr>
              <w:t>autres secteurs pour sauvegarder le PCI</w:t>
            </w:r>
            <w:r>
              <w:rPr>
                <w:rFonts w:ascii="Arial" w:hAnsi="Arial"/>
                <w:b/>
              </w:rPr>
              <w:t xml:space="preserve"> </w:t>
            </w:r>
            <w:r>
              <w:rPr>
                <w:rFonts w:ascii="Arial" w:hAnsi="Arial"/>
              </w:rPr>
              <w:t>dans des domaines thématiques tels que les urgences, l</w:t>
            </w:r>
            <w:r w:rsidR="00C62E8C">
              <w:rPr>
                <w:rFonts w:ascii="Arial" w:hAnsi="Arial"/>
              </w:rPr>
              <w:t>’</w:t>
            </w:r>
            <w:r>
              <w:rPr>
                <w:rFonts w:ascii="Arial" w:hAnsi="Arial"/>
              </w:rPr>
              <w:t>éducation, le contexte urbain, en répondant aux besoins des pays.</w:t>
            </w:r>
          </w:p>
        </w:tc>
      </w:tr>
      <w:tr w:rsidR="00925A18" w:rsidRPr="00423C72" w14:paraId="73A51E9D" w14:textId="77777777" w:rsidTr="00C62E8C">
        <w:trPr>
          <w:trHeight w:val="185"/>
          <w:jc w:val="center"/>
        </w:trPr>
        <w:tc>
          <w:tcPr>
            <w:tcW w:w="9633" w:type="dxa"/>
            <w:gridSpan w:val="3"/>
            <w:tcBorders>
              <w:top w:val="single" w:sz="4" w:space="0" w:color="auto"/>
              <w:left w:val="single" w:sz="4" w:space="0" w:color="auto"/>
              <w:bottom w:val="single" w:sz="4" w:space="0" w:color="auto"/>
              <w:right w:val="single" w:sz="4" w:space="0" w:color="auto"/>
            </w:tcBorders>
            <w:shd w:val="clear" w:color="auto" w:fill="548DD4" w:themeFill="text2" w:themeFillTint="99"/>
            <w:tcMar>
              <w:top w:w="57" w:type="dxa"/>
              <w:left w:w="108" w:type="dxa"/>
              <w:bottom w:w="57" w:type="dxa"/>
              <w:right w:w="108" w:type="dxa"/>
            </w:tcMar>
            <w:hideMark/>
          </w:tcPr>
          <w:p w14:paraId="4A106FFD" w14:textId="542719FC" w:rsidR="00925A18" w:rsidRPr="00E67A04" w:rsidRDefault="00925A18" w:rsidP="00C62E8C">
            <w:pPr>
              <w:tabs>
                <w:tab w:val="center" w:pos="3780"/>
              </w:tabs>
              <w:autoSpaceDE w:val="0"/>
              <w:autoSpaceDN w:val="0"/>
              <w:adjustRightInd w:val="0"/>
              <w:spacing w:after="60" w:line="256" w:lineRule="auto"/>
              <w:jc w:val="both"/>
              <w:rPr>
                <w:rFonts w:ascii="Arial" w:hAnsi="Arial" w:cs="Arial"/>
                <w:b/>
                <w:bCs/>
                <w:szCs w:val="22"/>
              </w:rPr>
            </w:pPr>
            <w:r>
              <w:rPr>
                <w:rFonts w:ascii="Arial" w:hAnsi="Arial"/>
                <w:b/>
                <w:shd w:val="clear" w:color="auto" w:fill="548DD4" w:themeFill="text2" w:themeFillTint="99"/>
              </w:rPr>
              <w:lastRenderedPageBreak/>
              <w:t xml:space="preserve">Résultat N° 5 : </w:t>
            </w:r>
            <w:r>
              <w:rPr>
                <w:rFonts w:ascii="Arial" w:hAnsi="Arial"/>
                <w:shd w:val="clear" w:color="auto" w:fill="548DD4" w:themeFill="text2" w:themeFillTint="99"/>
              </w:rPr>
              <w:t>Les pays participent activement aux mécanismes de coopération internationale de la Convention, notamment au mécanisme</w:t>
            </w:r>
            <w:r>
              <w:rPr>
                <w:rFonts w:ascii="Arial" w:hAnsi="Arial"/>
              </w:rPr>
              <w:t xml:space="preserve"> d</w:t>
            </w:r>
            <w:r w:rsidR="00C62E8C">
              <w:rPr>
                <w:rFonts w:ascii="Arial" w:hAnsi="Arial"/>
              </w:rPr>
              <w:t>’</w:t>
            </w:r>
            <w:r>
              <w:rPr>
                <w:rFonts w:ascii="Arial" w:hAnsi="Arial"/>
              </w:rPr>
              <w:t xml:space="preserve">Assistance </w:t>
            </w:r>
            <w:r w:rsidR="00474CBC">
              <w:rPr>
                <w:rFonts w:ascii="Arial" w:hAnsi="Arial"/>
              </w:rPr>
              <w:t>I</w:t>
            </w:r>
            <w:r>
              <w:rPr>
                <w:rFonts w:ascii="Arial" w:hAnsi="Arial"/>
              </w:rPr>
              <w:t>nternationale le cas échéant.</w:t>
            </w:r>
          </w:p>
        </w:tc>
      </w:tr>
      <w:tr w:rsidR="00925A18" w:rsidRPr="00423C72" w14:paraId="78609837" w14:textId="77777777" w:rsidTr="00C62E8C">
        <w:trPr>
          <w:gridBefore w:val="2"/>
          <w:wBefore w:w="421" w:type="dxa"/>
          <w:trHeight w:val="185"/>
          <w:jc w:val="center"/>
        </w:trPr>
        <w:tc>
          <w:tcPr>
            <w:tcW w:w="9212"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57" w:type="dxa"/>
              <w:left w:w="108" w:type="dxa"/>
              <w:bottom w:w="57" w:type="dxa"/>
              <w:right w:w="108" w:type="dxa"/>
            </w:tcMar>
            <w:hideMark/>
          </w:tcPr>
          <w:p w14:paraId="209467D8" w14:textId="7DFCC2F0" w:rsidR="00925A18" w:rsidRPr="00E67A04" w:rsidRDefault="00925A18" w:rsidP="00C62E8C">
            <w:pPr>
              <w:autoSpaceDE w:val="0"/>
              <w:autoSpaceDN w:val="0"/>
              <w:adjustRightInd w:val="0"/>
              <w:spacing w:after="60" w:line="256" w:lineRule="auto"/>
              <w:jc w:val="both"/>
              <w:rPr>
                <w:rFonts w:ascii="Arial" w:hAnsi="Arial" w:cs="Arial"/>
                <w:b/>
                <w:bCs/>
                <w:szCs w:val="22"/>
              </w:rPr>
            </w:pPr>
            <w:r>
              <w:rPr>
                <w:rFonts w:ascii="Arial" w:hAnsi="Arial"/>
                <w:b/>
              </w:rPr>
              <w:t xml:space="preserve">Réalisation N° 5.1 : </w:t>
            </w:r>
            <w:r>
              <w:rPr>
                <w:rFonts w:ascii="Arial" w:hAnsi="Arial"/>
              </w:rPr>
              <w:t>Renforcement des capacités de participation aux mécanismes internationaux de la Convention, notamment à la préparation des demandes d</w:t>
            </w:r>
            <w:r w:rsidR="00C62E8C">
              <w:rPr>
                <w:rFonts w:ascii="Arial" w:hAnsi="Arial"/>
              </w:rPr>
              <w:t>’</w:t>
            </w:r>
            <w:r>
              <w:rPr>
                <w:rFonts w:ascii="Arial" w:hAnsi="Arial"/>
              </w:rPr>
              <w:t>assistance internationale et/ou des inscriptions dans le cadre du mécanisme d</w:t>
            </w:r>
            <w:r w:rsidR="00C62E8C">
              <w:rPr>
                <w:rFonts w:ascii="Arial" w:hAnsi="Arial"/>
              </w:rPr>
              <w:t>’</w:t>
            </w:r>
            <w:r>
              <w:rPr>
                <w:rFonts w:ascii="Arial" w:hAnsi="Arial"/>
              </w:rPr>
              <w:t>inscription réformé.</w:t>
            </w:r>
          </w:p>
        </w:tc>
      </w:tr>
      <w:tr w:rsidR="00925A18" w:rsidRPr="00E67A04" w14:paraId="5481E13B" w14:textId="77777777" w:rsidTr="00C62E8C">
        <w:trPr>
          <w:trHeight w:val="185"/>
          <w:jc w:val="center"/>
        </w:trPr>
        <w:tc>
          <w:tcPr>
            <w:tcW w:w="9633" w:type="dxa"/>
            <w:gridSpan w:val="3"/>
            <w:tcBorders>
              <w:top w:val="single" w:sz="4" w:space="0" w:color="auto"/>
              <w:left w:val="single" w:sz="4" w:space="0" w:color="auto"/>
              <w:bottom w:val="single" w:sz="4" w:space="0" w:color="auto"/>
              <w:right w:val="single" w:sz="4" w:space="0" w:color="auto"/>
            </w:tcBorders>
            <w:shd w:val="clear" w:color="auto" w:fill="548DD4" w:themeFill="text2" w:themeFillTint="99"/>
            <w:tcMar>
              <w:top w:w="57" w:type="dxa"/>
              <w:left w:w="108" w:type="dxa"/>
              <w:bottom w:w="57" w:type="dxa"/>
              <w:right w:w="108" w:type="dxa"/>
            </w:tcMar>
            <w:hideMark/>
          </w:tcPr>
          <w:p w14:paraId="2CBC7283" w14:textId="77777777" w:rsidR="00925A18" w:rsidRPr="00E67A04" w:rsidRDefault="00925A18" w:rsidP="00C62E8C">
            <w:pPr>
              <w:autoSpaceDE w:val="0"/>
              <w:autoSpaceDN w:val="0"/>
              <w:adjustRightInd w:val="0"/>
              <w:spacing w:after="60" w:line="257" w:lineRule="auto"/>
              <w:jc w:val="both"/>
              <w:rPr>
                <w:rFonts w:ascii="Arial" w:hAnsi="Arial" w:cs="Arial"/>
                <w:b/>
                <w:bCs/>
                <w:szCs w:val="22"/>
              </w:rPr>
            </w:pPr>
            <w:r>
              <w:rPr>
                <w:rFonts w:ascii="Arial" w:hAnsi="Arial"/>
                <w:b/>
              </w:rPr>
              <w:t xml:space="preserve">Résultat N° 6 : </w:t>
            </w:r>
            <w:r>
              <w:rPr>
                <w:rFonts w:ascii="Arial" w:hAnsi="Arial"/>
              </w:rPr>
              <w:t>Les pays utilisent le cadre global de résultats pour la mise en œuvre de la Convention de 2003 dans leurs activités de suivi et de rapport.</w:t>
            </w:r>
          </w:p>
        </w:tc>
      </w:tr>
      <w:tr w:rsidR="00925A18" w:rsidRPr="00E67A04" w14:paraId="49DEBC5D" w14:textId="77777777" w:rsidTr="00C62E8C">
        <w:trPr>
          <w:gridBefore w:val="2"/>
          <w:wBefore w:w="421" w:type="dxa"/>
          <w:trHeight w:val="185"/>
          <w:jc w:val="center"/>
        </w:trPr>
        <w:tc>
          <w:tcPr>
            <w:tcW w:w="9212"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57" w:type="dxa"/>
              <w:left w:w="108" w:type="dxa"/>
              <w:bottom w:w="57" w:type="dxa"/>
              <w:right w:w="108" w:type="dxa"/>
            </w:tcMar>
            <w:hideMark/>
          </w:tcPr>
          <w:p w14:paraId="15AA85E1" w14:textId="77777777" w:rsidR="00925A18" w:rsidRPr="00E67A04" w:rsidRDefault="00925A18" w:rsidP="00C62E8C">
            <w:pPr>
              <w:autoSpaceDE w:val="0"/>
              <w:autoSpaceDN w:val="0"/>
              <w:adjustRightInd w:val="0"/>
              <w:spacing w:after="60" w:line="256" w:lineRule="auto"/>
              <w:jc w:val="both"/>
              <w:rPr>
                <w:rFonts w:ascii="Arial" w:hAnsi="Arial" w:cs="Arial"/>
                <w:b/>
                <w:bCs/>
                <w:szCs w:val="22"/>
              </w:rPr>
            </w:pPr>
            <w:r>
              <w:rPr>
                <w:rFonts w:ascii="Arial" w:hAnsi="Arial"/>
                <w:b/>
              </w:rPr>
              <w:t xml:space="preserve">Réalisation N° 6.1 : </w:t>
            </w:r>
            <w:r>
              <w:rPr>
                <w:rFonts w:ascii="Arial" w:hAnsi="Arial"/>
              </w:rPr>
              <w:t>Développement des capacités de réalisation de rapports basés sur les résultats des pays, communautés, groupes, individus et autres institutions liées au PCI.</w:t>
            </w:r>
          </w:p>
        </w:tc>
      </w:tr>
      <w:tr w:rsidR="00925A18" w:rsidRPr="00E67A04" w14:paraId="2340C2D7" w14:textId="77777777" w:rsidTr="00C62E8C">
        <w:trPr>
          <w:gridBefore w:val="2"/>
          <w:wBefore w:w="421" w:type="dxa"/>
          <w:trHeight w:val="185"/>
          <w:jc w:val="center"/>
        </w:trPr>
        <w:tc>
          <w:tcPr>
            <w:tcW w:w="9212"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57" w:type="dxa"/>
              <w:left w:w="108" w:type="dxa"/>
              <w:bottom w:w="57" w:type="dxa"/>
              <w:right w:w="108" w:type="dxa"/>
            </w:tcMar>
          </w:tcPr>
          <w:p w14:paraId="00ED1B66" w14:textId="77777777" w:rsidR="00925A18" w:rsidRPr="00E67A04" w:rsidRDefault="00925A18" w:rsidP="00C62E8C">
            <w:pPr>
              <w:autoSpaceDE w:val="0"/>
              <w:autoSpaceDN w:val="0"/>
              <w:adjustRightInd w:val="0"/>
              <w:spacing w:after="60" w:line="256" w:lineRule="auto"/>
              <w:jc w:val="both"/>
              <w:rPr>
                <w:rFonts w:ascii="Arial" w:hAnsi="Arial" w:cs="Arial"/>
                <w:b/>
                <w:bCs/>
                <w:szCs w:val="22"/>
              </w:rPr>
            </w:pPr>
            <w:r>
              <w:rPr>
                <w:rFonts w:ascii="Arial" w:hAnsi="Arial"/>
                <w:b/>
              </w:rPr>
              <w:t>Réalisation n° 6.2 :</w:t>
            </w:r>
            <w:r>
              <w:rPr>
                <w:rFonts w:ascii="Arial" w:hAnsi="Arial"/>
              </w:rPr>
              <w:t xml:space="preserve"> Renforcement de la connaissance des synergies et de la collaboration intersectorielles</w:t>
            </w:r>
            <w:r>
              <w:rPr>
                <w:rFonts w:ascii="Arial" w:hAnsi="Arial"/>
                <w:b/>
              </w:rPr>
              <w:t xml:space="preserve"> </w:t>
            </w:r>
            <w:r>
              <w:rPr>
                <w:rFonts w:ascii="Arial" w:hAnsi="Arial"/>
              </w:rPr>
              <w:t>pour la sauvegarde du PCI.</w:t>
            </w:r>
          </w:p>
        </w:tc>
      </w:tr>
    </w:tbl>
    <w:p w14:paraId="067F8116" w14:textId="77777777" w:rsidR="00925A18" w:rsidRPr="00E67A04" w:rsidRDefault="00925A18" w:rsidP="00925A18">
      <w:pPr>
        <w:keepNext/>
        <w:shd w:val="clear" w:color="auto" w:fill="0077D4"/>
        <w:tabs>
          <w:tab w:val="left" w:pos="567"/>
        </w:tabs>
        <w:snapToGrid w:val="0"/>
        <w:spacing w:before="360"/>
        <w:rPr>
          <w:rFonts w:ascii="Arial" w:eastAsia="Calibri" w:hAnsi="Arial" w:cs="Arial"/>
          <w:color w:val="FFFFFF"/>
          <w:sz w:val="28"/>
          <w:szCs w:val="28"/>
        </w:rPr>
      </w:pPr>
      <w:r>
        <w:rPr>
          <w:rFonts w:ascii="Arial" w:hAnsi="Arial"/>
          <w:color w:val="FFFFFF"/>
          <w:sz w:val="28"/>
        </w:rPr>
        <w:t>Stratégie de mise en œuvre</w:t>
      </w:r>
    </w:p>
    <w:p w14:paraId="6487D2D6" w14:textId="15EF6248" w:rsidR="00925A18" w:rsidRPr="00E67A04" w:rsidRDefault="00925A18" w:rsidP="00925A18">
      <w:pPr>
        <w:autoSpaceDE w:val="0"/>
        <w:autoSpaceDN w:val="0"/>
        <w:adjustRightInd w:val="0"/>
        <w:spacing w:before="120"/>
        <w:jc w:val="both"/>
        <w:rPr>
          <w:rFonts w:ascii="Arial" w:eastAsia="Calibri" w:hAnsi="Arial" w:cs="Arial"/>
        </w:rPr>
      </w:pPr>
      <w:r>
        <w:rPr>
          <w:rFonts w:ascii="Arial" w:hAnsi="Arial"/>
        </w:rPr>
        <w:t>Le renforcement des capacités est piloté par le réseau de bureaux hors-siège de l</w:t>
      </w:r>
      <w:r w:rsidR="00C62E8C">
        <w:rPr>
          <w:rFonts w:ascii="Arial" w:hAnsi="Arial"/>
        </w:rPr>
        <w:t>’</w:t>
      </w:r>
      <w:r>
        <w:rPr>
          <w:rFonts w:ascii="Arial" w:hAnsi="Arial"/>
        </w:rPr>
        <w:t>UNESCO, en collaboration avec les partenaires nationaux et avec le soutien technique de l</w:t>
      </w:r>
      <w:r w:rsidR="00C62E8C">
        <w:rPr>
          <w:rFonts w:ascii="Arial" w:hAnsi="Arial"/>
        </w:rPr>
        <w:t>’</w:t>
      </w:r>
      <w:r>
        <w:rPr>
          <w:rFonts w:ascii="Arial" w:hAnsi="Arial"/>
        </w:rPr>
        <w:t>Entité du patrimoine vivant. L</w:t>
      </w:r>
      <w:r w:rsidR="00C62E8C">
        <w:rPr>
          <w:rFonts w:ascii="Arial" w:hAnsi="Arial"/>
        </w:rPr>
        <w:t>’</w:t>
      </w:r>
      <w:r>
        <w:rPr>
          <w:rFonts w:ascii="Arial" w:hAnsi="Arial"/>
        </w:rPr>
        <w:t>approche multimodale de l</w:t>
      </w:r>
      <w:r w:rsidR="00C62E8C">
        <w:rPr>
          <w:rFonts w:ascii="Arial" w:hAnsi="Arial"/>
        </w:rPr>
        <w:t>’</w:t>
      </w:r>
      <w:r>
        <w:rPr>
          <w:rFonts w:ascii="Arial" w:hAnsi="Arial"/>
        </w:rPr>
        <w:t>exécution du programme permettra à l</w:t>
      </w:r>
      <w:r w:rsidR="00C62E8C">
        <w:rPr>
          <w:rFonts w:ascii="Arial" w:hAnsi="Arial"/>
        </w:rPr>
        <w:t>’</w:t>
      </w:r>
      <w:r>
        <w:rPr>
          <w:rFonts w:ascii="Arial" w:hAnsi="Arial"/>
        </w:rPr>
        <w:t>UNESCO de proposer différentes options d</w:t>
      </w:r>
      <w:r w:rsidR="00C62E8C">
        <w:rPr>
          <w:rFonts w:ascii="Arial" w:hAnsi="Arial"/>
        </w:rPr>
        <w:t>’</w:t>
      </w:r>
      <w:r>
        <w:rPr>
          <w:rFonts w:ascii="Arial" w:hAnsi="Arial"/>
        </w:rPr>
        <w:t>exécution aux États parties (hybride, en présentiel, en ligne), en tenant compte du contexte, des considérations pédagogiques, de la faisabilité et de la rentabilité. Les États disposent d</w:t>
      </w:r>
      <w:r w:rsidR="00C62E8C">
        <w:rPr>
          <w:rFonts w:ascii="Arial" w:hAnsi="Arial"/>
        </w:rPr>
        <w:t>’</w:t>
      </w:r>
      <w:r>
        <w:rPr>
          <w:rFonts w:ascii="Arial" w:hAnsi="Arial"/>
        </w:rPr>
        <w:t>un ensemble diversifié d</w:t>
      </w:r>
      <w:r w:rsidR="00C62E8C">
        <w:rPr>
          <w:rFonts w:ascii="Arial" w:hAnsi="Arial"/>
        </w:rPr>
        <w:t>’</w:t>
      </w:r>
      <w:r>
        <w:rPr>
          <w:rFonts w:ascii="Arial" w:hAnsi="Arial"/>
        </w:rPr>
        <w:t>interventions conçues en fonction des besoins de chaque État.</w:t>
      </w:r>
    </w:p>
    <w:p w14:paraId="49B059E2" w14:textId="04E44B99" w:rsidR="00925A18" w:rsidRPr="00E67A04" w:rsidRDefault="00925A18" w:rsidP="00925A18">
      <w:pPr>
        <w:autoSpaceDE w:val="0"/>
        <w:autoSpaceDN w:val="0"/>
        <w:adjustRightInd w:val="0"/>
        <w:spacing w:before="120"/>
        <w:jc w:val="both"/>
        <w:rPr>
          <w:rFonts w:ascii="Arial" w:eastAsia="Batang" w:hAnsi="Arial" w:cs="Arial"/>
        </w:rPr>
      </w:pPr>
      <w:r>
        <w:rPr>
          <w:rFonts w:ascii="Arial" w:hAnsi="Arial"/>
          <w:snapToGrid w:val="0"/>
        </w:rPr>
        <w:t>L</w:t>
      </w:r>
      <w:r w:rsidR="00C62E8C">
        <w:rPr>
          <w:rFonts w:ascii="Arial" w:hAnsi="Arial"/>
          <w:snapToGrid w:val="0"/>
        </w:rPr>
        <w:t>’</w:t>
      </w:r>
      <w:r>
        <w:rPr>
          <w:rFonts w:ascii="Arial" w:hAnsi="Arial"/>
          <w:snapToGrid w:val="0"/>
        </w:rPr>
        <w:t>assistance technique s</w:t>
      </w:r>
      <w:r w:rsidR="00C62E8C">
        <w:rPr>
          <w:rFonts w:ascii="Arial" w:hAnsi="Arial"/>
          <w:snapToGrid w:val="0"/>
        </w:rPr>
        <w:t>’</w:t>
      </w:r>
      <w:r>
        <w:rPr>
          <w:rFonts w:ascii="Arial" w:hAnsi="Arial"/>
          <w:snapToGrid w:val="0"/>
        </w:rPr>
        <w:t>appuiera sur le contenu et les supports préparés par l</w:t>
      </w:r>
      <w:r w:rsidR="00C62E8C">
        <w:rPr>
          <w:rFonts w:ascii="Arial" w:hAnsi="Arial"/>
          <w:snapToGrid w:val="0"/>
        </w:rPr>
        <w:t>’</w:t>
      </w:r>
      <w:r>
        <w:rPr>
          <w:rFonts w:ascii="Arial" w:hAnsi="Arial"/>
          <w:snapToGrid w:val="0"/>
        </w:rPr>
        <w:t xml:space="preserve">UNESCO dans le cadre de son programme de renforcement des capacités. </w:t>
      </w:r>
      <w:r>
        <w:rPr>
          <w:rFonts w:ascii="Arial" w:hAnsi="Arial"/>
        </w:rPr>
        <w:t>L</w:t>
      </w:r>
      <w:r w:rsidR="00C62E8C">
        <w:rPr>
          <w:rFonts w:ascii="Arial" w:hAnsi="Arial"/>
        </w:rPr>
        <w:t>’</w:t>
      </w:r>
      <w:r>
        <w:rPr>
          <w:rFonts w:ascii="Arial" w:hAnsi="Arial"/>
          <w:snapToGrid w:val="0"/>
        </w:rPr>
        <w:t>UNESCO a développé du matériel de formation et des outils d</w:t>
      </w:r>
      <w:r w:rsidR="00C62E8C">
        <w:rPr>
          <w:rFonts w:ascii="Arial" w:hAnsi="Arial"/>
          <w:snapToGrid w:val="0"/>
        </w:rPr>
        <w:t>’</w:t>
      </w:r>
      <w:r>
        <w:rPr>
          <w:rFonts w:ascii="Arial" w:hAnsi="Arial"/>
          <w:snapToGrid w:val="0"/>
        </w:rPr>
        <w:t>orientation sur une série de sujets, allant des</w:t>
      </w:r>
      <w:r>
        <w:rPr>
          <w:rFonts w:ascii="Arial" w:hAnsi="Arial"/>
        </w:rPr>
        <w:t xml:space="preserve"> actions principales de la Convention à différents domaines thématiques</w:t>
      </w:r>
      <w:r>
        <w:rPr>
          <w:rFonts w:ascii="Arial" w:hAnsi="Arial"/>
          <w:snapToGrid w:val="0"/>
        </w:rPr>
        <w:t>. Les documents utilisés pour le présentiel sont disponibles en ligne et sont en cours de conversion pour l</w:t>
      </w:r>
      <w:r w:rsidR="00C62E8C">
        <w:rPr>
          <w:rFonts w:ascii="Arial" w:hAnsi="Arial"/>
          <w:snapToGrid w:val="0"/>
        </w:rPr>
        <w:t>’</w:t>
      </w:r>
      <w:r>
        <w:rPr>
          <w:rFonts w:ascii="Arial" w:hAnsi="Arial"/>
          <w:snapToGrid w:val="0"/>
        </w:rPr>
        <w:t xml:space="preserve">approche multimodale du programme. La traduction des supports en langues locales sera intégrée au projet du pays pour faciliter la localisation du programme si nécessaire. </w:t>
      </w:r>
      <w:r>
        <w:rPr>
          <w:rFonts w:ascii="Arial" w:hAnsi="Arial"/>
        </w:rPr>
        <w:t>Les services de formation et de conseil sont fournis par le réseau dynamique et en pleine expansion du Programme, composé de 140 facilitateurs (novembre 2021) formés pour dispenser sur demande des services de renforcement des capacités dans le domaine du PCI, tout en créant des synergies avec l</w:t>
      </w:r>
      <w:r w:rsidR="00C62E8C">
        <w:rPr>
          <w:rFonts w:ascii="Arial" w:hAnsi="Arial"/>
        </w:rPr>
        <w:t>’</w:t>
      </w:r>
      <w:r>
        <w:rPr>
          <w:rFonts w:ascii="Arial" w:hAnsi="Arial"/>
        </w:rPr>
        <w:t>expertise et les réseaux nationaux.</w:t>
      </w:r>
    </w:p>
    <w:p w14:paraId="0D75181C" w14:textId="41F19680" w:rsidR="00925A18" w:rsidRPr="00E67A04" w:rsidRDefault="00925A18" w:rsidP="00925A18">
      <w:pPr>
        <w:autoSpaceDE w:val="0"/>
        <w:autoSpaceDN w:val="0"/>
        <w:adjustRightInd w:val="0"/>
        <w:spacing w:before="120"/>
        <w:jc w:val="both"/>
        <w:rPr>
          <w:rFonts w:ascii="Arial" w:eastAsia="Calibri" w:hAnsi="Arial" w:cs="Arial"/>
          <w:snapToGrid w:val="0"/>
          <w:szCs w:val="18"/>
        </w:rPr>
      </w:pPr>
      <w:r>
        <w:rPr>
          <w:rFonts w:ascii="Arial" w:hAnsi="Arial"/>
        </w:rPr>
        <w:t>Le Programme prévoit d</w:t>
      </w:r>
      <w:r w:rsidR="00C62E8C">
        <w:rPr>
          <w:rFonts w:ascii="Arial" w:hAnsi="Arial"/>
        </w:rPr>
        <w:t>’</w:t>
      </w:r>
      <w:r>
        <w:rPr>
          <w:rFonts w:ascii="Arial" w:hAnsi="Arial"/>
        </w:rPr>
        <w:t>établir des liens avec les stratégies nationales de développement, les processus du plan-cadre des Nations Unies pour le développement durable et les bilans communs de pays (BCP) dans le cadre de l</w:t>
      </w:r>
      <w:r w:rsidR="00C62E8C">
        <w:rPr>
          <w:rFonts w:ascii="Arial" w:hAnsi="Arial"/>
        </w:rPr>
        <w:t>’</w:t>
      </w:r>
      <w:r>
        <w:rPr>
          <w:rFonts w:ascii="Arial" w:hAnsi="Arial"/>
        </w:rPr>
        <w:t>élaboration de politiques afin de créer un environnement propice à la sauvegarde du PCI et d</w:t>
      </w:r>
      <w:r w:rsidR="00C62E8C">
        <w:rPr>
          <w:rFonts w:ascii="Arial" w:hAnsi="Arial"/>
        </w:rPr>
        <w:t>’</w:t>
      </w:r>
      <w:r>
        <w:rPr>
          <w:rFonts w:ascii="Arial" w:hAnsi="Arial"/>
        </w:rPr>
        <w:t>exploiter pleinement son potentiel de développement durable.</w:t>
      </w:r>
      <w:r>
        <w:rPr>
          <w:rFonts w:ascii="Arial" w:hAnsi="Arial"/>
          <w:snapToGrid w:val="0"/>
        </w:rPr>
        <w:t xml:space="preserve"> Une attention particulière sera portée à l</w:t>
      </w:r>
      <w:r w:rsidR="00C62E8C">
        <w:rPr>
          <w:rFonts w:ascii="Arial" w:hAnsi="Arial"/>
          <w:snapToGrid w:val="0"/>
        </w:rPr>
        <w:t>’</w:t>
      </w:r>
      <w:r>
        <w:rPr>
          <w:rFonts w:ascii="Arial" w:hAnsi="Arial"/>
          <w:snapToGrid w:val="0"/>
        </w:rPr>
        <w:t>égalité entre tous les genres dans le cadre d</w:t>
      </w:r>
      <w:r w:rsidR="00C62E8C">
        <w:rPr>
          <w:rFonts w:ascii="Arial" w:hAnsi="Arial"/>
          <w:snapToGrid w:val="0"/>
        </w:rPr>
        <w:t>’</w:t>
      </w:r>
      <w:r>
        <w:rPr>
          <w:rFonts w:ascii="Arial" w:hAnsi="Arial"/>
          <w:snapToGrid w:val="0"/>
        </w:rPr>
        <w:t>une approche inclusive.</w:t>
      </w:r>
    </w:p>
    <w:p w14:paraId="602A97F4" w14:textId="77777777" w:rsidR="00925A18" w:rsidRPr="00E67A04" w:rsidRDefault="00925A18" w:rsidP="00925A18">
      <w:pPr>
        <w:shd w:val="clear" w:color="auto" w:fill="0077D4"/>
        <w:tabs>
          <w:tab w:val="left" w:pos="567"/>
        </w:tabs>
        <w:snapToGrid w:val="0"/>
        <w:spacing w:before="240"/>
        <w:rPr>
          <w:rFonts w:ascii="Arial" w:eastAsia="Calibri" w:hAnsi="Arial" w:cs="Arial"/>
          <w:color w:val="FFFFFF"/>
          <w:sz w:val="28"/>
          <w:szCs w:val="28"/>
        </w:rPr>
      </w:pPr>
      <w:r>
        <w:rPr>
          <w:rFonts w:ascii="Arial" w:hAnsi="Arial"/>
          <w:color w:val="FFFFFF"/>
          <w:sz w:val="28"/>
        </w:rPr>
        <w:t>Parties prenantes, bénéficiaires et partenaires</w:t>
      </w:r>
    </w:p>
    <w:p w14:paraId="5D1444CE" w14:textId="1A7F0AF3" w:rsidR="00925A18" w:rsidRPr="00E67A04" w:rsidRDefault="00925A18" w:rsidP="00925A18">
      <w:pPr>
        <w:spacing w:before="120"/>
        <w:jc w:val="both"/>
        <w:rPr>
          <w:rFonts w:ascii="Arial" w:eastAsia="Batang" w:hAnsi="Arial" w:cs="Arial"/>
        </w:rPr>
      </w:pPr>
      <w:r>
        <w:rPr>
          <w:rFonts w:ascii="Arial" w:hAnsi="Arial"/>
        </w:rPr>
        <w:t>Les bénéficiaires sont les différents acteurs participant à la prise de décisions, à l</w:t>
      </w:r>
      <w:r w:rsidR="00C62E8C">
        <w:rPr>
          <w:rFonts w:ascii="Arial" w:hAnsi="Arial"/>
        </w:rPr>
        <w:t>’</w:t>
      </w:r>
      <w:r>
        <w:rPr>
          <w:rFonts w:ascii="Arial" w:hAnsi="Arial"/>
        </w:rPr>
        <w:t>administration et aux aspects pratiques liés à la sauvegarde du PCI du secteur de la culture et des autres secteurs. Les principaux bénéficiaires du volet politique du Programme sont les fonctionnaires des ministères de la culture et des autres ministères souhaitant intégrer la sauvegarde du PCI à leur travail. La formation et les conseils peuvent aussi s</w:t>
      </w:r>
      <w:r w:rsidR="00C62E8C">
        <w:rPr>
          <w:rFonts w:ascii="Arial" w:hAnsi="Arial"/>
        </w:rPr>
        <w:t>’</w:t>
      </w:r>
      <w:r>
        <w:rPr>
          <w:rFonts w:ascii="Arial" w:hAnsi="Arial"/>
        </w:rPr>
        <w:t>adresser aux instituts compétents, ONG, universités et représentants communautaires. Les principaux bénéficiaires des activités d</w:t>
      </w:r>
      <w:r w:rsidR="00C62E8C">
        <w:rPr>
          <w:rFonts w:ascii="Arial" w:hAnsi="Arial"/>
        </w:rPr>
        <w:t>’</w:t>
      </w:r>
      <w:r>
        <w:rPr>
          <w:rFonts w:ascii="Arial" w:hAnsi="Arial"/>
        </w:rPr>
        <w:t>inventaire et de sauvegarde communautaires sont les intervenants de terrain et les groupes et communautés concernés, notamment les jeunes.</w:t>
      </w:r>
    </w:p>
    <w:p w14:paraId="6DA07284" w14:textId="19A91279" w:rsidR="00925A18" w:rsidRPr="00E67A04" w:rsidRDefault="00925A18" w:rsidP="00925A18">
      <w:pPr>
        <w:spacing w:before="120"/>
        <w:jc w:val="both"/>
        <w:rPr>
          <w:rFonts w:ascii="Arial" w:eastAsia="Calibri" w:hAnsi="Arial" w:cs="Arial"/>
        </w:rPr>
      </w:pPr>
      <w:r>
        <w:rPr>
          <w:rFonts w:ascii="Arial" w:hAnsi="Arial"/>
        </w:rPr>
        <w:t xml:space="preserve">La Convention reconnaît le rôle central des communautés dans la sauvegarde de leur PCI. Par conséquent, toutes les activités réalisées dans le cadre de ce Programme seront conformes aux principes éthiques pour la sauvegarde du patrimoine culturel immatériel de la Convention et seront </w:t>
      </w:r>
      <w:r>
        <w:rPr>
          <w:rFonts w:ascii="Arial" w:hAnsi="Arial"/>
        </w:rPr>
        <w:lastRenderedPageBreak/>
        <w:t>soumises au consentement libre, préalable et éclairé des communautés concernées</w:t>
      </w:r>
      <w:r w:rsidRPr="00E67A04">
        <w:rPr>
          <w:rFonts w:ascii="Arial" w:eastAsia="Calibri" w:hAnsi="Arial" w:cs="Arial"/>
          <w:vertAlign w:val="superscript"/>
          <w:lang w:eastAsia="en-US"/>
        </w:rPr>
        <w:footnoteReference w:id="8"/>
      </w:r>
      <w:r w:rsidR="00042797">
        <w:rPr>
          <w:rFonts w:ascii="Arial" w:hAnsi="Arial"/>
        </w:rPr>
        <w:t xml:space="preserve">. </w:t>
      </w:r>
      <w:r>
        <w:rPr>
          <w:rFonts w:ascii="Arial" w:hAnsi="Arial"/>
        </w:rPr>
        <w:t>Le programme suivra une approche inclusive pour assurer la plus large participation possible des parties prenantes à la conception et à la mise en œuvre des activités de sauvegarde.</w:t>
      </w:r>
    </w:p>
    <w:p w14:paraId="3F56306F" w14:textId="77777777" w:rsidR="00925A18" w:rsidRPr="00E67A04" w:rsidRDefault="00925A18" w:rsidP="00925A18">
      <w:pPr>
        <w:shd w:val="clear" w:color="auto" w:fill="0077D4"/>
        <w:tabs>
          <w:tab w:val="left" w:pos="567"/>
        </w:tabs>
        <w:snapToGrid w:val="0"/>
        <w:spacing w:before="240"/>
        <w:rPr>
          <w:rFonts w:ascii="Arial" w:eastAsia="Calibri" w:hAnsi="Arial" w:cs="Arial"/>
          <w:color w:val="FFFFFF"/>
          <w:sz w:val="28"/>
          <w:szCs w:val="28"/>
        </w:rPr>
      </w:pPr>
      <w:r>
        <w:rPr>
          <w:rFonts w:ascii="Arial" w:hAnsi="Arial"/>
          <w:color w:val="FFFFFF"/>
          <w:sz w:val="28"/>
        </w:rPr>
        <w:t>Analyse des risques, durabilité et stratégie de sortie</w:t>
      </w:r>
    </w:p>
    <w:p w14:paraId="688CDD2D" w14:textId="61A53242" w:rsidR="00925A18" w:rsidRPr="00E67A04" w:rsidRDefault="00925A18" w:rsidP="00925A18">
      <w:pPr>
        <w:spacing w:before="120"/>
        <w:jc w:val="both"/>
        <w:rPr>
          <w:rFonts w:ascii="Arial" w:eastAsia="Calibri" w:hAnsi="Arial" w:cs="Arial"/>
        </w:rPr>
      </w:pPr>
      <w:r>
        <w:rPr>
          <w:rFonts w:ascii="Arial" w:hAnsi="Arial"/>
        </w:rPr>
        <w:t>Ce programme a été conçu afin d</w:t>
      </w:r>
      <w:r w:rsidR="00C62E8C">
        <w:rPr>
          <w:rFonts w:ascii="Arial" w:hAnsi="Arial"/>
        </w:rPr>
        <w:t>’</w:t>
      </w:r>
      <w:r>
        <w:rPr>
          <w:rFonts w:ascii="Arial" w:hAnsi="Arial"/>
        </w:rPr>
        <w:t>optimiser sa durabilité et son effet multiplicateur. En utilisant une approche basée sur les besoins, il vise à créer dans chaque pays bénéficiaire un niveau critique de capacité nationale, à la fois dans les institutions gouvernementales et parmi les acteurs clés des communautés, de la société civile, des universités, des institutions du patrimoine, constituant ainsi une base durable pour la sauvegarde du PCI. Le Programme de renforcement des capacités inclut la mise en place de réseaux nationaux de formateurs (ou de mécanismes équivalents) ou le renforcement de partenariats avec des organismes et institutions existants, qui peuvent répliquer le renforcement des capacités en s</w:t>
      </w:r>
      <w:r w:rsidR="00C62E8C">
        <w:rPr>
          <w:rFonts w:ascii="Arial" w:hAnsi="Arial"/>
        </w:rPr>
        <w:t>’</w:t>
      </w:r>
      <w:r>
        <w:rPr>
          <w:rFonts w:ascii="Arial" w:hAnsi="Arial"/>
        </w:rPr>
        <w:t>appuyant sur une expertise interne, générée et renforcée par le Programme.</w:t>
      </w:r>
    </w:p>
    <w:p w14:paraId="7F0DF2CB" w14:textId="44B1413A" w:rsidR="00925A18" w:rsidRPr="000B01C6" w:rsidRDefault="00925A18" w:rsidP="00925A18">
      <w:pPr>
        <w:spacing w:before="120"/>
        <w:jc w:val="both"/>
        <w:rPr>
          <w:rFonts w:ascii="Arial" w:eastAsia="Calibri" w:hAnsi="Arial" w:cs="Arial"/>
          <w:bCs/>
        </w:rPr>
      </w:pPr>
      <w:r>
        <w:rPr>
          <w:rFonts w:ascii="Arial" w:hAnsi="Arial"/>
        </w:rPr>
        <w:t>Le programme vise à renforcer au sein des pays les relations au niveau institutionnel par l</w:t>
      </w:r>
      <w:r w:rsidR="00C62E8C">
        <w:rPr>
          <w:rFonts w:ascii="Arial" w:hAnsi="Arial"/>
        </w:rPr>
        <w:t>’</w:t>
      </w:r>
      <w:r>
        <w:rPr>
          <w:rFonts w:ascii="Arial" w:hAnsi="Arial"/>
        </w:rPr>
        <w:t>identification de partenaires institutionnels appropriés. En mobilisant des parties prenantes du secteur de la culture et d</w:t>
      </w:r>
      <w:r w:rsidR="00C62E8C">
        <w:rPr>
          <w:rFonts w:ascii="Arial" w:hAnsi="Arial"/>
        </w:rPr>
        <w:t>’</w:t>
      </w:r>
      <w:r>
        <w:rPr>
          <w:rFonts w:ascii="Arial" w:hAnsi="Arial"/>
        </w:rPr>
        <w:t>autres domaines du développement, le Programme facilite l</w:t>
      </w:r>
      <w:r w:rsidR="00C62E8C">
        <w:rPr>
          <w:rFonts w:ascii="Arial" w:hAnsi="Arial"/>
        </w:rPr>
        <w:t>’</w:t>
      </w:r>
      <w:r>
        <w:rPr>
          <w:rFonts w:ascii="Arial" w:hAnsi="Arial"/>
        </w:rPr>
        <w:t>intégration de dispositions de sauvegarde du PCI à des stratégies et programmes plus larges de développement, ce qui contribue à pérenniser le PCI et à en tirer parti pour le bien-être des communautés et des sociétés.</w:t>
      </w:r>
    </w:p>
    <w:p w14:paraId="085BB099" w14:textId="77777777" w:rsidR="00925A18" w:rsidRPr="00585FCB" w:rsidRDefault="00925A18" w:rsidP="00925A18">
      <w:pPr>
        <w:keepNext/>
        <w:pageBreakBefore/>
        <w:autoSpaceDE w:val="0"/>
        <w:autoSpaceDN w:val="0"/>
        <w:adjustRightInd w:val="0"/>
        <w:spacing w:before="240"/>
        <w:jc w:val="center"/>
        <w:rPr>
          <w:rFonts w:ascii="Arial" w:hAnsi="Arial" w:cs="Arial"/>
          <w:b/>
          <w:snapToGrid w:val="0"/>
          <w:szCs w:val="22"/>
          <w:u w:val="single"/>
        </w:rPr>
      </w:pPr>
      <w:r>
        <w:rPr>
          <w:rFonts w:ascii="Arial" w:hAnsi="Arial"/>
          <w:b/>
          <w:snapToGrid w:val="0"/>
          <w:u w:val="single"/>
        </w:rPr>
        <w:lastRenderedPageBreak/>
        <w:t>Priorité 2 de financement</w:t>
      </w:r>
    </w:p>
    <w:p w14:paraId="4092A032" w14:textId="6E88743F" w:rsidR="00925A18" w:rsidRPr="00964457" w:rsidRDefault="00925A18" w:rsidP="00925A18">
      <w:pPr>
        <w:spacing w:before="240" w:after="240"/>
        <w:jc w:val="both"/>
        <w:rPr>
          <w:rFonts w:asciiTheme="minorHAnsi" w:eastAsiaTheme="minorHAnsi" w:hAnsiTheme="minorHAnsi" w:cstheme="minorBidi"/>
          <w:color w:val="FFFFFF" w:themeColor="background1"/>
          <w:sz w:val="48"/>
          <w:shd w:val="clear" w:color="auto" w:fill="0077D4"/>
        </w:rPr>
      </w:pPr>
      <w:bookmarkStart w:id="3" w:name="Priority2"/>
      <w:bookmarkEnd w:id="3"/>
      <w:r>
        <w:rPr>
          <w:rFonts w:asciiTheme="minorHAnsi" w:hAnsiTheme="minorHAnsi"/>
          <w:color w:val="FFFFFF" w:themeColor="background1"/>
          <w:sz w:val="48"/>
          <w:shd w:val="clear" w:color="auto" w:fill="0077D4"/>
        </w:rPr>
        <w:t>Sauvegarde du patrimoine culturel immatériel dans l</w:t>
      </w:r>
      <w:r w:rsidR="00C62E8C">
        <w:rPr>
          <w:rFonts w:asciiTheme="minorHAnsi" w:hAnsiTheme="minorHAnsi"/>
          <w:color w:val="FFFFFF" w:themeColor="background1"/>
          <w:sz w:val="48"/>
          <w:shd w:val="clear" w:color="auto" w:fill="0077D4"/>
        </w:rPr>
        <w:t>’</w:t>
      </w:r>
      <w:r>
        <w:rPr>
          <w:rFonts w:asciiTheme="minorHAnsi" w:hAnsiTheme="minorHAnsi"/>
          <w:color w:val="FFFFFF" w:themeColor="background1"/>
          <w:sz w:val="48"/>
          <w:shd w:val="clear" w:color="auto" w:fill="0077D4"/>
        </w:rPr>
        <w:t>éducation formelle et non formelle</w:t>
      </w:r>
    </w:p>
    <w:tbl>
      <w:tblPr>
        <w:tblStyle w:val="TableGrid1"/>
        <w:tblW w:w="9638" w:type="dxa"/>
        <w:tblInd w:w="0" w:type="dxa"/>
        <w:tblBorders>
          <w:top w:val="single" w:sz="2" w:space="0" w:color="FFFFFF"/>
          <w:left w:val="single" w:sz="2" w:space="0" w:color="FFFFFF"/>
          <w:bottom w:val="single" w:sz="2" w:space="0" w:color="FFFFFF"/>
          <w:right w:val="single" w:sz="2" w:space="0" w:color="FFFFFF"/>
          <w:insideH w:val="single" w:sz="2" w:space="0" w:color="C5192D"/>
          <w:insideV w:val="single" w:sz="2" w:space="0" w:color="0077D4"/>
        </w:tblBorders>
        <w:tblLayout w:type="fixed"/>
        <w:tblCellMar>
          <w:left w:w="0" w:type="dxa"/>
          <w:right w:w="0" w:type="dxa"/>
        </w:tblCellMar>
        <w:tblLook w:val="04A0" w:firstRow="1" w:lastRow="0" w:firstColumn="1" w:lastColumn="0" w:noHBand="0" w:noVBand="1"/>
      </w:tblPr>
      <w:tblGrid>
        <w:gridCol w:w="3685"/>
        <w:gridCol w:w="5953"/>
      </w:tblGrid>
      <w:tr w:rsidR="00925A18" w:rsidRPr="00370FB3" w14:paraId="77F211D9" w14:textId="77777777" w:rsidTr="00C62E8C">
        <w:tc>
          <w:tcPr>
            <w:tcW w:w="3685" w:type="dxa"/>
            <w:tcBorders>
              <w:top w:val="single" w:sz="4" w:space="0" w:color="EEBBC0"/>
              <w:bottom w:val="single" w:sz="4" w:space="0" w:color="EEBBC0"/>
            </w:tcBorders>
            <w:shd w:val="clear" w:color="auto" w:fill="D8E2F4"/>
            <w:noWrap/>
            <w:tcMar>
              <w:top w:w="113" w:type="dxa"/>
              <w:left w:w="113" w:type="dxa"/>
              <w:right w:w="113" w:type="dxa"/>
            </w:tcMar>
          </w:tcPr>
          <w:p w14:paraId="541863FF" w14:textId="77777777" w:rsidR="00925A18" w:rsidRPr="00585FCB" w:rsidRDefault="00925A18" w:rsidP="000660D9">
            <w:pPr>
              <w:widowControl w:val="0"/>
              <w:autoSpaceDE w:val="0"/>
              <w:autoSpaceDN w:val="0"/>
              <w:adjustRightInd w:val="0"/>
              <w:rPr>
                <w:rFonts w:ascii="Arial" w:eastAsia="@Arial Unicode MS" w:hAnsi="Arial" w:cs="Arial"/>
                <w:b/>
                <w:color w:val="0070C0"/>
                <w:szCs w:val="22"/>
              </w:rPr>
            </w:pPr>
            <w:r>
              <w:rPr>
                <w:rFonts w:ascii="Arial" w:hAnsi="Arial"/>
                <w:b/>
                <w:color w:val="0070C0"/>
              </w:rPr>
              <w:t>Portée géographique/pays bénéficiaire(s) :</w:t>
            </w:r>
          </w:p>
        </w:tc>
        <w:tc>
          <w:tcPr>
            <w:tcW w:w="5953" w:type="dxa"/>
            <w:tcBorders>
              <w:top w:val="single" w:sz="4" w:space="0" w:color="EEBBC0"/>
              <w:bottom w:val="single" w:sz="4" w:space="0" w:color="EEBBC0"/>
            </w:tcBorders>
            <w:shd w:val="clear" w:color="auto" w:fill="ECF0FA"/>
            <w:noWrap/>
            <w:tcMar>
              <w:top w:w="113" w:type="dxa"/>
              <w:left w:w="113" w:type="dxa"/>
              <w:right w:w="113" w:type="dxa"/>
            </w:tcMar>
          </w:tcPr>
          <w:p w14:paraId="46C11291" w14:textId="6D99F145" w:rsidR="00925A18" w:rsidRPr="00585FCB" w:rsidRDefault="00925A18" w:rsidP="00C62E8C">
            <w:pPr>
              <w:widowControl w:val="0"/>
              <w:autoSpaceDE w:val="0"/>
              <w:autoSpaceDN w:val="0"/>
              <w:adjustRightInd w:val="0"/>
              <w:jc w:val="both"/>
              <w:rPr>
                <w:rFonts w:ascii="Arial" w:eastAsia="@Arial Unicode MS" w:hAnsi="Arial" w:cs="Arial"/>
                <w:szCs w:val="22"/>
              </w:rPr>
            </w:pPr>
            <w:r>
              <w:rPr>
                <w:rFonts w:ascii="Arial" w:hAnsi="Arial"/>
              </w:rPr>
              <w:t xml:space="preserve">Programme mondial avec des projets </w:t>
            </w:r>
            <w:r w:rsidR="00042797">
              <w:rPr>
                <w:rFonts w:ascii="Arial" w:hAnsi="Arial"/>
              </w:rPr>
              <w:t xml:space="preserve">pays </w:t>
            </w:r>
            <w:r>
              <w:rPr>
                <w:rFonts w:ascii="Arial" w:hAnsi="Arial"/>
              </w:rPr>
              <w:t>dans toutes les régions, notamment en Afrique</w:t>
            </w:r>
          </w:p>
        </w:tc>
      </w:tr>
      <w:tr w:rsidR="00925A18" w:rsidRPr="00585FCB" w14:paraId="7F2CE1C7" w14:textId="77777777" w:rsidTr="00C62E8C">
        <w:tc>
          <w:tcPr>
            <w:tcW w:w="3685" w:type="dxa"/>
            <w:tcBorders>
              <w:top w:val="single" w:sz="4" w:space="0" w:color="EEBBC0"/>
              <w:bottom w:val="single" w:sz="4" w:space="0" w:color="EEBBC0"/>
            </w:tcBorders>
            <w:shd w:val="clear" w:color="auto" w:fill="D8E2F4"/>
            <w:noWrap/>
            <w:tcMar>
              <w:top w:w="113" w:type="dxa"/>
              <w:left w:w="113" w:type="dxa"/>
              <w:right w:w="113" w:type="dxa"/>
            </w:tcMar>
          </w:tcPr>
          <w:p w14:paraId="1CA3B57C" w14:textId="77777777" w:rsidR="00925A18" w:rsidRPr="00585FCB" w:rsidRDefault="00925A18" w:rsidP="000660D9">
            <w:pPr>
              <w:widowControl w:val="0"/>
              <w:autoSpaceDE w:val="0"/>
              <w:autoSpaceDN w:val="0"/>
              <w:adjustRightInd w:val="0"/>
              <w:rPr>
                <w:rFonts w:ascii="Arial" w:hAnsi="Arial" w:cs="Arial"/>
                <w:b/>
                <w:color w:val="0070C0"/>
                <w:szCs w:val="22"/>
              </w:rPr>
            </w:pPr>
            <w:r>
              <w:rPr>
                <w:rFonts w:ascii="Arial" w:hAnsi="Arial"/>
                <w:b/>
                <w:color w:val="0070C0"/>
              </w:rPr>
              <w:t>Durée (en mois) :</w:t>
            </w:r>
          </w:p>
        </w:tc>
        <w:tc>
          <w:tcPr>
            <w:tcW w:w="5953" w:type="dxa"/>
            <w:tcBorders>
              <w:top w:val="single" w:sz="4" w:space="0" w:color="EEBBC0"/>
              <w:bottom w:val="single" w:sz="4" w:space="0" w:color="EEBBC0"/>
            </w:tcBorders>
            <w:shd w:val="clear" w:color="auto" w:fill="ECF0FA"/>
            <w:noWrap/>
            <w:tcMar>
              <w:top w:w="113" w:type="dxa"/>
              <w:left w:w="113" w:type="dxa"/>
              <w:right w:w="113" w:type="dxa"/>
            </w:tcMar>
          </w:tcPr>
          <w:p w14:paraId="4F760F11" w14:textId="77777777" w:rsidR="00925A18" w:rsidRPr="00585FCB" w:rsidRDefault="00925A18" w:rsidP="00C62E8C">
            <w:pPr>
              <w:widowControl w:val="0"/>
              <w:autoSpaceDE w:val="0"/>
              <w:autoSpaceDN w:val="0"/>
              <w:adjustRightInd w:val="0"/>
              <w:jc w:val="both"/>
              <w:rPr>
                <w:rFonts w:ascii="Arial" w:eastAsia="@Arial Unicode MS" w:hAnsi="Arial" w:cs="Arial"/>
                <w:szCs w:val="22"/>
              </w:rPr>
            </w:pPr>
            <w:r>
              <w:rPr>
                <w:rFonts w:ascii="Arial" w:hAnsi="Arial"/>
              </w:rPr>
              <w:t>2022 - 2025 (48 mois)</w:t>
            </w:r>
          </w:p>
        </w:tc>
      </w:tr>
      <w:tr w:rsidR="00925A18" w:rsidRPr="00370FB3" w14:paraId="778DCEE5" w14:textId="77777777" w:rsidTr="00C62E8C">
        <w:trPr>
          <w:trHeight w:val="1388"/>
        </w:trPr>
        <w:tc>
          <w:tcPr>
            <w:tcW w:w="3685" w:type="dxa"/>
            <w:tcBorders>
              <w:top w:val="single" w:sz="4" w:space="0" w:color="EEBBC0"/>
              <w:bottom w:val="single" w:sz="4" w:space="0" w:color="EEBBC0"/>
            </w:tcBorders>
            <w:shd w:val="clear" w:color="auto" w:fill="D8E2F4"/>
            <w:noWrap/>
            <w:tcMar>
              <w:top w:w="113" w:type="dxa"/>
              <w:left w:w="113" w:type="dxa"/>
              <w:right w:w="113" w:type="dxa"/>
            </w:tcMar>
          </w:tcPr>
          <w:p w14:paraId="77DE90FE" w14:textId="77777777" w:rsidR="00925A18" w:rsidRPr="00585FCB" w:rsidRDefault="00925A18" w:rsidP="000660D9">
            <w:pPr>
              <w:widowControl w:val="0"/>
              <w:autoSpaceDE w:val="0"/>
              <w:autoSpaceDN w:val="0"/>
              <w:adjustRightInd w:val="0"/>
              <w:rPr>
                <w:rFonts w:ascii="Arial" w:hAnsi="Arial" w:cs="Arial"/>
                <w:b/>
                <w:color w:val="0070C0"/>
                <w:szCs w:val="22"/>
              </w:rPr>
            </w:pPr>
            <w:r>
              <w:rPr>
                <w:rFonts w:ascii="Arial" w:hAnsi="Arial"/>
                <w:b/>
                <w:color w:val="0070C0"/>
              </w:rPr>
              <w:t>Nom, unité et coordonnées du/des responsable(s) de projets :</w:t>
            </w:r>
          </w:p>
        </w:tc>
        <w:tc>
          <w:tcPr>
            <w:tcW w:w="5953" w:type="dxa"/>
            <w:tcBorders>
              <w:top w:val="single" w:sz="4" w:space="0" w:color="EEBBC0"/>
              <w:bottom w:val="single" w:sz="4" w:space="0" w:color="EEBBC0"/>
            </w:tcBorders>
            <w:shd w:val="clear" w:color="auto" w:fill="ECF0FA"/>
            <w:noWrap/>
            <w:tcMar>
              <w:top w:w="113" w:type="dxa"/>
              <w:left w:w="113" w:type="dxa"/>
              <w:right w:w="113" w:type="dxa"/>
            </w:tcMar>
          </w:tcPr>
          <w:p w14:paraId="306D4A4C" w14:textId="6F8D7045" w:rsidR="00925A18" w:rsidRPr="00585FCB" w:rsidRDefault="00925A18" w:rsidP="00C62E8C">
            <w:pPr>
              <w:widowControl w:val="0"/>
              <w:autoSpaceDE w:val="0"/>
              <w:autoSpaceDN w:val="0"/>
              <w:adjustRightInd w:val="0"/>
              <w:jc w:val="both"/>
              <w:rPr>
                <w:rFonts w:ascii="Arial" w:eastAsia="@Arial Unicode MS" w:hAnsi="Arial" w:cs="Arial"/>
                <w:szCs w:val="22"/>
              </w:rPr>
            </w:pPr>
            <w:r>
              <w:rPr>
                <w:rFonts w:ascii="Arial" w:hAnsi="Arial"/>
              </w:rPr>
              <w:t xml:space="preserve">Tim Curtis, chef de la Section </w:t>
            </w:r>
            <w:r w:rsidR="00042797">
              <w:rPr>
                <w:rFonts w:ascii="Arial" w:hAnsi="Arial"/>
              </w:rPr>
              <w:t>de l</w:t>
            </w:r>
            <w:r w:rsidR="00C62E8C">
              <w:rPr>
                <w:rFonts w:ascii="Arial" w:hAnsi="Arial"/>
              </w:rPr>
              <w:t>’</w:t>
            </w:r>
            <w:r w:rsidR="00042797">
              <w:rPr>
                <w:rFonts w:ascii="Arial" w:hAnsi="Arial"/>
              </w:rPr>
              <w:t xml:space="preserve">Entité </w:t>
            </w:r>
            <w:r>
              <w:rPr>
                <w:rFonts w:ascii="Arial" w:hAnsi="Arial"/>
              </w:rPr>
              <w:t xml:space="preserve">du patrimoine </w:t>
            </w:r>
            <w:r w:rsidR="00C62E8C">
              <w:rPr>
                <w:rFonts w:ascii="Arial" w:hAnsi="Arial"/>
              </w:rPr>
              <w:t>vivant</w:t>
            </w:r>
            <w:r>
              <w:rPr>
                <w:rFonts w:ascii="Arial" w:hAnsi="Arial"/>
              </w:rPr>
              <w:t xml:space="preserve"> et </w:t>
            </w:r>
            <w:r w:rsidR="00042797">
              <w:rPr>
                <w:rFonts w:ascii="Arial" w:hAnsi="Arial"/>
              </w:rPr>
              <w:t>S</w:t>
            </w:r>
            <w:r>
              <w:rPr>
                <w:rFonts w:ascii="Arial" w:hAnsi="Arial"/>
              </w:rPr>
              <w:t>ecrétaire de la Convention pour la sauvegarde du patrimoine culturel immatériel</w:t>
            </w:r>
          </w:p>
          <w:p w14:paraId="6BC82058" w14:textId="0DE88587" w:rsidR="00925A18" w:rsidRPr="00585FCB" w:rsidRDefault="00925A18" w:rsidP="00C62E8C">
            <w:pPr>
              <w:widowControl w:val="0"/>
              <w:autoSpaceDE w:val="0"/>
              <w:autoSpaceDN w:val="0"/>
              <w:adjustRightInd w:val="0"/>
              <w:jc w:val="both"/>
              <w:rPr>
                <w:rFonts w:ascii="Arial" w:eastAsia="@Arial Unicode MS" w:hAnsi="Arial" w:cs="Arial"/>
                <w:i/>
                <w:szCs w:val="22"/>
              </w:rPr>
            </w:pPr>
            <w:r>
              <w:rPr>
                <w:rFonts w:ascii="Arial" w:hAnsi="Arial"/>
                <w:i/>
              </w:rPr>
              <w:t>Des collègues du secteur de l</w:t>
            </w:r>
            <w:r w:rsidR="00C62E8C">
              <w:rPr>
                <w:rFonts w:ascii="Arial" w:hAnsi="Arial"/>
                <w:i/>
              </w:rPr>
              <w:t>’</w:t>
            </w:r>
            <w:r>
              <w:rPr>
                <w:rFonts w:ascii="Arial" w:hAnsi="Arial"/>
                <w:i/>
              </w:rPr>
              <w:t>éducation participeront à tous les stades des projets, de la conception à l</w:t>
            </w:r>
            <w:r w:rsidR="00C62E8C">
              <w:rPr>
                <w:rFonts w:ascii="Arial" w:hAnsi="Arial"/>
                <w:i/>
              </w:rPr>
              <w:t>’</w:t>
            </w:r>
            <w:r>
              <w:rPr>
                <w:rFonts w:ascii="Arial" w:hAnsi="Arial"/>
                <w:i/>
              </w:rPr>
              <w:t xml:space="preserve">évaluation </w:t>
            </w:r>
          </w:p>
        </w:tc>
      </w:tr>
      <w:tr w:rsidR="00925A18" w:rsidRPr="00370FB3" w14:paraId="3F570CAA" w14:textId="77777777" w:rsidTr="00C62E8C">
        <w:tc>
          <w:tcPr>
            <w:tcW w:w="3685" w:type="dxa"/>
            <w:tcBorders>
              <w:top w:val="single" w:sz="4" w:space="0" w:color="EEBBC0"/>
              <w:bottom w:val="single" w:sz="4" w:space="0" w:color="EEBBC0"/>
            </w:tcBorders>
            <w:shd w:val="clear" w:color="auto" w:fill="D8E2F4"/>
            <w:noWrap/>
            <w:tcMar>
              <w:top w:w="113" w:type="dxa"/>
              <w:left w:w="113" w:type="dxa"/>
              <w:right w:w="113" w:type="dxa"/>
            </w:tcMar>
          </w:tcPr>
          <w:p w14:paraId="16471C02" w14:textId="77777777" w:rsidR="00925A18" w:rsidRPr="00585FCB" w:rsidRDefault="00925A18" w:rsidP="000660D9">
            <w:pPr>
              <w:widowControl w:val="0"/>
              <w:autoSpaceDE w:val="0"/>
              <w:autoSpaceDN w:val="0"/>
              <w:adjustRightInd w:val="0"/>
              <w:rPr>
                <w:rFonts w:ascii="Arial" w:hAnsi="Arial" w:cs="Arial"/>
                <w:b/>
                <w:color w:val="0070C0"/>
                <w:szCs w:val="22"/>
              </w:rPr>
            </w:pPr>
            <w:r>
              <w:rPr>
                <w:rFonts w:ascii="Arial" w:hAnsi="Arial"/>
                <w:b/>
                <w:color w:val="0070C0"/>
              </w:rPr>
              <w:t>Institution(s) partenaire(s) :</w:t>
            </w:r>
          </w:p>
        </w:tc>
        <w:tc>
          <w:tcPr>
            <w:tcW w:w="5953" w:type="dxa"/>
            <w:tcBorders>
              <w:top w:val="single" w:sz="4" w:space="0" w:color="EEBBC0"/>
              <w:bottom w:val="single" w:sz="4" w:space="0" w:color="EEBBC0"/>
            </w:tcBorders>
            <w:shd w:val="clear" w:color="auto" w:fill="ECF0FA"/>
            <w:noWrap/>
            <w:tcMar>
              <w:top w:w="113" w:type="dxa"/>
              <w:left w:w="113" w:type="dxa"/>
              <w:right w:w="113" w:type="dxa"/>
            </w:tcMar>
          </w:tcPr>
          <w:p w14:paraId="410A3319" w14:textId="2018F058" w:rsidR="00925A18" w:rsidRPr="00585FCB" w:rsidRDefault="00925A18" w:rsidP="00C62E8C">
            <w:pPr>
              <w:widowControl w:val="0"/>
              <w:autoSpaceDE w:val="0"/>
              <w:autoSpaceDN w:val="0"/>
              <w:adjustRightInd w:val="0"/>
              <w:jc w:val="both"/>
              <w:rPr>
                <w:rFonts w:ascii="Arial" w:eastAsia="@Arial Unicode MS" w:hAnsi="Arial" w:cs="Arial"/>
                <w:szCs w:val="22"/>
              </w:rPr>
            </w:pPr>
            <w:r>
              <w:rPr>
                <w:rFonts w:ascii="Arial" w:hAnsi="Arial"/>
              </w:rPr>
              <w:t>Ministères de la culture et de l</w:t>
            </w:r>
            <w:r w:rsidR="00C62E8C">
              <w:rPr>
                <w:rFonts w:ascii="Arial" w:hAnsi="Arial"/>
              </w:rPr>
              <w:t>’</w:t>
            </w:r>
            <w:r>
              <w:rPr>
                <w:rFonts w:ascii="Arial" w:hAnsi="Arial"/>
              </w:rPr>
              <w:t>éducation, institutions culturelles et éducatives concernées, centres de catégorie</w:t>
            </w:r>
            <w:r w:rsidR="00C62E8C">
              <w:rPr>
                <w:rFonts w:ascii="Arial" w:hAnsi="Arial"/>
              </w:rPr>
              <w:t> </w:t>
            </w:r>
            <w:r>
              <w:rPr>
                <w:rFonts w:ascii="Arial" w:hAnsi="Arial"/>
              </w:rPr>
              <w:t>2, instituts et bureaux de l</w:t>
            </w:r>
            <w:r w:rsidR="00C62E8C">
              <w:rPr>
                <w:rFonts w:ascii="Arial" w:hAnsi="Arial"/>
              </w:rPr>
              <w:t>’</w:t>
            </w:r>
            <w:r>
              <w:rPr>
                <w:rFonts w:ascii="Arial" w:hAnsi="Arial"/>
              </w:rPr>
              <w:t>UNESCO pour l</w:t>
            </w:r>
            <w:r w:rsidR="00C62E8C">
              <w:rPr>
                <w:rFonts w:ascii="Arial" w:hAnsi="Arial"/>
              </w:rPr>
              <w:t>’</w:t>
            </w:r>
            <w:r>
              <w:rPr>
                <w:rFonts w:ascii="Arial" w:hAnsi="Arial"/>
              </w:rPr>
              <w:t xml:space="preserve">éducation </w:t>
            </w:r>
          </w:p>
        </w:tc>
      </w:tr>
      <w:tr w:rsidR="00925A18" w:rsidRPr="00585FCB" w14:paraId="33B8B71A" w14:textId="77777777" w:rsidTr="00C62E8C">
        <w:tc>
          <w:tcPr>
            <w:tcW w:w="3685" w:type="dxa"/>
            <w:tcBorders>
              <w:top w:val="single" w:sz="4" w:space="0" w:color="EEBBC0"/>
              <w:bottom w:val="single" w:sz="2" w:space="0" w:color="FFFFFF" w:themeColor="background1"/>
            </w:tcBorders>
            <w:shd w:val="clear" w:color="auto" w:fill="D8E2F4"/>
            <w:noWrap/>
            <w:tcMar>
              <w:top w:w="113" w:type="dxa"/>
              <w:left w:w="113" w:type="dxa"/>
              <w:right w:w="113" w:type="dxa"/>
            </w:tcMar>
          </w:tcPr>
          <w:p w14:paraId="098DB3A6" w14:textId="77777777" w:rsidR="00925A18" w:rsidRPr="00585FCB" w:rsidRDefault="00925A18" w:rsidP="000660D9">
            <w:pPr>
              <w:widowControl w:val="0"/>
              <w:autoSpaceDE w:val="0"/>
              <w:autoSpaceDN w:val="0"/>
              <w:adjustRightInd w:val="0"/>
              <w:rPr>
                <w:rFonts w:ascii="Arial" w:hAnsi="Arial" w:cs="Arial"/>
                <w:b/>
                <w:color w:val="0070C0"/>
                <w:szCs w:val="22"/>
              </w:rPr>
            </w:pPr>
            <w:r>
              <w:rPr>
                <w:rFonts w:ascii="Arial" w:hAnsi="Arial"/>
                <w:b/>
                <w:color w:val="0070C0"/>
              </w:rPr>
              <w:t>Estimation du budget total comprenant les coûts de soutien au programme :</w:t>
            </w:r>
          </w:p>
        </w:tc>
        <w:tc>
          <w:tcPr>
            <w:tcW w:w="5953" w:type="dxa"/>
            <w:tcBorders>
              <w:top w:val="single" w:sz="4" w:space="0" w:color="EEBBC0"/>
              <w:bottom w:val="single" w:sz="2" w:space="0" w:color="FFFFFF" w:themeColor="background1"/>
            </w:tcBorders>
            <w:shd w:val="clear" w:color="auto" w:fill="ECF0FA"/>
            <w:noWrap/>
            <w:tcMar>
              <w:top w:w="113" w:type="dxa"/>
              <w:left w:w="113" w:type="dxa"/>
              <w:right w:w="113" w:type="dxa"/>
            </w:tcMar>
          </w:tcPr>
          <w:p w14:paraId="1C318B46" w14:textId="77777777" w:rsidR="00925A18" w:rsidRPr="00585FCB" w:rsidRDefault="00925A18" w:rsidP="00C62E8C">
            <w:pPr>
              <w:widowControl w:val="0"/>
              <w:autoSpaceDE w:val="0"/>
              <w:autoSpaceDN w:val="0"/>
              <w:adjustRightInd w:val="0"/>
              <w:jc w:val="both"/>
              <w:rPr>
                <w:rFonts w:ascii="Arial" w:eastAsia="@Arial Unicode MS" w:hAnsi="Arial" w:cs="Arial"/>
                <w:szCs w:val="22"/>
              </w:rPr>
            </w:pPr>
            <w:r>
              <w:rPr>
                <w:rFonts w:ascii="Arial" w:hAnsi="Arial"/>
              </w:rPr>
              <w:t>3,5 millions de dollars des États-Unis</w:t>
            </w:r>
          </w:p>
        </w:tc>
      </w:tr>
    </w:tbl>
    <w:p w14:paraId="6C34A788" w14:textId="77777777" w:rsidR="00925A18" w:rsidRPr="00160AF5" w:rsidRDefault="00925A18" w:rsidP="00925A18">
      <w:pPr>
        <w:shd w:val="clear" w:color="auto" w:fill="0077D4"/>
        <w:tabs>
          <w:tab w:val="left" w:pos="567"/>
        </w:tabs>
        <w:snapToGrid w:val="0"/>
        <w:spacing w:before="240"/>
        <w:ind w:left="-144"/>
        <w:rPr>
          <w:rFonts w:ascii="Arial" w:eastAsia="Calibri" w:hAnsi="Arial" w:cs="Arial"/>
          <w:color w:val="FFFFFF"/>
          <w:sz w:val="28"/>
          <w:szCs w:val="28"/>
        </w:rPr>
      </w:pPr>
      <w:r>
        <w:rPr>
          <w:rFonts w:ascii="Arial" w:hAnsi="Arial"/>
          <w:color w:val="FFFFFF"/>
          <w:sz w:val="28"/>
        </w:rPr>
        <w:t>Principe et objectif global</w:t>
      </w:r>
    </w:p>
    <w:p w14:paraId="3B0BFE99" w14:textId="6CC4451A" w:rsidR="00925A18" w:rsidRDefault="00925A18" w:rsidP="00925A18">
      <w:pPr>
        <w:jc w:val="both"/>
        <w:rPr>
          <w:rFonts w:ascii="Arial" w:hAnsi="Arial" w:cs="Arial"/>
          <w:szCs w:val="22"/>
        </w:rPr>
      </w:pPr>
      <w:r>
        <w:rPr>
          <w:rFonts w:ascii="Arial" w:hAnsi="Arial"/>
        </w:rPr>
        <w:t>L</w:t>
      </w:r>
      <w:r w:rsidR="00C62E8C">
        <w:rPr>
          <w:rFonts w:ascii="Arial" w:hAnsi="Arial"/>
        </w:rPr>
        <w:t>’</w:t>
      </w:r>
      <w:r>
        <w:rPr>
          <w:rFonts w:ascii="Arial" w:hAnsi="Arial"/>
        </w:rPr>
        <w:t>intégration du patrimoine vivant dans l</w:t>
      </w:r>
      <w:r w:rsidR="00C62E8C">
        <w:rPr>
          <w:rFonts w:ascii="Arial" w:hAnsi="Arial"/>
        </w:rPr>
        <w:t>’</w:t>
      </w:r>
      <w:r>
        <w:rPr>
          <w:rFonts w:ascii="Arial" w:hAnsi="Arial"/>
        </w:rPr>
        <w:t>éducation formelle et non formelle peut prendre de multiples formes, comme l</w:t>
      </w:r>
      <w:r w:rsidR="00C62E8C">
        <w:rPr>
          <w:rFonts w:ascii="Arial" w:hAnsi="Arial"/>
        </w:rPr>
        <w:t>’</w:t>
      </w:r>
      <w:r>
        <w:rPr>
          <w:rFonts w:ascii="Arial" w:hAnsi="Arial"/>
        </w:rPr>
        <w:t>établit l</w:t>
      </w:r>
      <w:r w:rsidR="00C62E8C">
        <w:rPr>
          <w:rFonts w:ascii="Arial" w:hAnsi="Arial"/>
        </w:rPr>
        <w:t>’</w:t>
      </w:r>
      <w:r>
        <w:rPr>
          <w:rFonts w:ascii="Arial" w:hAnsi="Arial"/>
        </w:rPr>
        <w:t>éventail de projets mis en œuvre depuis le lancement de ce programme à la fin de 2017. Selon le Service d</w:t>
      </w:r>
      <w:r w:rsidR="00C62E8C">
        <w:rPr>
          <w:rFonts w:ascii="Arial" w:hAnsi="Arial"/>
        </w:rPr>
        <w:t>’</w:t>
      </w:r>
      <w:r>
        <w:rPr>
          <w:rFonts w:ascii="Arial" w:hAnsi="Arial"/>
        </w:rPr>
        <w:t>évaluation et d</w:t>
      </w:r>
      <w:r w:rsidR="00C62E8C">
        <w:rPr>
          <w:rFonts w:ascii="Arial" w:hAnsi="Arial"/>
        </w:rPr>
        <w:t>’</w:t>
      </w:r>
      <w:r>
        <w:rPr>
          <w:rFonts w:ascii="Arial" w:hAnsi="Arial"/>
        </w:rPr>
        <w:t>audit (IOS) de l</w:t>
      </w:r>
      <w:r w:rsidR="00C62E8C">
        <w:rPr>
          <w:rFonts w:ascii="Arial" w:hAnsi="Arial"/>
        </w:rPr>
        <w:t>’</w:t>
      </w:r>
      <w:r>
        <w:rPr>
          <w:rFonts w:ascii="Arial" w:hAnsi="Arial"/>
        </w:rPr>
        <w:t xml:space="preserve">UNESCO, en 2021, « les projets ont commencé à montrer toute la </w:t>
      </w:r>
      <w:r w:rsidRPr="0005628D">
        <w:rPr>
          <w:rFonts w:ascii="Arial" w:hAnsi="Arial"/>
        </w:rPr>
        <w:t>valeur de l</w:t>
      </w:r>
      <w:r w:rsidR="00C62E8C" w:rsidRPr="0005628D">
        <w:rPr>
          <w:rFonts w:ascii="Arial" w:hAnsi="Arial"/>
        </w:rPr>
        <w:t>’</w:t>
      </w:r>
      <w:r w:rsidRPr="0005628D">
        <w:rPr>
          <w:rFonts w:ascii="Arial" w:hAnsi="Arial"/>
        </w:rPr>
        <w:t xml:space="preserve">intégration du patrimoine vivant dans les contextes éducatifs » (voir les documents </w:t>
      </w:r>
      <w:hyperlink r:id="rId38" w:history="1">
        <w:r w:rsidRPr="0005628D">
          <w:rPr>
            <w:rStyle w:val="Hyperlink"/>
            <w:rFonts w:ascii="Arial" w:hAnsi="Arial"/>
          </w:rPr>
          <w:t>LHE/21/16.COM/10</w:t>
        </w:r>
      </w:hyperlink>
      <w:r w:rsidRPr="0005628D">
        <w:rPr>
          <w:rFonts w:ascii="Arial" w:hAnsi="Arial"/>
        </w:rPr>
        <w:t xml:space="preserve"> et </w:t>
      </w:r>
      <w:hyperlink r:id="rId39" w:history="1">
        <w:r w:rsidRPr="0005628D">
          <w:rPr>
            <w:rStyle w:val="Hyperlink"/>
            <w:rFonts w:ascii="Arial" w:hAnsi="Arial"/>
          </w:rPr>
          <w:t>LHE/21/16.COM/INF.10</w:t>
        </w:r>
      </w:hyperlink>
      <w:r w:rsidRPr="0005628D">
        <w:rPr>
          <w:rFonts w:ascii="Arial" w:hAnsi="Arial"/>
        </w:rPr>
        <w:t>).</w:t>
      </w:r>
      <w:r>
        <w:rPr>
          <w:rFonts w:ascii="Arial" w:hAnsi="Arial"/>
        </w:rPr>
        <w:t xml:space="preserve"> L</w:t>
      </w:r>
      <w:r w:rsidR="00C62E8C">
        <w:rPr>
          <w:rFonts w:ascii="Arial" w:hAnsi="Arial"/>
        </w:rPr>
        <w:t>’</w:t>
      </w:r>
      <w:r>
        <w:rPr>
          <w:rFonts w:ascii="Arial" w:hAnsi="Arial"/>
        </w:rPr>
        <w:t>évaluation souligne que les partenariats établis entre les communautés, les détenteurs de la culture du PCI et les écoles sont peut-être l</w:t>
      </w:r>
      <w:r w:rsidR="00C62E8C">
        <w:rPr>
          <w:rFonts w:ascii="Arial" w:hAnsi="Arial"/>
        </w:rPr>
        <w:t>’</w:t>
      </w:r>
      <w:r>
        <w:rPr>
          <w:rFonts w:ascii="Arial" w:hAnsi="Arial"/>
        </w:rPr>
        <w:t>une des « caractéristiques les plus gratifiantes » des projets menés jusqu</w:t>
      </w:r>
      <w:r w:rsidR="00C62E8C">
        <w:rPr>
          <w:rFonts w:ascii="Arial" w:hAnsi="Arial"/>
        </w:rPr>
        <w:t>’</w:t>
      </w:r>
      <w:r>
        <w:rPr>
          <w:rFonts w:ascii="Arial" w:hAnsi="Arial"/>
        </w:rPr>
        <w:t xml:space="preserve">à présent. </w:t>
      </w:r>
      <w:r>
        <w:rPr>
          <w:noProof/>
        </w:rPr>
        <w:drawing>
          <wp:anchor distT="0" distB="0" distL="114300" distR="114300" simplePos="0" relativeHeight="251670528" behindDoc="0" locked="0" layoutInCell="1" allowOverlap="1" wp14:anchorId="36E57367" wp14:editId="1B890C83">
            <wp:simplePos x="0" y="0"/>
            <wp:positionH relativeFrom="margin">
              <wp:posOffset>58287</wp:posOffset>
            </wp:positionH>
            <wp:positionV relativeFrom="paragraph">
              <wp:posOffset>71935</wp:posOffset>
            </wp:positionV>
            <wp:extent cx="3200400" cy="2400300"/>
            <wp:effectExtent l="133350" t="114300" r="133350" b="17145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200400" cy="24003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t xml:space="preserve"> </w:t>
      </w:r>
      <w:r>
        <w:rPr>
          <w:rFonts w:ascii="Arial" w:hAnsi="Arial"/>
        </w:rPr>
        <w:t>Toutefois, pour aller plus loin, le programme doit maintenant « prendre de l</w:t>
      </w:r>
      <w:r w:rsidR="00C62E8C">
        <w:rPr>
          <w:rFonts w:ascii="Arial" w:hAnsi="Arial"/>
        </w:rPr>
        <w:t>’</w:t>
      </w:r>
      <w:r>
        <w:rPr>
          <w:rFonts w:ascii="Arial" w:hAnsi="Arial"/>
        </w:rPr>
        <w:t>envergure » pour garantir que les projets ne restent pas isolés, mais que les leçons apprises éclairent les politiques éducatives et s</w:t>
      </w:r>
      <w:r w:rsidR="00C62E8C">
        <w:rPr>
          <w:rFonts w:ascii="Arial" w:hAnsi="Arial"/>
        </w:rPr>
        <w:t>’</w:t>
      </w:r>
      <w:r>
        <w:rPr>
          <w:rFonts w:ascii="Arial" w:hAnsi="Arial"/>
        </w:rPr>
        <w:t>ancrent fermement dans les systèmes éducatifs. Une approche interministérielle solide entre les secteurs de la culture et de l</w:t>
      </w:r>
      <w:r w:rsidR="00C62E8C">
        <w:rPr>
          <w:rFonts w:ascii="Arial" w:hAnsi="Arial"/>
        </w:rPr>
        <w:t>’</w:t>
      </w:r>
      <w:r>
        <w:rPr>
          <w:rFonts w:ascii="Arial" w:hAnsi="Arial"/>
        </w:rPr>
        <w:t>éducation est indispensable pour renforcer efficacement la « transmission par l</w:t>
      </w:r>
      <w:r w:rsidR="00C62E8C">
        <w:rPr>
          <w:rFonts w:ascii="Arial" w:hAnsi="Arial"/>
        </w:rPr>
        <w:t>’</w:t>
      </w:r>
      <w:r>
        <w:rPr>
          <w:rFonts w:ascii="Arial" w:hAnsi="Arial"/>
        </w:rPr>
        <w:t xml:space="preserve">éducation formelle et non formelle » en tant que mesure de sauvegarde et pour améliorer le respect et la reconnaissance de ce patrimoine culturel vivant (articles 2 et 14 de la Convention), tout en contribuant à une éducation pertinente de qualité. Le Cadre global de résultats de la Convention comprend trois indicateurs </w:t>
      </w:r>
      <w:r>
        <w:rPr>
          <w:rFonts w:ascii="Arial" w:hAnsi="Arial"/>
        </w:rPr>
        <w:lastRenderedPageBreak/>
        <w:t>associés à l</w:t>
      </w:r>
      <w:r w:rsidR="00C62E8C">
        <w:rPr>
          <w:rFonts w:ascii="Arial" w:hAnsi="Arial"/>
        </w:rPr>
        <w:t>’</w:t>
      </w:r>
      <w:r>
        <w:rPr>
          <w:rFonts w:ascii="Arial" w:hAnsi="Arial"/>
        </w:rPr>
        <w:t>éducation et un indicateur associé aux politiques éducatives. Ce sont ces indicateurs qui guident la logique d</w:t>
      </w:r>
      <w:r w:rsidR="00C62E8C">
        <w:rPr>
          <w:rFonts w:ascii="Arial" w:hAnsi="Arial"/>
        </w:rPr>
        <w:t>’</w:t>
      </w:r>
      <w:r>
        <w:rPr>
          <w:rFonts w:ascii="Arial" w:hAnsi="Arial"/>
        </w:rPr>
        <w:t>intervention de ce programme.</w:t>
      </w:r>
    </w:p>
    <w:p w14:paraId="56330687" w14:textId="1D730B1A" w:rsidR="00925A18" w:rsidRPr="00A57A78" w:rsidRDefault="00925A18" w:rsidP="00925A18">
      <w:pPr>
        <w:jc w:val="both"/>
        <w:rPr>
          <w:rFonts w:ascii="Arial" w:hAnsi="Arial" w:cs="Arial"/>
          <w:szCs w:val="22"/>
        </w:rPr>
      </w:pPr>
      <w:r>
        <w:rPr>
          <w:rFonts w:ascii="Arial" w:hAnsi="Arial"/>
        </w:rPr>
        <w:t>Le patrimoine vivant est un fondement de l</w:t>
      </w:r>
      <w:r w:rsidR="00C62E8C">
        <w:rPr>
          <w:rFonts w:ascii="Arial" w:hAnsi="Arial"/>
        </w:rPr>
        <w:t>’</w:t>
      </w:r>
      <w:r>
        <w:rPr>
          <w:rFonts w:ascii="Arial" w:hAnsi="Arial"/>
        </w:rPr>
        <w:t>apprentissage. Il peut offrir pour les programmes éducatifs un contenu, des significations, des pédagogies et un langage spécifiques au contexte. En ancrant le processus d</w:t>
      </w:r>
      <w:r w:rsidR="00C62E8C">
        <w:rPr>
          <w:rFonts w:ascii="Arial" w:hAnsi="Arial"/>
        </w:rPr>
        <w:t>’</w:t>
      </w:r>
      <w:r>
        <w:rPr>
          <w:rFonts w:ascii="Arial" w:hAnsi="Arial"/>
        </w:rPr>
        <w:t>apprentissage dans sa propre culture et en générant des possibilités d</w:t>
      </w:r>
      <w:r w:rsidR="00C62E8C">
        <w:rPr>
          <w:rFonts w:ascii="Arial" w:hAnsi="Arial"/>
        </w:rPr>
        <w:t>’</w:t>
      </w:r>
      <w:r>
        <w:rPr>
          <w:rFonts w:ascii="Arial" w:hAnsi="Arial"/>
        </w:rPr>
        <w:t>élargissement et de transformation des expériences existantes, le patrimoine culturel immatériel agit comme un levier qui augmente la pertinence de l</w:t>
      </w:r>
      <w:r w:rsidR="00C62E8C">
        <w:rPr>
          <w:rFonts w:ascii="Arial" w:hAnsi="Arial"/>
        </w:rPr>
        <w:t>’</w:t>
      </w:r>
      <w:r>
        <w:rPr>
          <w:rFonts w:ascii="Arial" w:hAnsi="Arial"/>
        </w:rPr>
        <w:t>éducation et améliore les résultats d</w:t>
      </w:r>
      <w:r w:rsidR="00C62E8C">
        <w:rPr>
          <w:rFonts w:ascii="Arial" w:hAnsi="Arial"/>
        </w:rPr>
        <w:t>’</w:t>
      </w:r>
      <w:r>
        <w:rPr>
          <w:rFonts w:ascii="Arial" w:hAnsi="Arial"/>
        </w:rPr>
        <w:t>apprentissage, tout en favorisant le respect mutuel et l</w:t>
      </w:r>
      <w:r w:rsidR="00C62E8C">
        <w:rPr>
          <w:rFonts w:ascii="Arial" w:hAnsi="Arial"/>
        </w:rPr>
        <w:t>’</w:t>
      </w:r>
      <w:r>
        <w:rPr>
          <w:rFonts w:ascii="Arial" w:hAnsi="Arial"/>
        </w:rPr>
        <w:t>appréciation de la diversité. En outre, le patrimoine culturel immatériel permet de relier les systèmes éducatifs à la communauté locale et vice-versa, en reconnaissant le rôle des communautés dans les processus d</w:t>
      </w:r>
      <w:r w:rsidR="00C62E8C">
        <w:rPr>
          <w:rFonts w:ascii="Arial" w:hAnsi="Arial"/>
        </w:rPr>
        <w:t>’</w:t>
      </w:r>
      <w:r>
        <w:rPr>
          <w:rFonts w:ascii="Arial" w:hAnsi="Arial"/>
        </w:rPr>
        <w:t>enseignement et d</w:t>
      </w:r>
      <w:r w:rsidR="00C62E8C">
        <w:rPr>
          <w:rFonts w:ascii="Arial" w:hAnsi="Arial"/>
        </w:rPr>
        <w:t>’</w:t>
      </w:r>
      <w:r>
        <w:rPr>
          <w:rFonts w:ascii="Arial" w:hAnsi="Arial"/>
        </w:rPr>
        <w:t>apprentissage. À cet égard, le patrimoine culturel immatériel constitue une ressource indispensable et extrêmement riche pour atteindre l</w:t>
      </w:r>
      <w:r w:rsidR="00C62E8C">
        <w:rPr>
          <w:rFonts w:ascii="Arial" w:hAnsi="Arial"/>
        </w:rPr>
        <w:t>’</w:t>
      </w:r>
      <w:r>
        <w:rPr>
          <w:rFonts w:ascii="Arial" w:hAnsi="Arial"/>
        </w:rPr>
        <w:t>ODD 4, notamment la cible 4.7</w:t>
      </w:r>
      <w:r>
        <w:t xml:space="preserve"> </w:t>
      </w:r>
      <w:r>
        <w:rPr>
          <w:rFonts w:ascii="Arial" w:hAnsi="Arial"/>
        </w:rPr>
        <w:t>qui met l</w:t>
      </w:r>
      <w:r w:rsidR="00C62E8C">
        <w:rPr>
          <w:rFonts w:ascii="Arial" w:hAnsi="Arial"/>
        </w:rPr>
        <w:t>’</w:t>
      </w:r>
      <w:r>
        <w:rPr>
          <w:rFonts w:ascii="Arial" w:hAnsi="Arial"/>
        </w:rPr>
        <w:t>accent sur l</w:t>
      </w:r>
      <w:r w:rsidR="00C62E8C">
        <w:rPr>
          <w:rFonts w:ascii="Arial" w:hAnsi="Arial"/>
        </w:rPr>
        <w:t>’</w:t>
      </w:r>
      <w:r>
        <w:rPr>
          <w:rFonts w:ascii="Arial" w:hAnsi="Arial"/>
        </w:rPr>
        <w:t>apprentissage de « l</w:t>
      </w:r>
      <w:r w:rsidR="00C62E8C">
        <w:rPr>
          <w:rFonts w:ascii="Arial" w:hAnsi="Arial"/>
        </w:rPr>
        <w:t>’</w:t>
      </w:r>
      <w:r>
        <w:rPr>
          <w:rFonts w:ascii="Arial" w:hAnsi="Arial"/>
        </w:rPr>
        <w:t>appréciation de la diversité culturelle » et de « la compréhension du rôle de la culture dans le développement », ainsi que sur l</w:t>
      </w:r>
      <w:r w:rsidR="00C62E8C">
        <w:rPr>
          <w:rFonts w:ascii="Arial" w:hAnsi="Arial"/>
        </w:rPr>
        <w:t>’</w:t>
      </w:r>
      <w:r>
        <w:rPr>
          <w:rFonts w:ascii="Arial" w:hAnsi="Arial"/>
        </w:rPr>
        <w:t>éducation au développement durable et à la citoyenneté mondiale.</w:t>
      </w:r>
    </w:p>
    <w:p w14:paraId="7E8E45CD" w14:textId="77777777" w:rsidR="00925A18" w:rsidRDefault="00925A18" w:rsidP="00925A18">
      <w:pPr>
        <w:jc w:val="both"/>
        <w:rPr>
          <w:rFonts w:ascii="Arial" w:hAnsi="Arial" w:cs="Arial"/>
          <w:b/>
          <w:bCs/>
          <w:i/>
          <w:iCs/>
          <w:szCs w:val="22"/>
        </w:rPr>
      </w:pPr>
      <w:r>
        <w:rPr>
          <w:rFonts w:ascii="Arial" w:hAnsi="Arial"/>
          <w:b/>
          <w:i/>
        </w:rPr>
        <w:t>Avancement et réalisations</w:t>
      </w:r>
    </w:p>
    <w:p w14:paraId="73F0CA2C" w14:textId="617D99F1" w:rsidR="00B6214D" w:rsidRDefault="00925A18" w:rsidP="00B6214D">
      <w:pPr>
        <w:jc w:val="both"/>
        <w:rPr>
          <w:rFonts w:ascii="Arial" w:hAnsi="Arial" w:cs="Arial"/>
          <w:szCs w:val="22"/>
        </w:rPr>
      </w:pPr>
      <w:r>
        <w:rPr>
          <w:rFonts w:ascii="Arial" w:hAnsi="Arial"/>
        </w:rPr>
        <w:t>La première phase de mise en œuvre du Programme (2018 à 2021) portait essentiellement sur la fourniture d</w:t>
      </w:r>
      <w:r w:rsidR="00C62E8C">
        <w:rPr>
          <w:rFonts w:ascii="Arial" w:hAnsi="Arial"/>
        </w:rPr>
        <w:t>’</w:t>
      </w:r>
      <w:r>
        <w:rPr>
          <w:rFonts w:ascii="Arial" w:hAnsi="Arial"/>
        </w:rPr>
        <w:t>un soutien technique aux États membres pour concevoir et mettre en œuvre un large éventail de projets visant à développer et à tester des méthodes et des outils permettant d</w:t>
      </w:r>
      <w:r w:rsidR="00C62E8C">
        <w:rPr>
          <w:rFonts w:ascii="Arial" w:hAnsi="Arial"/>
        </w:rPr>
        <w:t>’</w:t>
      </w:r>
      <w:r>
        <w:rPr>
          <w:rFonts w:ascii="Arial" w:hAnsi="Arial"/>
        </w:rPr>
        <w:t>intégrer le patrimoine vivant dans les programmes éducatifs. Un soutien technique a été fourni pour sensibiliser au rôle important que l</w:t>
      </w:r>
      <w:r w:rsidR="00C62E8C">
        <w:rPr>
          <w:rFonts w:ascii="Arial" w:hAnsi="Arial"/>
        </w:rPr>
        <w:t>’</w:t>
      </w:r>
      <w:r>
        <w:rPr>
          <w:rFonts w:ascii="Arial" w:hAnsi="Arial"/>
        </w:rPr>
        <w:t>éducation peut jouer dans la sauvegarde du patrimoine vivant, et pour favoriser la collaboration intersectorielle au niveau national. De plus, l</w:t>
      </w:r>
      <w:r w:rsidR="00C62E8C">
        <w:rPr>
          <w:rFonts w:ascii="Arial" w:hAnsi="Arial"/>
        </w:rPr>
        <w:t>’</w:t>
      </w:r>
      <w:r>
        <w:rPr>
          <w:rFonts w:ascii="Arial" w:hAnsi="Arial"/>
        </w:rPr>
        <w:t xml:space="preserve">UNESCO a développé une </w:t>
      </w:r>
      <w:hyperlink r:id="rId41" w:history="1">
        <w:r>
          <w:rPr>
            <w:rStyle w:val="Hyperlink"/>
            <w:rFonts w:ascii="Arial" w:hAnsi="Arial"/>
          </w:rPr>
          <w:t>plate-forme d</w:t>
        </w:r>
        <w:r w:rsidR="00C62E8C">
          <w:rPr>
            <w:rStyle w:val="Hyperlink"/>
            <w:rFonts w:ascii="Arial" w:hAnsi="Arial"/>
          </w:rPr>
          <w:t>’</w:t>
        </w:r>
        <w:r>
          <w:rPr>
            <w:rStyle w:val="Hyperlink"/>
            <w:rFonts w:ascii="Arial" w:hAnsi="Arial"/>
          </w:rPr>
          <w:t>informations</w:t>
        </w:r>
      </w:hyperlink>
      <w:r>
        <w:rPr>
          <w:rFonts w:ascii="Arial" w:hAnsi="Arial"/>
        </w:rPr>
        <w:t xml:space="preserve"> pour le partage des connaissances et élaboré un cours en ligne dédié de formation des formateurs, adapté au rythme des instructeurs et qui a permis de créer un réseau d</w:t>
      </w:r>
      <w:r w:rsidR="00C62E8C">
        <w:rPr>
          <w:rFonts w:ascii="Arial" w:hAnsi="Arial"/>
        </w:rPr>
        <w:t>’</w:t>
      </w:r>
      <w:r>
        <w:rPr>
          <w:rFonts w:ascii="Arial" w:hAnsi="Arial"/>
        </w:rPr>
        <w:t>apprentissage de personnes ressources sur le patrimoine vivant et l</w:t>
      </w:r>
      <w:r w:rsidR="00C62E8C">
        <w:rPr>
          <w:rFonts w:ascii="Arial" w:hAnsi="Arial"/>
        </w:rPr>
        <w:t>’</w:t>
      </w:r>
      <w:r>
        <w:rPr>
          <w:rFonts w:ascii="Arial" w:hAnsi="Arial"/>
        </w:rPr>
        <w:t>éducation, qui peut sur demande proposer des services de formation et de conseil dans ce nouveau domaine de travail.</w:t>
      </w:r>
    </w:p>
    <w:p w14:paraId="58400C21" w14:textId="034196ED" w:rsidR="00925A18" w:rsidRDefault="00925A18" w:rsidP="00B6214D">
      <w:pPr>
        <w:jc w:val="both"/>
        <w:rPr>
          <w:rFonts w:ascii="Arial" w:hAnsi="Arial" w:cs="Arial"/>
          <w:szCs w:val="22"/>
        </w:rPr>
      </w:pPr>
      <w:r>
        <w:rPr>
          <w:rFonts w:ascii="Arial" w:hAnsi="Arial"/>
        </w:rPr>
        <w:t>Un résultat important de ce travail est que l</w:t>
      </w:r>
      <w:r w:rsidR="00C62E8C">
        <w:rPr>
          <w:rFonts w:ascii="Arial" w:hAnsi="Arial"/>
        </w:rPr>
        <w:t>’</w:t>
      </w:r>
      <w:r>
        <w:rPr>
          <w:rFonts w:ascii="Arial" w:hAnsi="Arial"/>
        </w:rPr>
        <w:t>on comprend mieux désormais le rôle du patrimoine vivant et son importance pour la réalisation de l</w:t>
      </w:r>
      <w:r w:rsidR="00C62E8C">
        <w:rPr>
          <w:rFonts w:ascii="Arial" w:hAnsi="Arial"/>
        </w:rPr>
        <w:t>’</w:t>
      </w:r>
      <w:r>
        <w:rPr>
          <w:rFonts w:ascii="Arial" w:hAnsi="Arial"/>
        </w:rPr>
        <w:t>ODD 4 d</w:t>
      </w:r>
      <w:r w:rsidR="00C62E8C">
        <w:rPr>
          <w:rFonts w:ascii="Arial" w:hAnsi="Arial"/>
        </w:rPr>
        <w:t>’</w:t>
      </w:r>
      <w:r>
        <w:rPr>
          <w:rFonts w:ascii="Arial" w:hAnsi="Arial"/>
        </w:rPr>
        <w:t>une éducation de qualité. En outre, selon l</w:t>
      </w:r>
      <w:r w:rsidR="00C62E8C">
        <w:rPr>
          <w:rFonts w:ascii="Arial" w:hAnsi="Arial"/>
        </w:rPr>
        <w:t>’</w:t>
      </w:r>
      <w:r>
        <w:rPr>
          <w:rFonts w:ascii="Arial" w:hAnsi="Arial"/>
        </w:rPr>
        <w:t>évaluation de l</w:t>
      </w:r>
      <w:r w:rsidR="00C62E8C">
        <w:rPr>
          <w:rFonts w:ascii="Arial" w:hAnsi="Arial"/>
        </w:rPr>
        <w:t>’</w:t>
      </w:r>
      <w:r>
        <w:rPr>
          <w:rFonts w:ascii="Arial" w:hAnsi="Arial"/>
        </w:rPr>
        <w:t>IOS, les projets entrepris dans ce domaine ont donné lieu à au moins six résultats, en particulier une sensibilisation accrue et un plus grand respect du PCI parmi les jeunes et la communauté au sens large. Ils montrent aussi l</w:t>
      </w:r>
      <w:r w:rsidR="00C62E8C">
        <w:rPr>
          <w:rFonts w:ascii="Arial" w:hAnsi="Arial"/>
        </w:rPr>
        <w:t>’</w:t>
      </w:r>
      <w:r>
        <w:rPr>
          <w:rFonts w:ascii="Arial" w:hAnsi="Arial"/>
        </w:rPr>
        <w:t>importance du PCI en tant que vecteur de l</w:t>
      </w:r>
      <w:r w:rsidR="00C62E8C">
        <w:rPr>
          <w:rFonts w:ascii="Arial" w:hAnsi="Arial"/>
        </w:rPr>
        <w:t>’</w:t>
      </w:r>
      <w:r>
        <w:rPr>
          <w:rFonts w:ascii="Arial" w:hAnsi="Arial"/>
        </w:rPr>
        <w:t>identité, de la fierté et de l</w:t>
      </w:r>
      <w:r w:rsidR="00C62E8C">
        <w:rPr>
          <w:rFonts w:ascii="Arial" w:hAnsi="Arial"/>
        </w:rPr>
        <w:t>’</w:t>
      </w:r>
      <w:r>
        <w:rPr>
          <w:rFonts w:ascii="Arial" w:hAnsi="Arial"/>
        </w:rPr>
        <w:t>appréciation de la diversité culturelle. Les enseignants participants ont développé leurs capacités et leur confiance pour intégrer le PCI dans leur pratique d</w:t>
      </w:r>
      <w:r w:rsidR="00C62E8C">
        <w:rPr>
          <w:rFonts w:ascii="Arial" w:hAnsi="Arial"/>
        </w:rPr>
        <w:t>’</w:t>
      </w:r>
      <w:r>
        <w:rPr>
          <w:rFonts w:ascii="Arial" w:hAnsi="Arial"/>
        </w:rPr>
        <w:t>enseignement. Dans certains pays, le programme a aussi généré davantage de possibilités pour poursuivre l</w:t>
      </w:r>
      <w:r w:rsidR="00C62E8C">
        <w:rPr>
          <w:rFonts w:ascii="Arial" w:hAnsi="Arial"/>
        </w:rPr>
        <w:t>’</w:t>
      </w:r>
      <w:r>
        <w:rPr>
          <w:rFonts w:ascii="Arial" w:hAnsi="Arial"/>
        </w:rPr>
        <w:t xml:space="preserve">étude du PCI à un niveau </w:t>
      </w:r>
      <w:r w:rsidR="00D52F4A">
        <w:rPr>
          <w:rFonts w:ascii="Arial" w:hAnsi="Arial"/>
        </w:rPr>
        <w:t>postbac</w:t>
      </w:r>
      <w:r>
        <w:rPr>
          <w:rFonts w:ascii="Arial" w:hAnsi="Arial"/>
        </w:rPr>
        <w:t>. En outre, l</w:t>
      </w:r>
      <w:r w:rsidR="00C62E8C">
        <w:rPr>
          <w:rFonts w:ascii="Arial" w:hAnsi="Arial"/>
        </w:rPr>
        <w:t>’</w:t>
      </w:r>
      <w:r>
        <w:rPr>
          <w:rFonts w:ascii="Arial" w:hAnsi="Arial"/>
        </w:rPr>
        <w:t>évaluation de l</w:t>
      </w:r>
      <w:r w:rsidR="00C62E8C">
        <w:rPr>
          <w:rFonts w:ascii="Arial" w:hAnsi="Arial"/>
        </w:rPr>
        <w:t>’</w:t>
      </w:r>
      <w:r>
        <w:rPr>
          <w:rFonts w:ascii="Arial" w:hAnsi="Arial"/>
        </w:rPr>
        <w:t>IOS a reconnu les progrès réalisés dans la consolidation et le partage des connaissances dans ce domaine intersectoriel et l</w:t>
      </w:r>
      <w:r w:rsidR="00C62E8C">
        <w:rPr>
          <w:rFonts w:ascii="Arial" w:hAnsi="Arial"/>
        </w:rPr>
        <w:t>’</w:t>
      </w:r>
      <w:r>
        <w:rPr>
          <w:rFonts w:ascii="Arial" w:hAnsi="Arial"/>
        </w:rPr>
        <w:t>établissement d</w:t>
      </w:r>
      <w:r w:rsidR="00C62E8C">
        <w:rPr>
          <w:rFonts w:ascii="Arial" w:hAnsi="Arial"/>
        </w:rPr>
        <w:t>’</w:t>
      </w:r>
      <w:r>
        <w:rPr>
          <w:rFonts w:ascii="Arial" w:hAnsi="Arial"/>
        </w:rPr>
        <w:t>une collaboration initiale entre les gouvernements et les parties prenantes telles que les communautés, les ONG, les institutions du patrimoine culturel, entre autres, afin de soutenir ce travail.</w:t>
      </w:r>
    </w:p>
    <w:p w14:paraId="2C1E31CB" w14:textId="77777777" w:rsidR="00925A18" w:rsidRPr="00D0160C" w:rsidRDefault="00925A18" w:rsidP="00925A18">
      <w:pPr>
        <w:jc w:val="both"/>
        <w:rPr>
          <w:rFonts w:ascii="Arial" w:hAnsi="Arial" w:cs="Arial"/>
          <w:b/>
          <w:bCs/>
          <w:i/>
          <w:iCs/>
          <w:szCs w:val="22"/>
        </w:rPr>
      </w:pPr>
      <w:r>
        <w:rPr>
          <w:rFonts w:ascii="Arial" w:hAnsi="Arial"/>
          <w:b/>
          <w:i/>
        </w:rPr>
        <w:t>Défis et impact escompté</w:t>
      </w:r>
    </w:p>
    <w:p w14:paraId="1D69107D" w14:textId="792C8060" w:rsidR="00925A18" w:rsidRPr="00F7527A" w:rsidRDefault="00925A18" w:rsidP="00925A18">
      <w:pPr>
        <w:jc w:val="both"/>
        <w:rPr>
          <w:rFonts w:ascii="Arial" w:hAnsi="Arial" w:cs="Arial"/>
          <w:szCs w:val="22"/>
        </w:rPr>
      </w:pPr>
      <w:r>
        <w:rPr>
          <w:rFonts w:ascii="Arial" w:hAnsi="Arial"/>
        </w:rPr>
        <w:t>Toutefois, l</w:t>
      </w:r>
      <w:r w:rsidR="00C62E8C">
        <w:rPr>
          <w:rFonts w:ascii="Arial" w:hAnsi="Arial"/>
        </w:rPr>
        <w:t>’</w:t>
      </w:r>
      <w:r>
        <w:rPr>
          <w:rFonts w:ascii="Arial" w:hAnsi="Arial"/>
        </w:rPr>
        <w:t>évaluation de l</w:t>
      </w:r>
      <w:r w:rsidR="00C62E8C">
        <w:rPr>
          <w:rFonts w:ascii="Arial" w:hAnsi="Arial"/>
        </w:rPr>
        <w:t>’</w:t>
      </w:r>
      <w:r>
        <w:rPr>
          <w:rFonts w:ascii="Arial" w:hAnsi="Arial"/>
        </w:rPr>
        <w:t>IOS a souligné que si certains progrès ont été réalisés par le biais de projets, ceux-ci ont tendance à être isolés et locaux. Recadrer le programme et passer à une approche plus stratégique mettant l</w:t>
      </w:r>
      <w:r w:rsidR="00C62E8C">
        <w:rPr>
          <w:rFonts w:ascii="Arial" w:hAnsi="Arial"/>
        </w:rPr>
        <w:t>’</w:t>
      </w:r>
      <w:r>
        <w:rPr>
          <w:rFonts w:ascii="Arial" w:hAnsi="Arial"/>
        </w:rPr>
        <w:t>accent sur les systèmes éducatifs est indispensable pour favoriser un changement pédagogique et intégrer efficacement les résultats dans le discours national et faire progresser l</w:t>
      </w:r>
      <w:r w:rsidR="00C62E8C">
        <w:rPr>
          <w:rFonts w:ascii="Arial" w:hAnsi="Arial"/>
        </w:rPr>
        <w:t>’</w:t>
      </w:r>
      <w:r w:rsidR="00493D42">
        <w:rPr>
          <w:rFonts w:ascii="Arial" w:hAnsi="Arial"/>
        </w:rPr>
        <w:t>A</w:t>
      </w:r>
      <w:r>
        <w:rPr>
          <w:rFonts w:ascii="Arial" w:hAnsi="Arial"/>
        </w:rPr>
        <w:t>genda 2030 par l</w:t>
      </w:r>
      <w:r w:rsidR="00C62E8C">
        <w:rPr>
          <w:rFonts w:ascii="Arial" w:hAnsi="Arial"/>
        </w:rPr>
        <w:t>’</w:t>
      </w:r>
      <w:r>
        <w:rPr>
          <w:rFonts w:ascii="Arial" w:hAnsi="Arial"/>
        </w:rPr>
        <w:t>éducation et la culture. Il va de soi qu</w:t>
      </w:r>
      <w:r w:rsidR="00C62E8C">
        <w:rPr>
          <w:rFonts w:ascii="Arial" w:hAnsi="Arial"/>
        </w:rPr>
        <w:t>’</w:t>
      </w:r>
      <w:r>
        <w:rPr>
          <w:rFonts w:ascii="Arial" w:hAnsi="Arial"/>
        </w:rPr>
        <w:t>en de nombreux endroits, les systèmes éducatifs ne considèrent pas le rôle essentiel qu</w:t>
      </w:r>
      <w:r w:rsidR="00C62E8C">
        <w:rPr>
          <w:rFonts w:ascii="Arial" w:hAnsi="Arial"/>
        </w:rPr>
        <w:t>’</w:t>
      </w:r>
      <w:r>
        <w:rPr>
          <w:rFonts w:ascii="Arial" w:hAnsi="Arial"/>
        </w:rPr>
        <w:t>ils peuvent jouer dans le processus de sauvegarde du patrimoine vivant et n</w:t>
      </w:r>
      <w:r w:rsidR="00C62E8C">
        <w:rPr>
          <w:rFonts w:ascii="Arial" w:hAnsi="Arial"/>
        </w:rPr>
        <w:t>’</w:t>
      </w:r>
      <w:r>
        <w:rPr>
          <w:rFonts w:ascii="Arial" w:hAnsi="Arial"/>
        </w:rPr>
        <w:t>exploitent pas non plus son potentiel pour améliorer la qualité et la pertinence de l</w:t>
      </w:r>
      <w:r w:rsidR="00C62E8C">
        <w:rPr>
          <w:rFonts w:ascii="Arial" w:hAnsi="Arial"/>
        </w:rPr>
        <w:t>’</w:t>
      </w:r>
      <w:r>
        <w:rPr>
          <w:rFonts w:ascii="Arial" w:hAnsi="Arial"/>
        </w:rPr>
        <w:t>éducation.</w:t>
      </w:r>
    </w:p>
    <w:p w14:paraId="62AA59C9" w14:textId="2A87A6EB" w:rsidR="00925A18" w:rsidRDefault="00925A18" w:rsidP="00925A18">
      <w:pPr>
        <w:jc w:val="both"/>
        <w:rPr>
          <w:rFonts w:ascii="Arial" w:hAnsi="Arial" w:cs="Arial"/>
          <w:szCs w:val="22"/>
        </w:rPr>
      </w:pPr>
      <w:r>
        <w:rPr>
          <w:rFonts w:ascii="Arial" w:hAnsi="Arial"/>
        </w:rPr>
        <w:t>Sur la base de l</w:t>
      </w:r>
      <w:r w:rsidR="00C62E8C">
        <w:rPr>
          <w:rFonts w:ascii="Arial" w:hAnsi="Arial"/>
        </w:rPr>
        <w:t>’</w:t>
      </w:r>
      <w:r>
        <w:rPr>
          <w:rFonts w:ascii="Arial" w:hAnsi="Arial"/>
        </w:rPr>
        <w:t>évaluation et des enseignements tirés des travaux de fond menés dans des domaines connexes, tels que l</w:t>
      </w:r>
      <w:r w:rsidR="00C62E8C">
        <w:rPr>
          <w:rFonts w:ascii="Arial" w:hAnsi="Arial"/>
        </w:rPr>
        <w:t>’</w:t>
      </w:r>
      <w:r>
        <w:rPr>
          <w:rFonts w:ascii="Arial" w:hAnsi="Arial"/>
        </w:rPr>
        <w:t>éducation interculturelle, l</w:t>
      </w:r>
      <w:r w:rsidR="00C62E8C">
        <w:rPr>
          <w:rFonts w:ascii="Arial" w:hAnsi="Arial"/>
        </w:rPr>
        <w:t>’</w:t>
      </w:r>
      <w:r>
        <w:rPr>
          <w:rFonts w:ascii="Arial" w:hAnsi="Arial"/>
        </w:rPr>
        <w:t>éducation des populations autochtones, l</w:t>
      </w:r>
      <w:r w:rsidR="00C62E8C">
        <w:rPr>
          <w:rFonts w:ascii="Arial" w:hAnsi="Arial"/>
        </w:rPr>
        <w:t>’</w:t>
      </w:r>
      <w:r>
        <w:rPr>
          <w:rFonts w:ascii="Arial" w:hAnsi="Arial"/>
        </w:rPr>
        <w:t>éducation au développement durable, entre autres, l</w:t>
      </w:r>
      <w:r w:rsidR="00C62E8C">
        <w:rPr>
          <w:rFonts w:ascii="Arial" w:hAnsi="Arial"/>
        </w:rPr>
        <w:t>’</w:t>
      </w:r>
      <w:r>
        <w:rPr>
          <w:rFonts w:ascii="Arial" w:hAnsi="Arial"/>
        </w:rPr>
        <w:t>UNESCO concentrera ses efforts sur l</w:t>
      </w:r>
      <w:r w:rsidR="00C62E8C">
        <w:rPr>
          <w:rFonts w:ascii="Arial" w:hAnsi="Arial"/>
        </w:rPr>
        <w:t>’</w:t>
      </w:r>
      <w:r>
        <w:rPr>
          <w:rFonts w:ascii="Arial" w:hAnsi="Arial"/>
        </w:rPr>
        <w:t>élargissement et le renforcement du Programme intersectoriel afin d</w:t>
      </w:r>
      <w:r w:rsidR="00C62E8C">
        <w:rPr>
          <w:rFonts w:ascii="Arial" w:hAnsi="Arial"/>
        </w:rPr>
        <w:t>’</w:t>
      </w:r>
      <w:r>
        <w:rPr>
          <w:rFonts w:ascii="Arial" w:hAnsi="Arial"/>
        </w:rPr>
        <w:t>en accroître l</w:t>
      </w:r>
      <w:r w:rsidR="00C62E8C">
        <w:rPr>
          <w:rFonts w:ascii="Arial" w:hAnsi="Arial"/>
        </w:rPr>
        <w:t>’</w:t>
      </w:r>
      <w:r>
        <w:rPr>
          <w:rFonts w:ascii="Arial" w:hAnsi="Arial"/>
        </w:rPr>
        <w:t>impact et la durabilité.</w:t>
      </w:r>
    </w:p>
    <w:p w14:paraId="3C434DB6" w14:textId="5B7CBEC4" w:rsidR="00925A18" w:rsidRDefault="00925A18" w:rsidP="00925A18">
      <w:pPr>
        <w:jc w:val="both"/>
        <w:rPr>
          <w:rFonts w:ascii="Arial" w:hAnsi="Arial" w:cs="Arial"/>
          <w:szCs w:val="22"/>
        </w:rPr>
      </w:pPr>
      <w:r>
        <w:rPr>
          <w:rFonts w:ascii="Arial" w:hAnsi="Arial"/>
        </w:rPr>
        <w:lastRenderedPageBreak/>
        <w:t>Le Programme vise à garantir à plus long terme que le patrimoine vivant est valorisé et sauvegardé en tant que partie intégrante d</w:t>
      </w:r>
      <w:r w:rsidR="00C62E8C">
        <w:rPr>
          <w:rFonts w:ascii="Arial" w:hAnsi="Arial"/>
        </w:rPr>
        <w:t>’</w:t>
      </w:r>
      <w:r>
        <w:rPr>
          <w:rFonts w:ascii="Arial" w:hAnsi="Arial"/>
        </w:rPr>
        <w:t>une éducation transformatrice de qualité dans un plus grand nombre de systèmes éducatifs nationaux et par le biais d</w:t>
      </w:r>
      <w:r w:rsidR="00C62E8C">
        <w:rPr>
          <w:rFonts w:ascii="Arial" w:hAnsi="Arial"/>
        </w:rPr>
        <w:t>’</w:t>
      </w:r>
      <w:r>
        <w:rPr>
          <w:rFonts w:ascii="Arial" w:hAnsi="Arial"/>
        </w:rPr>
        <w:t>une collaboration avec les porteurs, contribuant ainsi au bien-être, à la créativité et à la dignité des apprenants et de leurs communautés, ainsi qu</w:t>
      </w:r>
      <w:r w:rsidR="00C62E8C">
        <w:rPr>
          <w:rFonts w:ascii="Arial" w:hAnsi="Arial"/>
        </w:rPr>
        <w:t>’</w:t>
      </w:r>
      <w:r>
        <w:rPr>
          <w:rFonts w:ascii="Arial" w:hAnsi="Arial"/>
        </w:rPr>
        <w:t>à la réalisation des ODD, en particulier de l</w:t>
      </w:r>
      <w:r w:rsidR="00C62E8C">
        <w:rPr>
          <w:rFonts w:ascii="Arial" w:hAnsi="Arial"/>
        </w:rPr>
        <w:t>’</w:t>
      </w:r>
      <w:r>
        <w:rPr>
          <w:rFonts w:ascii="Arial" w:hAnsi="Arial"/>
        </w:rPr>
        <w:t>ODD 4. Les résultats et les réalisations ci-après concernent tous les niveaux d</w:t>
      </w:r>
      <w:r w:rsidR="00C62E8C">
        <w:rPr>
          <w:rFonts w:ascii="Arial" w:hAnsi="Arial"/>
        </w:rPr>
        <w:t>’</w:t>
      </w:r>
      <w:r>
        <w:rPr>
          <w:rFonts w:ascii="Arial" w:hAnsi="Arial"/>
        </w:rPr>
        <w:t>enseignement, de la petite enfance à l</w:t>
      </w:r>
      <w:r w:rsidR="00C62E8C">
        <w:rPr>
          <w:rFonts w:ascii="Arial" w:hAnsi="Arial"/>
        </w:rPr>
        <w:t>’</w:t>
      </w:r>
      <w:r>
        <w:rPr>
          <w:rFonts w:ascii="Arial" w:hAnsi="Arial"/>
        </w:rPr>
        <w:t>enseignement supérieur, et constituent la feuille de route permettant au final d</w:t>
      </w:r>
      <w:r w:rsidR="00C62E8C">
        <w:rPr>
          <w:rFonts w:ascii="Arial" w:hAnsi="Arial"/>
        </w:rPr>
        <w:t>’</w:t>
      </w:r>
      <w:r>
        <w:rPr>
          <w:rFonts w:ascii="Arial" w:hAnsi="Arial"/>
        </w:rPr>
        <w:t>atteindre l</w:t>
      </w:r>
      <w:r w:rsidR="00C62E8C">
        <w:rPr>
          <w:rFonts w:ascii="Arial" w:hAnsi="Arial"/>
        </w:rPr>
        <w:t>’</w:t>
      </w:r>
      <w:r>
        <w:rPr>
          <w:rFonts w:ascii="Arial" w:hAnsi="Arial"/>
        </w:rPr>
        <w:t>impact escompté.</w:t>
      </w:r>
    </w:p>
    <w:p w14:paraId="7D0902D9" w14:textId="167DBD13" w:rsidR="00925A18" w:rsidRPr="00585FCB" w:rsidRDefault="00925A18" w:rsidP="00925A18">
      <w:pPr>
        <w:jc w:val="both"/>
        <w:rPr>
          <w:rFonts w:ascii="Arial" w:eastAsia="@Arial Unicode MS" w:hAnsi="Arial" w:cs="Arial"/>
          <w:szCs w:val="22"/>
        </w:rPr>
      </w:pPr>
      <w:r>
        <w:rPr>
          <w:rFonts w:ascii="Arial" w:hAnsi="Arial"/>
        </w:rPr>
        <w:t>La logique d</w:t>
      </w:r>
      <w:r w:rsidR="00C62E8C">
        <w:rPr>
          <w:rFonts w:ascii="Arial" w:hAnsi="Arial"/>
        </w:rPr>
        <w:t>’</w:t>
      </w:r>
      <w:r>
        <w:rPr>
          <w:rFonts w:ascii="Arial" w:hAnsi="Arial"/>
        </w:rPr>
        <w:t>intervention reflétée dans le tableau ci-après s</w:t>
      </w:r>
      <w:r w:rsidR="00C62E8C">
        <w:rPr>
          <w:rFonts w:ascii="Arial" w:hAnsi="Arial"/>
        </w:rPr>
        <w:t>’</w:t>
      </w:r>
      <w:r>
        <w:rPr>
          <w:rFonts w:ascii="Arial" w:hAnsi="Arial"/>
        </w:rPr>
        <w:t>inspire de la théorie du changement proposée pour ce programme dans l</w:t>
      </w:r>
      <w:r w:rsidR="00C62E8C">
        <w:rPr>
          <w:rFonts w:ascii="Arial" w:hAnsi="Arial"/>
        </w:rPr>
        <w:t>’</w:t>
      </w:r>
      <w:r>
        <w:rPr>
          <w:rFonts w:ascii="Arial" w:hAnsi="Arial"/>
        </w:rPr>
        <w:t>évaluation de l</w:t>
      </w:r>
      <w:r w:rsidR="00C62E8C">
        <w:rPr>
          <w:rFonts w:ascii="Arial" w:hAnsi="Arial"/>
        </w:rPr>
        <w:t>’</w:t>
      </w:r>
      <w:r>
        <w:rPr>
          <w:rFonts w:ascii="Arial" w:hAnsi="Arial"/>
        </w:rPr>
        <w:t>IOS. Elle est en harmonie avec le cadre global de résultats de la Convention.</w:t>
      </w:r>
    </w:p>
    <w:p w14:paraId="5DBF46D3" w14:textId="3EABFD55" w:rsidR="00925A18" w:rsidRPr="00AF408A" w:rsidRDefault="00925A18" w:rsidP="00925A18">
      <w:pPr>
        <w:keepNext/>
        <w:shd w:val="clear" w:color="auto" w:fill="0077D4"/>
        <w:tabs>
          <w:tab w:val="left" w:pos="567"/>
        </w:tabs>
        <w:snapToGrid w:val="0"/>
        <w:spacing w:before="240"/>
        <w:ind w:left="-144"/>
        <w:rPr>
          <w:rFonts w:ascii="Arial" w:eastAsia="Calibri" w:hAnsi="Arial" w:cs="Arial"/>
          <w:color w:val="FFFFFF"/>
          <w:sz w:val="28"/>
          <w:szCs w:val="28"/>
        </w:rPr>
      </w:pPr>
      <w:r>
        <w:rPr>
          <w:rFonts w:ascii="Arial" w:hAnsi="Arial"/>
          <w:color w:val="FFFFFF"/>
          <w:sz w:val="28"/>
        </w:rPr>
        <w:t>Résumé de l</w:t>
      </w:r>
      <w:r w:rsidR="00C62E8C">
        <w:rPr>
          <w:rFonts w:ascii="Arial" w:hAnsi="Arial"/>
          <w:color w:val="FFFFFF"/>
          <w:sz w:val="28"/>
        </w:rPr>
        <w:t>’</w:t>
      </w:r>
      <w:r>
        <w:rPr>
          <w:rFonts w:ascii="Arial" w:hAnsi="Arial"/>
          <w:color w:val="FFFFFF"/>
          <w:sz w:val="28"/>
        </w:rPr>
        <w:t>impact, des résultats et des réalisations</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8664"/>
      </w:tblGrid>
      <w:tr w:rsidR="00925A18" w:rsidRPr="008E5AD2" w14:paraId="23DB9471" w14:textId="77777777" w:rsidTr="00C62E8C">
        <w:trPr>
          <w:trHeight w:val="669"/>
          <w:jc w:val="center"/>
        </w:trPr>
        <w:tc>
          <w:tcPr>
            <w:tcW w:w="908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Mar>
              <w:top w:w="57" w:type="dxa"/>
              <w:left w:w="108" w:type="dxa"/>
              <w:bottom w:w="57" w:type="dxa"/>
              <w:right w:w="108" w:type="dxa"/>
            </w:tcMar>
          </w:tcPr>
          <w:p w14:paraId="0E0D0092" w14:textId="54850C09" w:rsidR="00925A18" w:rsidRPr="00CB71EE" w:rsidRDefault="00925A18" w:rsidP="00C62E8C">
            <w:pPr>
              <w:spacing w:before="60" w:after="60"/>
              <w:jc w:val="both"/>
              <w:rPr>
                <w:rFonts w:ascii="Arial" w:eastAsia="@Arial Unicode MS" w:hAnsi="Arial" w:cs="Arial"/>
                <w:szCs w:val="22"/>
              </w:rPr>
            </w:pPr>
            <w:r>
              <w:rPr>
                <w:rFonts w:ascii="Arial" w:hAnsi="Arial"/>
                <w:b/>
              </w:rPr>
              <w:t xml:space="preserve">Impact : </w:t>
            </w:r>
            <w:r>
              <w:rPr>
                <w:rFonts w:ascii="Arial" w:hAnsi="Arial"/>
              </w:rPr>
              <w:t>Le patrimoine vivant est apprécié et sauvegardé en tant que partie intégrante d</w:t>
            </w:r>
            <w:r w:rsidR="00C62E8C">
              <w:rPr>
                <w:rFonts w:ascii="Arial" w:hAnsi="Arial"/>
              </w:rPr>
              <w:t>’</w:t>
            </w:r>
            <w:r>
              <w:rPr>
                <w:rFonts w:ascii="Arial" w:hAnsi="Arial"/>
              </w:rPr>
              <w:t>une éducation transformatrice de qualité dans un nombre croissant de systèmes éducatifs nationaux et grâce à la collaboration avec les porteurs, contribuant ainsi au bien-être, à la créativité et à la dignité des apprenants et de leurs communautés et à la réalisation des ODD, notamment de l</w:t>
            </w:r>
            <w:r w:rsidR="00C62E8C">
              <w:rPr>
                <w:rFonts w:ascii="Arial" w:hAnsi="Arial"/>
              </w:rPr>
              <w:t>’</w:t>
            </w:r>
            <w:r>
              <w:rPr>
                <w:rFonts w:ascii="Arial" w:hAnsi="Arial"/>
              </w:rPr>
              <w:t>ODD 4.</w:t>
            </w:r>
          </w:p>
        </w:tc>
      </w:tr>
      <w:tr w:rsidR="00925A18" w:rsidRPr="00B54EF0" w14:paraId="0E1732A1" w14:textId="77777777" w:rsidTr="00C62E8C">
        <w:trPr>
          <w:trHeight w:val="669"/>
          <w:jc w:val="center"/>
        </w:trPr>
        <w:tc>
          <w:tcPr>
            <w:tcW w:w="9085" w:type="dxa"/>
            <w:gridSpan w:val="2"/>
            <w:tcBorders>
              <w:top w:val="single" w:sz="4" w:space="0" w:color="auto"/>
              <w:left w:val="single" w:sz="4" w:space="0" w:color="auto"/>
              <w:bottom w:val="single" w:sz="4" w:space="0" w:color="auto"/>
              <w:right w:val="single" w:sz="4" w:space="0" w:color="auto"/>
            </w:tcBorders>
            <w:shd w:val="clear" w:color="auto" w:fill="00B0F0"/>
            <w:tcMar>
              <w:top w:w="57" w:type="dxa"/>
              <w:left w:w="108" w:type="dxa"/>
              <w:bottom w:w="57" w:type="dxa"/>
              <w:right w:w="108" w:type="dxa"/>
            </w:tcMar>
          </w:tcPr>
          <w:p w14:paraId="39DA7DC1" w14:textId="5916249B" w:rsidR="00925A18" w:rsidRPr="00585FCB" w:rsidRDefault="00925A18" w:rsidP="00C62E8C">
            <w:pPr>
              <w:jc w:val="both"/>
              <w:rPr>
                <w:rFonts w:ascii="Arial" w:hAnsi="Arial" w:cs="Arial"/>
                <w:b/>
                <w:bCs/>
                <w:color w:val="0070C0"/>
                <w:szCs w:val="22"/>
              </w:rPr>
            </w:pPr>
            <w:bookmarkStart w:id="4" w:name="_Hlk84947445"/>
            <w:r>
              <w:rPr>
                <w:rFonts w:ascii="Arial" w:hAnsi="Arial"/>
                <w:b/>
              </w:rPr>
              <w:t xml:space="preserve">Résultat N° 1 : </w:t>
            </w:r>
            <w:r>
              <w:rPr>
                <w:rFonts w:ascii="Arial" w:hAnsi="Arial"/>
              </w:rPr>
              <w:t>Les pays soutiennent le travail de changement pédagogique visant à introduire le patrimoine vivant des apprenants dans l</w:t>
            </w:r>
            <w:r w:rsidR="00C62E8C">
              <w:rPr>
                <w:rFonts w:ascii="Arial" w:hAnsi="Arial"/>
              </w:rPr>
              <w:t>’</w:t>
            </w:r>
            <w:r>
              <w:rPr>
                <w:rFonts w:ascii="Arial" w:hAnsi="Arial"/>
              </w:rPr>
              <w:t>éducation formelle et non formelle, ce qui implique une méthodologie transformatrice et l</w:t>
            </w:r>
            <w:r w:rsidR="00C62E8C">
              <w:rPr>
                <w:rFonts w:ascii="Arial" w:hAnsi="Arial"/>
              </w:rPr>
              <w:t>’</w:t>
            </w:r>
            <w:r>
              <w:rPr>
                <w:rFonts w:ascii="Arial" w:hAnsi="Arial"/>
              </w:rPr>
              <w:t>identification du patrimoine vivant, en les reliant pour atteindre des objectifs d</w:t>
            </w:r>
            <w:r w:rsidR="00C62E8C">
              <w:rPr>
                <w:rFonts w:ascii="Arial" w:hAnsi="Arial"/>
              </w:rPr>
              <w:t>’</w:t>
            </w:r>
            <w:r>
              <w:rPr>
                <w:rFonts w:ascii="Arial" w:hAnsi="Arial"/>
              </w:rPr>
              <w:t>apprentissage conformes aux cibles spécifiques de l</w:t>
            </w:r>
            <w:r w:rsidR="00C62E8C">
              <w:rPr>
                <w:rFonts w:ascii="Arial" w:hAnsi="Arial"/>
              </w:rPr>
              <w:t>’</w:t>
            </w:r>
            <w:r>
              <w:rPr>
                <w:rFonts w:ascii="Arial" w:hAnsi="Arial"/>
              </w:rPr>
              <w:t>ODD 4.</w:t>
            </w:r>
          </w:p>
        </w:tc>
      </w:tr>
      <w:tr w:rsidR="00925A18" w:rsidRPr="0026636A" w14:paraId="6B38D318" w14:textId="77777777" w:rsidTr="00C62E8C">
        <w:trPr>
          <w:gridBefore w:val="1"/>
          <w:wBefore w:w="421" w:type="dxa"/>
          <w:trHeight w:val="185"/>
          <w:jc w:val="center"/>
        </w:trPr>
        <w:tc>
          <w:tcPr>
            <w:tcW w:w="8664"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108" w:type="dxa"/>
              <w:bottom w:w="57" w:type="dxa"/>
              <w:right w:w="108" w:type="dxa"/>
            </w:tcMar>
          </w:tcPr>
          <w:p w14:paraId="2AFDF1FA" w14:textId="00DAE266" w:rsidR="00925A18" w:rsidRPr="00585FCB" w:rsidRDefault="00925A18" w:rsidP="00C62E8C">
            <w:pPr>
              <w:jc w:val="both"/>
              <w:rPr>
                <w:rFonts w:ascii="Arial" w:hAnsi="Arial" w:cs="Arial"/>
                <w:b/>
                <w:bCs/>
                <w:szCs w:val="22"/>
              </w:rPr>
            </w:pPr>
            <w:r>
              <w:rPr>
                <w:rFonts w:ascii="Arial" w:hAnsi="Arial"/>
                <w:b/>
              </w:rPr>
              <w:t>Réalisation N°</w:t>
            </w:r>
            <w:r w:rsidR="00060C4D">
              <w:rPr>
                <w:rFonts w:ascii="Arial" w:hAnsi="Arial"/>
                <w:b/>
              </w:rPr>
              <w:t>1.</w:t>
            </w:r>
            <w:r>
              <w:rPr>
                <w:rFonts w:ascii="Arial" w:hAnsi="Arial"/>
                <w:b/>
              </w:rPr>
              <w:t>1 :</w:t>
            </w:r>
            <w:r>
              <w:rPr>
                <w:rFonts w:ascii="Arial" w:hAnsi="Arial"/>
              </w:rPr>
              <w:t xml:space="preserve"> Élaboration, renforcement et mise en œuvre de méthodes et d</w:t>
            </w:r>
            <w:r w:rsidR="00C62E8C">
              <w:rPr>
                <w:rFonts w:ascii="Arial" w:hAnsi="Arial"/>
              </w:rPr>
              <w:t>’</w:t>
            </w:r>
            <w:r>
              <w:rPr>
                <w:rFonts w:ascii="Arial" w:hAnsi="Arial"/>
              </w:rPr>
              <w:t>outils d</w:t>
            </w:r>
            <w:r w:rsidR="00C62E8C">
              <w:rPr>
                <w:rFonts w:ascii="Arial" w:hAnsi="Arial"/>
              </w:rPr>
              <w:t>’</w:t>
            </w:r>
            <w:r>
              <w:rPr>
                <w:rFonts w:ascii="Arial" w:hAnsi="Arial"/>
              </w:rPr>
              <w:t>évaluation pour l</w:t>
            </w:r>
            <w:r w:rsidR="00C62E8C">
              <w:rPr>
                <w:rFonts w:ascii="Arial" w:hAnsi="Arial"/>
              </w:rPr>
              <w:t>’</w:t>
            </w:r>
            <w:r>
              <w:rPr>
                <w:rFonts w:ascii="Arial" w:hAnsi="Arial"/>
              </w:rPr>
              <w:t>intégration du patrimoine culturel immatériel dans l</w:t>
            </w:r>
            <w:r w:rsidR="00C62E8C">
              <w:rPr>
                <w:rFonts w:ascii="Arial" w:hAnsi="Arial"/>
              </w:rPr>
              <w:t>’</w:t>
            </w:r>
            <w:r>
              <w:rPr>
                <w:rFonts w:ascii="Arial" w:hAnsi="Arial"/>
              </w:rPr>
              <w:t xml:space="preserve">éducation formelle, non formelle et supérieure, y compris </w:t>
            </w:r>
            <w:r w:rsidR="0091094E">
              <w:rPr>
                <w:rFonts w:ascii="Arial" w:hAnsi="Arial"/>
              </w:rPr>
              <w:t>l</w:t>
            </w:r>
            <w:r w:rsidR="00C62E8C">
              <w:rPr>
                <w:rFonts w:ascii="Arial" w:hAnsi="Arial"/>
              </w:rPr>
              <w:t>’</w:t>
            </w:r>
            <w:r w:rsidR="0091094E" w:rsidRPr="0091094E">
              <w:rPr>
                <w:rFonts w:ascii="Arial" w:hAnsi="Arial"/>
              </w:rPr>
              <w:t>enseignement et la formation techniques et professionnels (EFTP)</w:t>
            </w:r>
            <w:r w:rsidR="0091094E">
              <w:rPr>
                <w:rFonts w:ascii="Arial" w:hAnsi="Arial"/>
              </w:rPr>
              <w:t xml:space="preserve">. </w:t>
            </w:r>
            <w:r w:rsidR="00C62E8C">
              <w:rPr>
                <w:rFonts w:ascii="Arial" w:hAnsi="Arial"/>
              </w:rPr>
              <w:t>’</w:t>
            </w:r>
          </w:p>
        </w:tc>
      </w:tr>
      <w:bookmarkEnd w:id="4"/>
      <w:tr w:rsidR="00925A18" w:rsidRPr="0026636A" w14:paraId="726F090E" w14:textId="77777777" w:rsidTr="00C62E8C">
        <w:trPr>
          <w:trHeight w:val="669"/>
          <w:jc w:val="center"/>
        </w:trPr>
        <w:tc>
          <w:tcPr>
            <w:tcW w:w="9085" w:type="dxa"/>
            <w:gridSpan w:val="2"/>
            <w:tcBorders>
              <w:top w:val="single" w:sz="4" w:space="0" w:color="auto"/>
              <w:left w:val="single" w:sz="4" w:space="0" w:color="auto"/>
              <w:bottom w:val="single" w:sz="4" w:space="0" w:color="auto"/>
              <w:right w:val="single" w:sz="4" w:space="0" w:color="auto"/>
            </w:tcBorders>
            <w:shd w:val="clear" w:color="auto" w:fill="00B0F0"/>
            <w:tcMar>
              <w:top w:w="57" w:type="dxa"/>
              <w:left w:w="108" w:type="dxa"/>
              <w:bottom w:w="57" w:type="dxa"/>
              <w:right w:w="108" w:type="dxa"/>
            </w:tcMar>
          </w:tcPr>
          <w:p w14:paraId="7E07204C" w14:textId="75F7759E" w:rsidR="00925A18" w:rsidRPr="00585FCB" w:rsidRDefault="00925A18" w:rsidP="00C62E8C">
            <w:pPr>
              <w:jc w:val="both"/>
              <w:rPr>
                <w:rFonts w:ascii="Arial" w:hAnsi="Arial" w:cs="Arial"/>
                <w:b/>
                <w:bCs/>
                <w:color w:val="0070C0"/>
                <w:szCs w:val="22"/>
              </w:rPr>
            </w:pPr>
            <w:r>
              <w:rPr>
                <w:rFonts w:ascii="Arial" w:hAnsi="Arial"/>
                <w:b/>
              </w:rPr>
              <w:t xml:space="preserve">Résultat N° 2 : </w:t>
            </w:r>
            <w:r>
              <w:rPr>
                <w:rFonts w:ascii="Arial" w:hAnsi="Arial"/>
              </w:rPr>
              <w:t>Les pays utilisent le renforcement des capacités humaines et institutionnelles pour inclure des approches visant à intégrer le patrimoine vivant et sa sauvegarde dans l</w:t>
            </w:r>
            <w:r w:rsidR="00C62E8C">
              <w:rPr>
                <w:rFonts w:ascii="Arial" w:hAnsi="Arial"/>
              </w:rPr>
              <w:t>’</w:t>
            </w:r>
            <w:r>
              <w:rPr>
                <w:rFonts w:ascii="Arial" w:hAnsi="Arial"/>
              </w:rPr>
              <w:t>éducation, dans les programmes de formation des enseignants et les programmes de formation des prestataires de l</w:t>
            </w:r>
            <w:r w:rsidR="00C62E8C">
              <w:rPr>
                <w:rFonts w:ascii="Arial" w:hAnsi="Arial"/>
              </w:rPr>
              <w:t>’</w:t>
            </w:r>
            <w:r>
              <w:rPr>
                <w:rFonts w:ascii="Arial" w:hAnsi="Arial"/>
              </w:rPr>
              <w:t>éducation non formelle.</w:t>
            </w:r>
          </w:p>
        </w:tc>
      </w:tr>
      <w:tr w:rsidR="00925A18" w:rsidRPr="0026636A" w14:paraId="3442EF7B" w14:textId="77777777" w:rsidTr="00C62E8C">
        <w:trPr>
          <w:gridBefore w:val="1"/>
          <w:wBefore w:w="421" w:type="dxa"/>
          <w:trHeight w:val="185"/>
          <w:jc w:val="center"/>
        </w:trPr>
        <w:tc>
          <w:tcPr>
            <w:tcW w:w="8664"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108" w:type="dxa"/>
              <w:bottom w:w="57" w:type="dxa"/>
              <w:right w:w="108" w:type="dxa"/>
            </w:tcMar>
          </w:tcPr>
          <w:p w14:paraId="28BB4B42" w14:textId="3A6576C2" w:rsidR="00925A18" w:rsidRPr="00585FCB" w:rsidRDefault="00925A18" w:rsidP="00C62E8C">
            <w:pPr>
              <w:jc w:val="both"/>
              <w:rPr>
                <w:rFonts w:ascii="Arial" w:eastAsia="@Arial Unicode MS" w:hAnsi="Arial" w:cs="Arial"/>
                <w:szCs w:val="22"/>
              </w:rPr>
            </w:pPr>
            <w:r>
              <w:rPr>
                <w:rFonts w:ascii="Arial" w:hAnsi="Arial"/>
                <w:b/>
              </w:rPr>
              <w:t>Réalisation N°</w:t>
            </w:r>
            <w:r w:rsidR="00060C4D">
              <w:rPr>
                <w:rFonts w:ascii="Arial" w:hAnsi="Arial"/>
                <w:b/>
              </w:rPr>
              <w:t>2.</w:t>
            </w:r>
            <w:r>
              <w:rPr>
                <w:rFonts w:ascii="Arial" w:hAnsi="Arial"/>
                <w:b/>
              </w:rPr>
              <w:t>1 :</w:t>
            </w:r>
            <w:r>
              <w:rPr>
                <w:rFonts w:ascii="Arial" w:hAnsi="Arial"/>
              </w:rPr>
              <w:t xml:space="preserve"> Soutien technique fourni par le biais du renforcement des capacités des enseignants, des éducateurs, des formateurs d</w:t>
            </w:r>
            <w:r w:rsidR="00C62E8C">
              <w:rPr>
                <w:rFonts w:ascii="Arial" w:hAnsi="Arial"/>
              </w:rPr>
              <w:t>’</w:t>
            </w:r>
            <w:r>
              <w:rPr>
                <w:rFonts w:ascii="Arial" w:hAnsi="Arial"/>
              </w:rPr>
              <w:t>enseignants et des professionnels de la culture et de l</w:t>
            </w:r>
            <w:r w:rsidR="00C62E8C">
              <w:rPr>
                <w:rFonts w:ascii="Arial" w:hAnsi="Arial"/>
              </w:rPr>
              <w:t>’</w:t>
            </w:r>
            <w:r>
              <w:rPr>
                <w:rFonts w:ascii="Arial" w:hAnsi="Arial"/>
              </w:rPr>
              <w:t>éducation.</w:t>
            </w:r>
          </w:p>
        </w:tc>
      </w:tr>
      <w:tr w:rsidR="00925A18" w:rsidRPr="0026636A" w14:paraId="5B0CB96F" w14:textId="77777777" w:rsidTr="00C62E8C">
        <w:trPr>
          <w:trHeight w:val="669"/>
          <w:jc w:val="center"/>
        </w:trPr>
        <w:tc>
          <w:tcPr>
            <w:tcW w:w="9085" w:type="dxa"/>
            <w:gridSpan w:val="2"/>
            <w:tcBorders>
              <w:top w:val="single" w:sz="4" w:space="0" w:color="auto"/>
              <w:left w:val="single" w:sz="4" w:space="0" w:color="auto"/>
              <w:bottom w:val="single" w:sz="4" w:space="0" w:color="auto"/>
              <w:right w:val="single" w:sz="4" w:space="0" w:color="auto"/>
            </w:tcBorders>
            <w:shd w:val="clear" w:color="auto" w:fill="00B0F0"/>
            <w:tcMar>
              <w:top w:w="57" w:type="dxa"/>
              <w:left w:w="108" w:type="dxa"/>
              <w:bottom w:w="57" w:type="dxa"/>
              <w:right w:w="108" w:type="dxa"/>
            </w:tcMar>
          </w:tcPr>
          <w:p w14:paraId="06EA069F" w14:textId="3726AB31" w:rsidR="00925A18" w:rsidRPr="00585FCB" w:rsidRDefault="00925A18" w:rsidP="00C62E8C">
            <w:pPr>
              <w:jc w:val="both"/>
              <w:rPr>
                <w:rFonts w:ascii="Arial" w:hAnsi="Arial" w:cs="Arial"/>
                <w:b/>
                <w:bCs/>
                <w:color w:val="0070C0"/>
                <w:szCs w:val="22"/>
              </w:rPr>
            </w:pPr>
            <w:bookmarkStart w:id="5" w:name="_Hlk84947710"/>
            <w:r>
              <w:rPr>
                <w:rFonts w:ascii="Arial" w:hAnsi="Arial"/>
                <w:b/>
              </w:rPr>
              <w:t xml:space="preserve">Résultat N° 3 : </w:t>
            </w:r>
            <w:r>
              <w:rPr>
                <w:rFonts w:ascii="Arial" w:hAnsi="Arial"/>
              </w:rPr>
              <w:t>Les pays intensifient leur action à l</w:t>
            </w:r>
            <w:r w:rsidR="00C62E8C">
              <w:rPr>
                <w:rFonts w:ascii="Arial" w:hAnsi="Arial"/>
              </w:rPr>
              <w:t>’</w:t>
            </w:r>
            <w:r>
              <w:rPr>
                <w:rFonts w:ascii="Arial" w:hAnsi="Arial"/>
              </w:rPr>
              <w:t>interface entre sauvegarde du patrimoine vivant et éducation transformatrice par le biais d</w:t>
            </w:r>
            <w:r w:rsidR="00C62E8C">
              <w:rPr>
                <w:rFonts w:ascii="Arial" w:hAnsi="Arial"/>
              </w:rPr>
              <w:t>’</w:t>
            </w:r>
            <w:r>
              <w:rPr>
                <w:rFonts w:ascii="Arial" w:hAnsi="Arial"/>
              </w:rPr>
              <w:t>une collaboration interministérielle, de l</w:t>
            </w:r>
            <w:r w:rsidR="00C62E8C">
              <w:rPr>
                <w:rFonts w:ascii="Arial" w:hAnsi="Arial"/>
              </w:rPr>
              <w:t>’</w:t>
            </w:r>
            <w:r>
              <w:rPr>
                <w:rFonts w:ascii="Arial" w:hAnsi="Arial"/>
              </w:rPr>
              <w:t>élaboration de politiques et d</w:t>
            </w:r>
            <w:r w:rsidR="00C62E8C">
              <w:rPr>
                <w:rFonts w:ascii="Arial" w:hAnsi="Arial"/>
              </w:rPr>
              <w:t>’</w:t>
            </w:r>
            <w:r>
              <w:rPr>
                <w:rFonts w:ascii="Arial" w:hAnsi="Arial"/>
              </w:rPr>
              <w:t>une révision des programmes scolaires, ancrant ainsi cette approche dans les systèmes éducatifs.</w:t>
            </w:r>
          </w:p>
        </w:tc>
      </w:tr>
      <w:tr w:rsidR="00925A18" w:rsidRPr="0026636A" w14:paraId="3D870CA5" w14:textId="77777777" w:rsidTr="00C62E8C">
        <w:trPr>
          <w:gridBefore w:val="1"/>
          <w:wBefore w:w="421" w:type="dxa"/>
          <w:trHeight w:val="185"/>
          <w:jc w:val="center"/>
        </w:trPr>
        <w:tc>
          <w:tcPr>
            <w:tcW w:w="8664"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108" w:type="dxa"/>
              <w:bottom w:w="57" w:type="dxa"/>
              <w:right w:w="108" w:type="dxa"/>
            </w:tcMar>
          </w:tcPr>
          <w:p w14:paraId="1232AF98" w14:textId="484F07ED" w:rsidR="00925A18" w:rsidRPr="00585FCB" w:rsidRDefault="00925A18" w:rsidP="00C62E8C">
            <w:pPr>
              <w:jc w:val="both"/>
              <w:rPr>
                <w:rFonts w:ascii="Arial" w:hAnsi="Arial" w:cs="Arial"/>
                <w:b/>
                <w:bCs/>
                <w:szCs w:val="22"/>
              </w:rPr>
            </w:pPr>
            <w:r>
              <w:rPr>
                <w:rFonts w:ascii="Arial" w:hAnsi="Arial"/>
                <w:b/>
              </w:rPr>
              <w:t>Réalisation N°</w:t>
            </w:r>
            <w:r w:rsidR="00060C4D">
              <w:rPr>
                <w:rFonts w:ascii="Arial" w:hAnsi="Arial"/>
                <w:b/>
              </w:rPr>
              <w:t>3.</w:t>
            </w:r>
            <w:r>
              <w:rPr>
                <w:rFonts w:ascii="Arial" w:hAnsi="Arial"/>
                <w:b/>
              </w:rPr>
              <w:t>1 :</w:t>
            </w:r>
            <w:r>
              <w:rPr>
                <w:rFonts w:ascii="Arial" w:hAnsi="Arial"/>
              </w:rPr>
              <w:t xml:space="preserve"> Lancement d</w:t>
            </w:r>
            <w:r w:rsidR="00C62E8C">
              <w:rPr>
                <w:rFonts w:ascii="Arial" w:hAnsi="Arial"/>
              </w:rPr>
              <w:t>’</w:t>
            </w:r>
            <w:r>
              <w:rPr>
                <w:rFonts w:ascii="Arial" w:hAnsi="Arial"/>
              </w:rPr>
              <w:t>une coopération interministérielle et fourniture de conseils politiques pour créer un environnement institutionnel et des mécanismes de sauvegarde du patrimoine vivant dans l</w:t>
            </w:r>
            <w:r w:rsidR="00C62E8C">
              <w:rPr>
                <w:rFonts w:ascii="Arial" w:hAnsi="Arial"/>
              </w:rPr>
              <w:t>’</w:t>
            </w:r>
            <w:r>
              <w:rPr>
                <w:rFonts w:ascii="Arial" w:hAnsi="Arial"/>
              </w:rPr>
              <w:t>éducation formelle et non formelle.</w:t>
            </w:r>
          </w:p>
        </w:tc>
      </w:tr>
      <w:bookmarkEnd w:id="5"/>
      <w:tr w:rsidR="00925A18" w:rsidRPr="0026636A" w14:paraId="03EEED2B" w14:textId="77777777" w:rsidTr="00C62E8C">
        <w:trPr>
          <w:trHeight w:val="669"/>
          <w:jc w:val="center"/>
        </w:trPr>
        <w:tc>
          <w:tcPr>
            <w:tcW w:w="9085" w:type="dxa"/>
            <w:gridSpan w:val="2"/>
            <w:tcBorders>
              <w:top w:val="single" w:sz="4" w:space="0" w:color="auto"/>
              <w:left w:val="single" w:sz="4" w:space="0" w:color="auto"/>
              <w:bottom w:val="single" w:sz="4" w:space="0" w:color="auto"/>
              <w:right w:val="single" w:sz="4" w:space="0" w:color="auto"/>
            </w:tcBorders>
            <w:shd w:val="clear" w:color="auto" w:fill="00B0F0"/>
            <w:tcMar>
              <w:top w:w="57" w:type="dxa"/>
              <w:left w:w="108" w:type="dxa"/>
              <w:bottom w:w="57" w:type="dxa"/>
              <w:right w:w="108" w:type="dxa"/>
            </w:tcMar>
          </w:tcPr>
          <w:p w14:paraId="00FCF927" w14:textId="121DE882" w:rsidR="00925A18" w:rsidRPr="00585FCB" w:rsidRDefault="00925A18" w:rsidP="00C62E8C">
            <w:pPr>
              <w:jc w:val="both"/>
              <w:rPr>
                <w:rFonts w:ascii="Arial" w:hAnsi="Arial" w:cs="Arial"/>
                <w:b/>
                <w:bCs/>
                <w:color w:val="0070C0"/>
                <w:szCs w:val="22"/>
              </w:rPr>
            </w:pPr>
            <w:r>
              <w:rPr>
                <w:rFonts w:ascii="Arial" w:hAnsi="Arial"/>
                <w:b/>
              </w:rPr>
              <w:t xml:space="preserve">Résultat N°4 : </w:t>
            </w:r>
            <w:r>
              <w:rPr>
                <w:rFonts w:ascii="Arial" w:hAnsi="Arial"/>
              </w:rPr>
              <w:t>Les pays participent à des plateformes de partage des connaissances et de mise en réseau et plaident pour l</w:t>
            </w:r>
            <w:r w:rsidR="00C62E8C">
              <w:rPr>
                <w:rFonts w:ascii="Arial" w:hAnsi="Arial"/>
              </w:rPr>
              <w:t>’</w:t>
            </w:r>
            <w:r>
              <w:rPr>
                <w:rFonts w:ascii="Arial" w:hAnsi="Arial"/>
              </w:rPr>
              <w:t>intégration du patrimoine vivant dans l</w:t>
            </w:r>
            <w:r w:rsidR="00C62E8C">
              <w:rPr>
                <w:rFonts w:ascii="Arial" w:hAnsi="Arial"/>
              </w:rPr>
              <w:t>’</w:t>
            </w:r>
            <w:r>
              <w:rPr>
                <w:rFonts w:ascii="Arial" w:hAnsi="Arial"/>
              </w:rPr>
              <w:t>éducation, dans des processus politiques régionaux et internationaux pertinents.</w:t>
            </w:r>
          </w:p>
        </w:tc>
      </w:tr>
      <w:tr w:rsidR="00925A18" w:rsidRPr="008E1238" w14:paraId="148D5F5A" w14:textId="77777777" w:rsidTr="00C62E8C">
        <w:trPr>
          <w:gridBefore w:val="1"/>
          <w:wBefore w:w="421" w:type="dxa"/>
          <w:trHeight w:val="185"/>
          <w:jc w:val="center"/>
        </w:trPr>
        <w:tc>
          <w:tcPr>
            <w:tcW w:w="8664" w:type="dxa"/>
            <w:tcBorders>
              <w:top w:val="single" w:sz="4" w:space="0" w:color="auto"/>
              <w:left w:val="single" w:sz="4" w:space="0" w:color="auto"/>
              <w:bottom w:val="single" w:sz="4" w:space="0" w:color="auto"/>
              <w:right w:val="single" w:sz="4" w:space="0" w:color="auto"/>
            </w:tcBorders>
            <w:shd w:val="clear" w:color="auto" w:fill="99C9EE"/>
            <w:tcMar>
              <w:top w:w="57" w:type="dxa"/>
              <w:left w:w="108" w:type="dxa"/>
              <w:bottom w:w="57" w:type="dxa"/>
              <w:right w:w="108" w:type="dxa"/>
            </w:tcMar>
          </w:tcPr>
          <w:p w14:paraId="000D2D3E" w14:textId="027A6176" w:rsidR="00925A18" w:rsidRPr="00585FCB" w:rsidRDefault="00925A18" w:rsidP="00C62E8C">
            <w:pPr>
              <w:shd w:val="clear" w:color="auto" w:fill="92CDDC" w:themeFill="accent5" w:themeFillTint="99"/>
              <w:jc w:val="both"/>
              <w:rPr>
                <w:rFonts w:ascii="Arial" w:hAnsi="Arial" w:cs="Arial"/>
                <w:b/>
                <w:bCs/>
                <w:szCs w:val="22"/>
              </w:rPr>
            </w:pPr>
            <w:r>
              <w:rPr>
                <w:rFonts w:ascii="Arial" w:hAnsi="Arial"/>
                <w:b/>
              </w:rPr>
              <w:t>Réalisation N°</w:t>
            </w:r>
            <w:r w:rsidR="00060C4D">
              <w:rPr>
                <w:rFonts w:ascii="Arial" w:hAnsi="Arial"/>
                <w:b/>
              </w:rPr>
              <w:t>4.</w:t>
            </w:r>
            <w:r>
              <w:rPr>
                <w:rFonts w:ascii="Arial" w:hAnsi="Arial"/>
                <w:b/>
              </w:rPr>
              <w:t xml:space="preserve">1 : </w:t>
            </w:r>
            <w:r>
              <w:rPr>
                <w:rFonts w:ascii="Arial" w:hAnsi="Arial"/>
              </w:rPr>
              <w:t>Accès à l</w:t>
            </w:r>
            <w:r w:rsidR="00C62E8C">
              <w:rPr>
                <w:rFonts w:ascii="Arial" w:hAnsi="Arial"/>
              </w:rPr>
              <w:t>’</w:t>
            </w:r>
            <w:r>
              <w:rPr>
                <w:rFonts w:ascii="Arial" w:hAnsi="Arial"/>
              </w:rPr>
              <w:t>expertise à la jonction entre patrimoine vivant et éducation, ainsi qu</w:t>
            </w:r>
            <w:r w:rsidR="00C62E8C">
              <w:rPr>
                <w:rFonts w:ascii="Arial" w:hAnsi="Arial"/>
              </w:rPr>
              <w:t>’</w:t>
            </w:r>
            <w:r>
              <w:rPr>
                <w:rFonts w:ascii="Arial" w:hAnsi="Arial"/>
              </w:rPr>
              <w:t>à des plateformes de partage des connaissances et de mise en réseau.</w:t>
            </w:r>
          </w:p>
        </w:tc>
      </w:tr>
      <w:tr w:rsidR="00925A18" w:rsidRPr="0026636A" w14:paraId="3BCFA1BA" w14:textId="77777777" w:rsidTr="00C62E8C">
        <w:trPr>
          <w:gridBefore w:val="1"/>
          <w:wBefore w:w="421" w:type="dxa"/>
          <w:trHeight w:val="185"/>
          <w:jc w:val="center"/>
        </w:trPr>
        <w:tc>
          <w:tcPr>
            <w:tcW w:w="8664" w:type="dxa"/>
            <w:tcBorders>
              <w:top w:val="single" w:sz="4" w:space="0" w:color="auto"/>
              <w:left w:val="single" w:sz="4" w:space="0" w:color="auto"/>
              <w:bottom w:val="single" w:sz="4" w:space="0" w:color="auto"/>
              <w:right w:val="single" w:sz="4" w:space="0" w:color="auto"/>
            </w:tcBorders>
            <w:shd w:val="clear" w:color="auto" w:fill="99C9EE"/>
            <w:tcMar>
              <w:top w:w="57" w:type="dxa"/>
              <w:left w:w="108" w:type="dxa"/>
              <w:bottom w:w="57" w:type="dxa"/>
              <w:right w:w="108" w:type="dxa"/>
            </w:tcMar>
          </w:tcPr>
          <w:p w14:paraId="0E8FC044" w14:textId="1D984383" w:rsidR="00925A18" w:rsidRPr="00585FCB" w:rsidRDefault="00925A18" w:rsidP="00C62E8C">
            <w:pPr>
              <w:shd w:val="clear" w:color="auto" w:fill="92CDDC" w:themeFill="accent5" w:themeFillTint="99"/>
              <w:jc w:val="both"/>
              <w:rPr>
                <w:rFonts w:ascii="Arial" w:hAnsi="Arial" w:cs="Arial"/>
                <w:b/>
                <w:bCs/>
                <w:szCs w:val="22"/>
              </w:rPr>
            </w:pPr>
            <w:r>
              <w:rPr>
                <w:rFonts w:ascii="Arial" w:hAnsi="Arial"/>
                <w:b/>
              </w:rPr>
              <w:lastRenderedPageBreak/>
              <w:t>Réalisation N°</w:t>
            </w:r>
            <w:r w:rsidR="00060C4D">
              <w:rPr>
                <w:rFonts w:ascii="Arial" w:hAnsi="Arial"/>
                <w:b/>
              </w:rPr>
              <w:t>4.</w:t>
            </w:r>
            <w:r>
              <w:rPr>
                <w:rFonts w:ascii="Arial" w:hAnsi="Arial"/>
                <w:b/>
              </w:rPr>
              <w:t xml:space="preserve">2 : </w:t>
            </w:r>
            <w:r>
              <w:rPr>
                <w:rFonts w:ascii="Arial" w:hAnsi="Arial"/>
              </w:rPr>
              <w:t>Les recommandations en matière de politique éducative sur l</w:t>
            </w:r>
            <w:r w:rsidR="00C62E8C">
              <w:rPr>
                <w:rFonts w:ascii="Arial" w:hAnsi="Arial"/>
              </w:rPr>
              <w:t>’</w:t>
            </w:r>
            <w:r>
              <w:rPr>
                <w:rFonts w:ascii="Arial" w:hAnsi="Arial"/>
              </w:rPr>
              <w:t>intégration du patrimoine culturel immatériel pour améliorer la qualité et la pertinence de l</w:t>
            </w:r>
            <w:r w:rsidR="00C62E8C">
              <w:rPr>
                <w:rFonts w:ascii="Arial" w:hAnsi="Arial"/>
              </w:rPr>
              <w:t>’</w:t>
            </w:r>
            <w:r>
              <w:rPr>
                <w:rFonts w:ascii="Arial" w:hAnsi="Arial"/>
              </w:rPr>
              <w:t>enseignement sont diffusées dans les processus politiques régionaux et internationaux pertinents.</w:t>
            </w:r>
          </w:p>
        </w:tc>
      </w:tr>
    </w:tbl>
    <w:p w14:paraId="277C269F" w14:textId="77777777" w:rsidR="00925A18" w:rsidRPr="00710FBF" w:rsidRDefault="00925A18" w:rsidP="00925A18">
      <w:pPr>
        <w:shd w:val="clear" w:color="auto" w:fill="0077D4"/>
        <w:tabs>
          <w:tab w:val="left" w:pos="567"/>
        </w:tabs>
        <w:snapToGrid w:val="0"/>
        <w:spacing w:before="240"/>
        <w:ind w:left="-144"/>
        <w:rPr>
          <w:rFonts w:ascii="Arial" w:eastAsia="Calibri" w:hAnsi="Arial" w:cs="Arial"/>
          <w:color w:val="FFFFFF"/>
          <w:sz w:val="28"/>
          <w:szCs w:val="28"/>
        </w:rPr>
      </w:pPr>
      <w:r>
        <w:rPr>
          <w:rFonts w:ascii="Arial" w:hAnsi="Arial"/>
          <w:color w:val="FFFFFF"/>
          <w:sz w:val="28"/>
        </w:rPr>
        <w:t>Stratégie de mise en œuvre</w:t>
      </w:r>
    </w:p>
    <w:p w14:paraId="60E25F0D" w14:textId="20752B1B" w:rsidR="00925A18" w:rsidRPr="00585FCB" w:rsidRDefault="00925A18" w:rsidP="00925A18">
      <w:pPr>
        <w:spacing w:before="120"/>
        <w:jc w:val="both"/>
        <w:rPr>
          <w:rFonts w:ascii="Arial" w:eastAsia="@Arial Unicode MS" w:hAnsi="Arial" w:cs="Arial"/>
          <w:bCs/>
          <w:szCs w:val="22"/>
        </w:rPr>
      </w:pPr>
      <w:r>
        <w:rPr>
          <w:rFonts w:ascii="Arial" w:hAnsi="Arial"/>
        </w:rPr>
        <w:t>La stratégie de mise en œuvre du Programme exige une approche combinée, comportant une collaboration interministérielle à tous les niveaux et des initiatives ascendantes. Elle a été conçue pour adapter l</w:t>
      </w:r>
      <w:r w:rsidR="00C62E8C">
        <w:rPr>
          <w:rFonts w:ascii="Arial" w:hAnsi="Arial"/>
        </w:rPr>
        <w:t>’</w:t>
      </w:r>
      <w:r>
        <w:rPr>
          <w:rFonts w:ascii="Arial" w:hAnsi="Arial"/>
        </w:rPr>
        <w:t>action au niveau national, en combinant le développement méthodologique et le renforcement des capacités avec une collaboration interministérielle, une sensibilisation et l</w:t>
      </w:r>
      <w:r w:rsidR="00C62E8C">
        <w:rPr>
          <w:rFonts w:ascii="Arial" w:hAnsi="Arial"/>
        </w:rPr>
        <w:t>’</w:t>
      </w:r>
      <w:r>
        <w:rPr>
          <w:rFonts w:ascii="Arial" w:hAnsi="Arial"/>
        </w:rPr>
        <w:t>élaboration de politiques plus conséquentes.</w:t>
      </w:r>
    </w:p>
    <w:p w14:paraId="676565E3" w14:textId="1C9FF46E" w:rsidR="00925A18" w:rsidRDefault="00925A18" w:rsidP="00925A18">
      <w:pPr>
        <w:spacing w:before="120"/>
        <w:jc w:val="both"/>
        <w:rPr>
          <w:rFonts w:ascii="Arial" w:eastAsia="@Arial Unicode MS" w:hAnsi="Arial" w:cs="Arial"/>
          <w:bCs/>
          <w:szCs w:val="22"/>
        </w:rPr>
      </w:pPr>
      <w:r>
        <w:rPr>
          <w:rFonts w:ascii="Arial" w:hAnsi="Arial"/>
        </w:rPr>
        <w:t>Le programme ne vise pas à réaliser en quatre ans tous les changements souhaités dans tous les pays participant au projet ; il propose plutôt une approche stratégique de ce travail de sauvegarde du patrimoine vivant dans l</w:t>
      </w:r>
      <w:r w:rsidR="00C62E8C">
        <w:rPr>
          <w:rFonts w:ascii="Arial" w:hAnsi="Arial"/>
        </w:rPr>
        <w:t>’</w:t>
      </w:r>
      <w:r>
        <w:rPr>
          <w:rFonts w:ascii="Arial" w:hAnsi="Arial"/>
        </w:rPr>
        <w:t>éducation formelle et non formelle, dont la portée et l</w:t>
      </w:r>
      <w:r w:rsidR="00C62E8C">
        <w:rPr>
          <w:rFonts w:ascii="Arial" w:hAnsi="Arial"/>
        </w:rPr>
        <w:t>’</w:t>
      </w:r>
      <w:r>
        <w:rPr>
          <w:rFonts w:ascii="Arial" w:hAnsi="Arial"/>
        </w:rPr>
        <w:t>échelle peuvent être adaptées au contexte de chaque pays. Les pays devront choisir l</w:t>
      </w:r>
      <w:r w:rsidR="00C62E8C">
        <w:rPr>
          <w:rFonts w:ascii="Arial" w:hAnsi="Arial"/>
        </w:rPr>
        <w:t>’</w:t>
      </w:r>
      <w:r>
        <w:rPr>
          <w:rFonts w:ascii="Arial" w:hAnsi="Arial"/>
        </w:rPr>
        <w:t>orientation de leur action en termes de type d</w:t>
      </w:r>
      <w:r w:rsidR="00C62E8C">
        <w:rPr>
          <w:rFonts w:ascii="Arial" w:hAnsi="Arial"/>
        </w:rPr>
        <w:t>’</w:t>
      </w:r>
      <w:r>
        <w:rPr>
          <w:rFonts w:ascii="Arial" w:hAnsi="Arial"/>
        </w:rPr>
        <w:t>éducation, à savoir formelle et non formelle, et de niveau d</w:t>
      </w:r>
      <w:r w:rsidR="00C62E8C">
        <w:rPr>
          <w:rFonts w:ascii="Arial" w:hAnsi="Arial"/>
        </w:rPr>
        <w:t>’</w:t>
      </w:r>
      <w:r>
        <w:rPr>
          <w:rFonts w:ascii="Arial" w:hAnsi="Arial"/>
        </w:rPr>
        <w:t>éducation (de la petite enfance à l</w:t>
      </w:r>
      <w:r w:rsidR="00C62E8C">
        <w:rPr>
          <w:rFonts w:ascii="Arial" w:hAnsi="Arial"/>
        </w:rPr>
        <w:t>’</w:t>
      </w:r>
      <w:r>
        <w:rPr>
          <w:rFonts w:ascii="Arial" w:hAnsi="Arial"/>
        </w:rPr>
        <w:t>enseignement supérieur), y compris la formation technique et professionnelle (EFTP). Ils pourront également choisir de se concentrer sur la formation des enseignants ou sur la réforme des programmes et l</w:t>
      </w:r>
      <w:r w:rsidR="00C62E8C">
        <w:rPr>
          <w:rFonts w:ascii="Arial" w:hAnsi="Arial"/>
        </w:rPr>
        <w:t>’</w:t>
      </w:r>
      <w:r>
        <w:rPr>
          <w:rFonts w:ascii="Arial" w:hAnsi="Arial"/>
        </w:rPr>
        <w:t>élaboration de politiques. Si les quatre résultats suivent une logique séquentielle, ils sont fortement liés entre eux. La mise en œuvre peut donc se faire soit de façon séquentielle dans le temps, soit en parallèle.</w:t>
      </w:r>
    </w:p>
    <w:p w14:paraId="3802B272" w14:textId="4907B6F1" w:rsidR="00925A18" w:rsidRPr="005455ED" w:rsidRDefault="00925A18" w:rsidP="00925A18">
      <w:pPr>
        <w:spacing w:before="120"/>
        <w:jc w:val="both"/>
        <w:rPr>
          <w:rFonts w:ascii="Arial" w:eastAsia="@Arial Unicode MS" w:hAnsi="Arial" w:cs="Arial"/>
          <w:bCs/>
          <w:szCs w:val="22"/>
        </w:rPr>
      </w:pPr>
      <w:r>
        <w:rPr>
          <w:rFonts w:ascii="Arial" w:hAnsi="Arial"/>
        </w:rPr>
        <w:t>Pour favoriser l</w:t>
      </w:r>
      <w:r w:rsidR="00C62E8C">
        <w:rPr>
          <w:rFonts w:ascii="Arial" w:hAnsi="Arial"/>
        </w:rPr>
        <w:t>’</w:t>
      </w:r>
      <w:r>
        <w:rPr>
          <w:rFonts w:ascii="Arial" w:hAnsi="Arial"/>
        </w:rPr>
        <w:t>ancrage institutionnel et la durabilité des processus, deux approches transversales seront envisagées à tous les niveaux de la mise en œuvre : 1) une collaboration et une coordination intersectorielles par le biais de groupes de travail et d</w:t>
      </w:r>
      <w:r w:rsidR="00C62E8C">
        <w:rPr>
          <w:rFonts w:ascii="Arial" w:hAnsi="Arial"/>
        </w:rPr>
        <w:t>’</w:t>
      </w:r>
      <w:r>
        <w:rPr>
          <w:rFonts w:ascii="Arial" w:hAnsi="Arial"/>
        </w:rPr>
        <w:t>une coopération interministérielle et 2) des stratégies adaptées au contexte et impliquant les porteurs de la communauté depuis la mise en œuvre d</w:t>
      </w:r>
      <w:r w:rsidR="00C62E8C">
        <w:rPr>
          <w:rFonts w:ascii="Arial" w:hAnsi="Arial"/>
        </w:rPr>
        <w:t>’</w:t>
      </w:r>
      <w:r>
        <w:rPr>
          <w:rFonts w:ascii="Arial" w:hAnsi="Arial"/>
        </w:rPr>
        <w:t>activités pilotes et le renforcement des capacités jusqu</w:t>
      </w:r>
      <w:r w:rsidR="00C62E8C">
        <w:rPr>
          <w:rFonts w:ascii="Arial" w:hAnsi="Arial"/>
        </w:rPr>
        <w:t>’</w:t>
      </w:r>
      <w:r>
        <w:rPr>
          <w:rFonts w:ascii="Arial" w:hAnsi="Arial"/>
        </w:rPr>
        <w:t>à l</w:t>
      </w:r>
      <w:r w:rsidR="00C62E8C">
        <w:rPr>
          <w:rFonts w:ascii="Arial" w:hAnsi="Arial"/>
        </w:rPr>
        <w:t>’</w:t>
      </w:r>
      <w:r>
        <w:rPr>
          <w:rFonts w:ascii="Arial" w:hAnsi="Arial"/>
        </w:rPr>
        <w:t>élaboration de recommandations de politiques et la mise en place de mécanismes intersectoriels et interinstitutionnels. Une attention particulière sera également portée à l</w:t>
      </w:r>
      <w:r w:rsidR="00C62E8C">
        <w:rPr>
          <w:rFonts w:ascii="Arial" w:hAnsi="Arial"/>
        </w:rPr>
        <w:t>’</w:t>
      </w:r>
      <w:r>
        <w:rPr>
          <w:rFonts w:ascii="Arial" w:hAnsi="Arial"/>
        </w:rPr>
        <w:t>implication juste et équitable de tous les secteurs et de toutes les strates de la société, y compris des peuples autochtones, des migrants, des immigrants, des réfugiés, des personnes d</w:t>
      </w:r>
      <w:r w:rsidR="00C62E8C">
        <w:rPr>
          <w:rFonts w:ascii="Arial" w:hAnsi="Arial"/>
        </w:rPr>
        <w:t>’</w:t>
      </w:r>
      <w:r>
        <w:rPr>
          <w:rFonts w:ascii="Arial" w:hAnsi="Arial"/>
        </w:rPr>
        <w:t>âges différents, des personnes handicapées et des membres de groupes vulnérables dans toutes les activités. Une approche sensible au genre sera appliquée comme assurance d</w:t>
      </w:r>
      <w:r w:rsidR="00C62E8C">
        <w:rPr>
          <w:rFonts w:ascii="Arial" w:hAnsi="Arial"/>
        </w:rPr>
        <w:t>’</w:t>
      </w:r>
      <w:r>
        <w:rPr>
          <w:rFonts w:ascii="Arial" w:hAnsi="Arial"/>
        </w:rPr>
        <w:t>une participation inclusive et comme approche pédagogique reflétant l</w:t>
      </w:r>
      <w:r w:rsidR="00C62E8C">
        <w:rPr>
          <w:rFonts w:ascii="Arial" w:hAnsi="Arial"/>
        </w:rPr>
        <w:t>’</w:t>
      </w:r>
      <w:r>
        <w:rPr>
          <w:rFonts w:ascii="Arial" w:hAnsi="Arial"/>
        </w:rPr>
        <w:t>influence du genre dans ce travail en s</w:t>
      </w:r>
      <w:r w:rsidR="00C62E8C">
        <w:rPr>
          <w:rFonts w:ascii="Arial" w:hAnsi="Arial"/>
        </w:rPr>
        <w:t>’</w:t>
      </w:r>
      <w:r>
        <w:rPr>
          <w:rFonts w:ascii="Arial" w:hAnsi="Arial"/>
        </w:rPr>
        <w:t>inspirant de la compréhension et des besoins de chaque contexte.</w:t>
      </w:r>
    </w:p>
    <w:p w14:paraId="5A84985A" w14:textId="682C19C0" w:rsidR="00925A18" w:rsidRPr="005455ED" w:rsidRDefault="00925A18" w:rsidP="00925A18">
      <w:pPr>
        <w:spacing w:before="120"/>
        <w:jc w:val="both"/>
        <w:rPr>
          <w:rFonts w:ascii="Arial" w:eastAsia="@Arial Unicode MS" w:hAnsi="Arial" w:cs="Arial"/>
          <w:bCs/>
          <w:szCs w:val="22"/>
        </w:rPr>
      </w:pPr>
      <w:r>
        <w:rPr>
          <w:rFonts w:ascii="Arial" w:hAnsi="Arial"/>
        </w:rPr>
        <w:t>Les bureaux de l</w:t>
      </w:r>
      <w:r w:rsidR="00C62E8C">
        <w:rPr>
          <w:rFonts w:ascii="Arial" w:hAnsi="Arial"/>
        </w:rPr>
        <w:t>’</w:t>
      </w:r>
      <w:r>
        <w:rPr>
          <w:rFonts w:ascii="Arial" w:hAnsi="Arial"/>
        </w:rPr>
        <w:t>UNESCO sur le terrain joueront un rôle moteur, en coopération avec leurs homologues nationaux</w:t>
      </w:r>
      <w:r w:rsidR="00060C4D">
        <w:rPr>
          <w:rFonts w:ascii="Arial" w:hAnsi="Arial"/>
        </w:rPr>
        <w:t xml:space="preserve">, </w:t>
      </w:r>
      <w:r>
        <w:rPr>
          <w:rFonts w:ascii="Arial" w:hAnsi="Arial"/>
        </w:rPr>
        <w:t>les instituts de l</w:t>
      </w:r>
      <w:r w:rsidR="00C62E8C">
        <w:rPr>
          <w:rFonts w:ascii="Arial" w:hAnsi="Arial"/>
        </w:rPr>
        <w:t>’</w:t>
      </w:r>
      <w:r>
        <w:rPr>
          <w:rFonts w:ascii="Arial" w:hAnsi="Arial"/>
        </w:rPr>
        <w:t>UNESCO pour l</w:t>
      </w:r>
      <w:r w:rsidR="00C62E8C">
        <w:rPr>
          <w:rFonts w:ascii="Arial" w:hAnsi="Arial"/>
        </w:rPr>
        <w:t>’</w:t>
      </w:r>
      <w:r>
        <w:rPr>
          <w:rFonts w:ascii="Arial" w:hAnsi="Arial"/>
        </w:rPr>
        <w:t>éducation, les centres de catégorie 2, et avec le soutien technique permanent de l</w:t>
      </w:r>
      <w:r w:rsidR="00C62E8C">
        <w:rPr>
          <w:rFonts w:ascii="Arial" w:hAnsi="Arial"/>
        </w:rPr>
        <w:t>’</w:t>
      </w:r>
      <w:r>
        <w:rPr>
          <w:rFonts w:ascii="Arial" w:hAnsi="Arial"/>
        </w:rPr>
        <w:t>Entité du patrimoine vivant et des entités éducatives concernées au niveau des sièges.</w:t>
      </w:r>
    </w:p>
    <w:p w14:paraId="2BD5A5D7" w14:textId="77777777" w:rsidR="00925A18" w:rsidRPr="005455ED" w:rsidRDefault="00925A18" w:rsidP="00925A18">
      <w:pPr>
        <w:shd w:val="clear" w:color="auto" w:fill="0077D4"/>
        <w:tabs>
          <w:tab w:val="left" w:pos="567"/>
        </w:tabs>
        <w:snapToGrid w:val="0"/>
        <w:spacing w:before="240"/>
        <w:ind w:left="-144"/>
        <w:rPr>
          <w:rFonts w:ascii="Arial" w:eastAsia="Calibri" w:hAnsi="Arial" w:cs="Arial"/>
          <w:color w:val="FFFFFF"/>
          <w:sz w:val="28"/>
          <w:szCs w:val="28"/>
        </w:rPr>
      </w:pPr>
      <w:r>
        <w:rPr>
          <w:rFonts w:ascii="Arial" w:hAnsi="Arial"/>
          <w:color w:val="FFFFFF"/>
          <w:sz w:val="28"/>
        </w:rPr>
        <w:t>Parties prenantes, bénéficiaires et partenaires</w:t>
      </w:r>
    </w:p>
    <w:p w14:paraId="3E47E739" w14:textId="7195FD3B" w:rsidR="00925A18" w:rsidRPr="00585FCB" w:rsidRDefault="00925A18" w:rsidP="00925A18">
      <w:pPr>
        <w:jc w:val="both"/>
        <w:rPr>
          <w:rFonts w:ascii="Arial" w:eastAsia="@Arial Unicode MS" w:hAnsi="Arial" w:cs="Arial"/>
          <w:szCs w:val="22"/>
        </w:rPr>
      </w:pPr>
      <w:r>
        <w:rPr>
          <w:rFonts w:ascii="Arial" w:hAnsi="Arial"/>
        </w:rPr>
        <w:t>Les parties prenantes et les bénéficiaires sont les apprenants et les porteurs de la communauté ainsi que les acteurs de la sauvegarde du patrimoine culturel immatériel (institutions pertinentes, ministères de la culture) et de l</w:t>
      </w:r>
      <w:r w:rsidR="00C62E8C">
        <w:rPr>
          <w:rFonts w:ascii="Arial" w:hAnsi="Arial"/>
        </w:rPr>
        <w:t>’</w:t>
      </w:r>
      <w:r>
        <w:rPr>
          <w:rFonts w:ascii="Arial" w:hAnsi="Arial"/>
        </w:rPr>
        <w:t>enseignement (écoles, programmes éducatifs non formels, ministères de l</w:t>
      </w:r>
      <w:r w:rsidR="00C62E8C">
        <w:rPr>
          <w:rFonts w:ascii="Arial" w:hAnsi="Arial"/>
        </w:rPr>
        <w:t>’</w:t>
      </w:r>
      <w:r>
        <w:rPr>
          <w:rFonts w:ascii="Arial" w:hAnsi="Arial"/>
        </w:rPr>
        <w:t>éducation, instituts de formation des enseignants et Réseau du système des écoles associées de l</w:t>
      </w:r>
      <w:r w:rsidR="00C62E8C">
        <w:rPr>
          <w:rFonts w:ascii="Arial" w:hAnsi="Arial"/>
        </w:rPr>
        <w:t>’</w:t>
      </w:r>
      <w:r>
        <w:rPr>
          <w:rFonts w:ascii="Arial" w:hAnsi="Arial"/>
        </w:rPr>
        <w:t>UNESCO). Les principaux bénéficiaires des activités organisées dans les écoles et espaces d</w:t>
      </w:r>
      <w:r w:rsidR="00C62E8C">
        <w:rPr>
          <w:rFonts w:ascii="Arial" w:hAnsi="Arial"/>
        </w:rPr>
        <w:t>’</w:t>
      </w:r>
      <w:r>
        <w:rPr>
          <w:rFonts w:ascii="Arial" w:hAnsi="Arial"/>
        </w:rPr>
        <w:t>apprentissage sont les élèves et les communautés concernées. Les bénéficiaires des activités complémentaires (formation des enseignants, analyse des politiques, formalisation et partage des informations) seront les programmes de formation des enseignants, les planificateurs et les décideurs. Le Secrétariat identifiera les États bénéficiaires en tenant compte des besoins et des capacités de mise en œuvre des États membres et de la capacité d</w:t>
      </w:r>
      <w:r w:rsidR="00C62E8C">
        <w:rPr>
          <w:rFonts w:ascii="Arial" w:hAnsi="Arial"/>
        </w:rPr>
        <w:t>’</w:t>
      </w:r>
      <w:r>
        <w:rPr>
          <w:rFonts w:ascii="Arial" w:hAnsi="Arial"/>
        </w:rPr>
        <w:t>action de l</w:t>
      </w:r>
      <w:r w:rsidR="00C62E8C">
        <w:rPr>
          <w:rFonts w:ascii="Arial" w:hAnsi="Arial"/>
        </w:rPr>
        <w:t>’</w:t>
      </w:r>
      <w:r>
        <w:rPr>
          <w:rFonts w:ascii="Arial" w:hAnsi="Arial"/>
        </w:rPr>
        <w:t>UNESCO dans chaque État membre. Les priorités régionales ou bilatérales des donateurs pourront également être prises en compte.</w:t>
      </w:r>
    </w:p>
    <w:p w14:paraId="677E3F6F" w14:textId="5D0668E6" w:rsidR="00925A18" w:rsidRDefault="00925A18" w:rsidP="00925A18">
      <w:pPr>
        <w:jc w:val="both"/>
        <w:rPr>
          <w:rFonts w:ascii="Arial" w:eastAsia="@Arial Unicode MS" w:hAnsi="Arial" w:cs="Arial"/>
          <w:color w:val="FFFFFF" w:themeColor="background1"/>
          <w:szCs w:val="22"/>
        </w:rPr>
      </w:pPr>
      <w:r>
        <w:rPr>
          <w:rFonts w:ascii="Arial" w:hAnsi="Arial"/>
        </w:rPr>
        <w:lastRenderedPageBreak/>
        <w:t>La Convention reconnaît le rôle essentiel des communautés dans la sauvegarde de leur patrimoine culturel immatériel. Toutes les activités réalisées dans le cadre de ce projet devront donc les impliquer et obtenir leur consentement libre, préalable et éclairé, tout en profitant de toutes les possibilités d</w:t>
      </w:r>
      <w:r w:rsidR="00C62E8C">
        <w:rPr>
          <w:rFonts w:ascii="Arial" w:hAnsi="Arial"/>
        </w:rPr>
        <w:t>’</w:t>
      </w:r>
      <w:r>
        <w:rPr>
          <w:rFonts w:ascii="Arial" w:hAnsi="Arial"/>
        </w:rPr>
        <w:t>élargir la mobilisation.</w:t>
      </w:r>
    </w:p>
    <w:p w14:paraId="71547B55" w14:textId="77777777" w:rsidR="00925A18" w:rsidRPr="00F7527A" w:rsidRDefault="00925A18" w:rsidP="00925A18">
      <w:pPr>
        <w:shd w:val="clear" w:color="auto" w:fill="0077D4"/>
        <w:tabs>
          <w:tab w:val="left" w:pos="567"/>
        </w:tabs>
        <w:snapToGrid w:val="0"/>
        <w:spacing w:before="240"/>
        <w:rPr>
          <w:rFonts w:ascii="Arial" w:eastAsia="Calibri" w:hAnsi="Arial" w:cs="Arial"/>
          <w:color w:val="FFFFFF"/>
          <w:sz w:val="28"/>
          <w:szCs w:val="28"/>
        </w:rPr>
      </w:pPr>
      <w:r>
        <w:rPr>
          <w:rFonts w:ascii="Arial" w:hAnsi="Arial"/>
          <w:color w:val="FFFFFF"/>
          <w:sz w:val="28"/>
        </w:rPr>
        <w:t>Analyse des risques, durabilité et stratégie de sortie</w:t>
      </w:r>
    </w:p>
    <w:p w14:paraId="510C6F4D" w14:textId="0DA7B875" w:rsidR="00925A18" w:rsidRPr="00585FCB" w:rsidRDefault="00925A18" w:rsidP="00925A18">
      <w:pPr>
        <w:jc w:val="both"/>
        <w:rPr>
          <w:rFonts w:ascii="Arial" w:eastAsia="@Arial Unicode MS" w:hAnsi="Arial" w:cs="Arial"/>
          <w:szCs w:val="22"/>
        </w:rPr>
      </w:pPr>
      <w:r>
        <w:rPr>
          <w:rFonts w:ascii="Arial" w:hAnsi="Arial"/>
        </w:rPr>
        <w:t>À court terme, le Programme impliquera les États parties afin de renforcer le</w:t>
      </w:r>
      <w:r w:rsidR="00060C4D">
        <w:rPr>
          <w:rFonts w:ascii="Arial" w:hAnsi="Arial"/>
        </w:rPr>
        <w:t>ur</w:t>
      </w:r>
      <w:r>
        <w:rPr>
          <w:rFonts w:ascii="Arial" w:hAnsi="Arial"/>
        </w:rPr>
        <w:t>s capacités de sauvegarde dans le cadre de l</w:t>
      </w:r>
      <w:r w:rsidR="00C62E8C">
        <w:rPr>
          <w:rFonts w:ascii="Arial" w:hAnsi="Arial"/>
        </w:rPr>
        <w:t>’</w:t>
      </w:r>
      <w:r>
        <w:rPr>
          <w:rFonts w:ascii="Arial" w:hAnsi="Arial"/>
        </w:rPr>
        <w:t>éducation formelle et non formelle. Les pays pourront accéder à une expertise, des orientations et des expériences concrètes, qui aideront les acteurs et communautés concernés à faire leur travail/développer des projets plus importants. Les orientations pourront, le cas échéant, inclure des informations sur les demandes d</w:t>
      </w:r>
      <w:r w:rsidR="00C62E8C">
        <w:rPr>
          <w:rFonts w:ascii="Arial" w:hAnsi="Arial"/>
        </w:rPr>
        <w:t>’</w:t>
      </w:r>
      <w:r>
        <w:rPr>
          <w:rFonts w:ascii="Arial" w:hAnsi="Arial"/>
        </w:rPr>
        <w:t>assistance internationale auprès du Fonds du patrimoine culturel immatériel.</w:t>
      </w:r>
    </w:p>
    <w:p w14:paraId="70ED3242" w14:textId="7EE4CB84" w:rsidR="00AD2FD6" w:rsidRPr="00585FCB" w:rsidRDefault="00925A18" w:rsidP="00925A18">
      <w:pPr>
        <w:jc w:val="both"/>
        <w:rPr>
          <w:rFonts w:ascii="Arial" w:hAnsi="Arial" w:cs="Arial"/>
          <w:szCs w:val="22"/>
        </w:rPr>
      </w:pPr>
      <w:r>
        <w:rPr>
          <w:rFonts w:ascii="Arial" w:hAnsi="Arial"/>
        </w:rPr>
        <w:t>Pour que le Programme soit couronné de succès, la collaboration intersectorielle entre l</w:t>
      </w:r>
      <w:r w:rsidR="00C62E8C">
        <w:rPr>
          <w:rFonts w:ascii="Arial" w:hAnsi="Arial"/>
        </w:rPr>
        <w:t>’</w:t>
      </w:r>
      <w:r>
        <w:rPr>
          <w:rFonts w:ascii="Arial" w:hAnsi="Arial"/>
        </w:rPr>
        <w:t xml:space="preserve">Entité du patrimoine vivant et le secteur </w:t>
      </w:r>
      <w:r w:rsidR="00FA378B">
        <w:rPr>
          <w:rFonts w:ascii="Arial" w:hAnsi="Arial"/>
        </w:rPr>
        <w:t>de l</w:t>
      </w:r>
      <w:r w:rsidR="00C62E8C">
        <w:rPr>
          <w:rFonts w:ascii="Arial" w:hAnsi="Arial"/>
        </w:rPr>
        <w:t>’</w:t>
      </w:r>
      <w:r w:rsidR="00FA378B">
        <w:rPr>
          <w:rFonts w:ascii="Arial" w:hAnsi="Arial"/>
        </w:rPr>
        <w:t xml:space="preserve">Éducation </w:t>
      </w:r>
      <w:r>
        <w:rPr>
          <w:rFonts w:ascii="Arial" w:hAnsi="Arial"/>
        </w:rPr>
        <w:t>sera également renforcée dans le cadre de l</w:t>
      </w:r>
      <w:r w:rsidR="00C62E8C">
        <w:rPr>
          <w:rFonts w:ascii="Arial" w:hAnsi="Arial"/>
        </w:rPr>
        <w:t>’</w:t>
      </w:r>
      <w:r>
        <w:rPr>
          <w:rFonts w:ascii="Arial" w:hAnsi="Arial"/>
        </w:rPr>
        <w:t>initiative intersectorielle conjointe intitulée « L</w:t>
      </w:r>
      <w:r w:rsidR="00C62E8C">
        <w:rPr>
          <w:rFonts w:ascii="Arial" w:hAnsi="Arial"/>
        </w:rPr>
        <w:t>’</w:t>
      </w:r>
      <w:r>
        <w:rPr>
          <w:rFonts w:ascii="Arial" w:hAnsi="Arial"/>
        </w:rPr>
        <w:t xml:space="preserve">éducation et la culture en action pour faire progresser les objectifs de développement durable ». Avant tout, et pour garantir une approche </w:t>
      </w:r>
      <w:r w:rsidRPr="0005628D">
        <w:rPr>
          <w:rFonts w:ascii="Arial" w:hAnsi="Arial"/>
        </w:rPr>
        <w:t>dialogique</w:t>
      </w:r>
      <w:r>
        <w:rPr>
          <w:rFonts w:ascii="Arial" w:hAnsi="Arial"/>
        </w:rPr>
        <w:t xml:space="preserve"> ascendante et descendante, il sera indispensable de veiller à ce que tous les acteurs aient accès aux moyens de consultation et de mise en œuvre, par exemple les jeunes, les dirigeants communautaires, les éducateurs et d</w:t>
      </w:r>
      <w:r w:rsidR="00C62E8C">
        <w:rPr>
          <w:rFonts w:ascii="Arial" w:hAnsi="Arial"/>
        </w:rPr>
        <w:t>’</w:t>
      </w:r>
      <w:r>
        <w:rPr>
          <w:rFonts w:ascii="Arial" w:hAnsi="Arial"/>
        </w:rPr>
        <w:t>autres.</w:t>
      </w:r>
    </w:p>
    <w:sectPr w:rsidR="00AD2FD6" w:rsidRPr="00585FCB" w:rsidSect="002938F2">
      <w:headerReference w:type="even" r:id="rId42"/>
      <w:headerReference w:type="default" r:id="rId43"/>
      <w:headerReference w:type="first" r:id="rId44"/>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370CC2" w14:textId="77777777" w:rsidR="00DC317C" w:rsidRDefault="00DC317C" w:rsidP="002938F2">
      <w:r>
        <w:separator/>
      </w:r>
    </w:p>
    <w:p w14:paraId="17F167DD" w14:textId="77777777" w:rsidR="00DC317C" w:rsidRDefault="00DC317C"/>
  </w:endnote>
  <w:endnote w:type="continuationSeparator" w:id="0">
    <w:p w14:paraId="27E54571" w14:textId="77777777" w:rsidR="00DC317C" w:rsidRDefault="00DC317C" w:rsidP="002938F2">
      <w:r>
        <w:continuationSeparator/>
      </w:r>
    </w:p>
    <w:p w14:paraId="21A5D28D" w14:textId="77777777" w:rsidR="00DC317C" w:rsidRDefault="00DC31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8D89B7" w14:textId="3B7E49A3" w:rsidR="00DC317C" w:rsidRDefault="00DC317C" w:rsidP="00EC528A">
      <w:r>
        <w:separator/>
      </w:r>
    </w:p>
  </w:footnote>
  <w:footnote w:type="continuationSeparator" w:id="0">
    <w:p w14:paraId="69A3579D" w14:textId="77777777" w:rsidR="00DC317C" w:rsidRDefault="00DC317C" w:rsidP="002938F2">
      <w:r>
        <w:continuationSeparator/>
      </w:r>
    </w:p>
    <w:p w14:paraId="3A6513DA" w14:textId="77777777" w:rsidR="00DC317C" w:rsidRDefault="00DC317C"/>
  </w:footnote>
  <w:footnote w:id="1">
    <w:p w14:paraId="1D2C36A2" w14:textId="72AF4B65" w:rsidR="00DC317C" w:rsidRPr="006D06BC" w:rsidRDefault="00DC317C" w:rsidP="006D06BC">
      <w:pPr>
        <w:pStyle w:val="FootnoteText"/>
        <w:spacing w:after="60"/>
        <w:ind w:left="567" w:hanging="567"/>
        <w:jc w:val="both"/>
        <w:rPr>
          <w:rStyle w:val="FootnoteReference"/>
          <w:rFonts w:asciiTheme="minorBidi" w:hAnsiTheme="minorBidi" w:cstheme="minorBidi"/>
          <w:sz w:val="18"/>
          <w:szCs w:val="18"/>
          <w:vertAlign w:val="baseline"/>
        </w:rPr>
      </w:pPr>
      <w:r>
        <w:rPr>
          <w:rStyle w:val="FootnoteReference"/>
          <w:rFonts w:asciiTheme="minorBidi" w:hAnsiTheme="minorBidi" w:cstheme="minorBidi"/>
          <w:sz w:val="18"/>
          <w:szCs w:val="18"/>
          <w:vertAlign w:val="baseline"/>
        </w:rPr>
        <w:footnoteRef/>
      </w:r>
      <w:r>
        <w:rPr>
          <w:rStyle w:val="FootnoteReference"/>
          <w:rFonts w:asciiTheme="minorBidi" w:hAnsiTheme="minorBidi"/>
          <w:sz w:val="18"/>
          <w:vertAlign w:val="baseline"/>
        </w:rPr>
        <w:t xml:space="preserve">.  </w:t>
      </w:r>
      <w:r>
        <w:rPr>
          <w:rFonts w:asciiTheme="minorBidi" w:hAnsiTheme="minorBidi"/>
          <w:sz w:val="18"/>
        </w:rPr>
        <w:tab/>
        <w:t xml:space="preserve">Celle-ci inclut les projets qui sont placés sous le Résultat escompté 6 du 39 C/5 et/ou 40 C/5 « Patrimoine culturel immatériel identifié et sauvegardé par les États membres et les communautés, en particulier par la mise en œuvre effective de la Convention de 2003 » dans SISTER. </w:t>
      </w:r>
      <w:r>
        <w:rPr>
          <w:rStyle w:val="FootnoteReference"/>
          <w:rFonts w:asciiTheme="minorBidi" w:hAnsiTheme="minorBidi"/>
          <w:sz w:val="18"/>
          <w:vertAlign w:val="baseline"/>
        </w:rPr>
        <w:t xml:space="preserve">Les projets qui ont été lancés, mis en œuvre ou terminés pendant la période sont considérés comme actifs aux fins de la présente section. Les contributions </w:t>
      </w:r>
      <w:r>
        <w:rPr>
          <w:rFonts w:asciiTheme="minorBidi" w:hAnsiTheme="minorBidi"/>
          <w:sz w:val="18"/>
        </w:rPr>
        <w:t xml:space="preserve">des donateurs </w:t>
      </w:r>
      <w:r>
        <w:rPr>
          <w:rStyle w:val="FootnoteReference"/>
          <w:rFonts w:asciiTheme="minorBidi" w:hAnsiTheme="minorBidi"/>
          <w:sz w:val="18"/>
          <w:vertAlign w:val="baseline"/>
        </w:rPr>
        <w:t>peuvent avoir été partiellement ou entièrement reçues avant</w:t>
      </w:r>
      <w:r>
        <w:rPr>
          <w:rFonts w:asciiTheme="minorBidi" w:hAnsiTheme="minorBidi"/>
          <w:sz w:val="18"/>
        </w:rPr>
        <w:t xml:space="preserve"> ou pendant la</w:t>
      </w:r>
      <w:r>
        <w:rPr>
          <w:rStyle w:val="FootnoteReference"/>
          <w:rFonts w:asciiTheme="minorBidi" w:hAnsiTheme="minorBidi"/>
          <w:sz w:val="18"/>
          <w:vertAlign w:val="baseline"/>
        </w:rPr>
        <w:t xml:space="preserve"> période considérée.</w:t>
      </w:r>
    </w:p>
  </w:footnote>
  <w:footnote w:id="2">
    <w:p w14:paraId="6562B7F0" w14:textId="2A607A6B" w:rsidR="00DC317C" w:rsidRPr="006D06BC" w:rsidRDefault="00DC317C" w:rsidP="006D06BC">
      <w:pPr>
        <w:pStyle w:val="FootnoteText"/>
        <w:ind w:left="567" w:hanging="567"/>
        <w:jc w:val="both"/>
        <w:rPr>
          <w:rFonts w:asciiTheme="minorBidi" w:hAnsiTheme="minorBidi" w:cstheme="minorBidi"/>
          <w:sz w:val="18"/>
          <w:szCs w:val="18"/>
        </w:rPr>
      </w:pPr>
      <w:r>
        <w:rPr>
          <w:rStyle w:val="FootnoteReference"/>
          <w:rFonts w:asciiTheme="minorBidi" w:hAnsiTheme="minorBidi" w:cstheme="minorBidi"/>
          <w:sz w:val="18"/>
          <w:szCs w:val="18"/>
          <w:vertAlign w:val="baseline"/>
        </w:rPr>
        <w:footnoteRef/>
      </w:r>
      <w:r>
        <w:rPr>
          <w:rFonts w:asciiTheme="minorBidi" w:hAnsiTheme="minorBidi"/>
          <w:sz w:val="18"/>
        </w:rPr>
        <w:t>.</w:t>
      </w:r>
      <w:r>
        <w:rPr>
          <w:rFonts w:asciiTheme="minorBidi" w:hAnsiTheme="minorBidi"/>
          <w:sz w:val="18"/>
        </w:rPr>
        <w:tab/>
        <w:t xml:space="preserve">Le bureau hors-siège de l'UNESCO </w:t>
      </w:r>
      <w:r w:rsidRPr="001A13A6">
        <w:rPr>
          <w:rFonts w:asciiTheme="minorBidi" w:hAnsiTheme="minorBidi"/>
          <w:sz w:val="18"/>
        </w:rPr>
        <w:t xml:space="preserve">- ou le </w:t>
      </w:r>
      <w:r>
        <w:rPr>
          <w:rFonts w:asciiTheme="minorBidi" w:hAnsiTheme="minorBidi"/>
          <w:sz w:val="18"/>
        </w:rPr>
        <w:t>S</w:t>
      </w:r>
      <w:r w:rsidRPr="001A13A6">
        <w:rPr>
          <w:rFonts w:asciiTheme="minorBidi" w:hAnsiTheme="minorBidi"/>
          <w:sz w:val="18"/>
        </w:rPr>
        <w:t xml:space="preserve">iège dans le cas d'activités </w:t>
      </w:r>
      <w:r>
        <w:rPr>
          <w:rFonts w:asciiTheme="minorBidi" w:hAnsiTheme="minorBidi"/>
          <w:sz w:val="18"/>
        </w:rPr>
        <w:t>mondiales</w:t>
      </w:r>
      <w:r w:rsidRPr="001A13A6">
        <w:rPr>
          <w:rFonts w:asciiTheme="minorBidi" w:hAnsiTheme="minorBidi"/>
          <w:sz w:val="18"/>
        </w:rPr>
        <w:t xml:space="preserve"> - </w:t>
      </w:r>
      <w:r>
        <w:rPr>
          <w:rFonts w:asciiTheme="minorBidi" w:hAnsiTheme="minorBidi"/>
          <w:sz w:val="18"/>
        </w:rPr>
        <w:t>responsable de la mise en œuvre de chaque projet est indiqué entre parenthèses après le nom du donateur.</w:t>
      </w:r>
    </w:p>
  </w:footnote>
  <w:footnote w:id="3">
    <w:p w14:paraId="63936026" w14:textId="52453143" w:rsidR="00DC317C" w:rsidRPr="006D06BC" w:rsidRDefault="00DC317C" w:rsidP="006D06BC">
      <w:pPr>
        <w:pStyle w:val="FootnoteText"/>
        <w:spacing w:after="60"/>
        <w:ind w:left="567" w:hanging="567"/>
        <w:jc w:val="both"/>
        <w:rPr>
          <w:rFonts w:asciiTheme="minorBidi" w:hAnsiTheme="minorBidi" w:cstheme="minorBidi"/>
          <w:sz w:val="18"/>
          <w:szCs w:val="18"/>
        </w:rPr>
      </w:pPr>
      <w:r>
        <w:rPr>
          <w:rStyle w:val="FootnoteReference"/>
          <w:rFonts w:asciiTheme="minorBidi" w:hAnsiTheme="minorBidi" w:cstheme="minorBidi"/>
          <w:sz w:val="18"/>
          <w:szCs w:val="18"/>
          <w:vertAlign w:val="baseline"/>
        </w:rPr>
        <w:footnoteRef/>
      </w:r>
      <w:r>
        <w:rPr>
          <w:rFonts w:asciiTheme="minorBidi" w:hAnsiTheme="minorBidi"/>
          <w:sz w:val="18"/>
        </w:rPr>
        <w:t xml:space="preserve">. </w:t>
      </w:r>
      <w:r>
        <w:rPr>
          <w:rFonts w:asciiTheme="minorBidi" w:hAnsiTheme="minorBidi"/>
          <w:sz w:val="18"/>
        </w:rPr>
        <w:tab/>
        <w:t>Informations fournies par l'Entité du patrimoine vivant en complément du rapport financier publié par la Section de gestion des financements, Bureau de la planification stratégique.</w:t>
      </w:r>
    </w:p>
  </w:footnote>
  <w:footnote w:id="4">
    <w:p w14:paraId="08C20662" w14:textId="437FC1BD" w:rsidR="00DC317C" w:rsidRPr="006D06BC" w:rsidRDefault="00DC317C" w:rsidP="005112F0">
      <w:pPr>
        <w:pStyle w:val="FootnoteText"/>
        <w:spacing w:after="60"/>
        <w:ind w:left="567" w:hanging="567"/>
        <w:jc w:val="both"/>
        <w:rPr>
          <w:rFonts w:asciiTheme="minorBidi" w:hAnsiTheme="minorBidi" w:cstheme="minorBidi"/>
          <w:sz w:val="18"/>
          <w:szCs w:val="18"/>
        </w:rPr>
      </w:pPr>
      <w:r>
        <w:rPr>
          <w:rStyle w:val="FootnoteReference"/>
          <w:rFonts w:asciiTheme="minorBidi" w:hAnsiTheme="minorBidi" w:cstheme="minorBidi"/>
          <w:sz w:val="18"/>
          <w:szCs w:val="18"/>
          <w:vertAlign w:val="baseline"/>
        </w:rPr>
        <w:footnoteRef/>
      </w:r>
      <w:r>
        <w:rPr>
          <w:rFonts w:asciiTheme="minorBidi" w:hAnsiTheme="minorBidi"/>
          <w:sz w:val="18"/>
        </w:rPr>
        <w:t xml:space="preserve"> . </w:t>
      </w:r>
      <w:r>
        <w:rPr>
          <w:rFonts w:asciiTheme="minorBidi" w:hAnsiTheme="minorBidi"/>
          <w:sz w:val="18"/>
        </w:rPr>
        <w:tab/>
        <w:t xml:space="preserve">La contribution a été transférée à l'UNESCO en décembre 2019 et est donc incluse dans le rapport financier publié par la Section de gestion des financements, Bureau de la planification stratégique, au 31 décembre 2019, tel que présenté à la huitième session de l'Assemblée générale (voir l'annexe II(a) du document </w:t>
      </w:r>
      <w:hyperlink r:id="rId1" w:history="1">
        <w:r>
          <w:rPr>
            <w:rStyle w:val="Hyperlink"/>
            <w:rFonts w:asciiTheme="minorBidi" w:hAnsiTheme="minorBidi"/>
            <w:sz w:val="18"/>
          </w:rPr>
          <w:t>LHE/20/8.GA/INF.7</w:t>
        </w:r>
      </w:hyperlink>
      <w:r>
        <w:rPr>
          <w:rFonts w:asciiTheme="minorBidi" w:hAnsiTheme="minorBidi"/>
          <w:sz w:val="18"/>
        </w:rPr>
        <w:t>).</w:t>
      </w:r>
    </w:p>
  </w:footnote>
  <w:footnote w:id="5">
    <w:p w14:paraId="666069A8" w14:textId="173846CE" w:rsidR="00DC317C" w:rsidRPr="00A62F7A" w:rsidRDefault="00DC317C" w:rsidP="00DC317C">
      <w:pPr>
        <w:pStyle w:val="FootnoteText"/>
        <w:tabs>
          <w:tab w:val="left" w:pos="567"/>
        </w:tabs>
        <w:ind w:left="567" w:hanging="567"/>
        <w:jc w:val="both"/>
        <w:rPr>
          <w:rFonts w:ascii="Arial" w:eastAsia="Batang" w:hAnsi="Arial" w:cs="Arial"/>
          <w:noProof/>
          <w:sz w:val="18"/>
          <w:szCs w:val="18"/>
        </w:rPr>
      </w:pPr>
      <w:r>
        <w:rPr>
          <w:rFonts w:ascii="Arial" w:hAnsi="Arial"/>
          <w:sz w:val="18"/>
        </w:rPr>
        <w:t>5.</w:t>
      </w:r>
      <w:r>
        <w:rPr>
          <w:rFonts w:ascii="Arial" w:hAnsi="Arial"/>
          <w:sz w:val="18"/>
        </w:rPr>
        <w:tab/>
      </w:r>
      <w:r w:rsidRPr="005C4D6E">
        <w:rPr>
          <w:rFonts w:ascii="Arial" w:hAnsi="Arial"/>
          <w:sz w:val="18"/>
        </w:rPr>
        <w:t xml:space="preserve">Consulter, par exemple, la décision de la quatorzième session du Comité intergouvernemental (Décision </w:t>
      </w:r>
      <w:hyperlink r:id="rId2" w:history="1">
        <w:r w:rsidRPr="005C4D6E">
          <w:rPr>
            <w:rStyle w:val="Hyperlink"/>
            <w:rFonts w:ascii="Arial" w:hAnsi="Arial"/>
            <w:sz w:val="18"/>
          </w:rPr>
          <w:t>14.COM</w:t>
        </w:r>
        <w:r>
          <w:rPr>
            <w:rStyle w:val="Hyperlink"/>
            <w:rFonts w:ascii="Arial" w:hAnsi="Arial"/>
            <w:sz w:val="18"/>
          </w:rPr>
          <w:t> </w:t>
        </w:r>
        <w:r w:rsidRPr="005C4D6E">
          <w:rPr>
            <w:rStyle w:val="Hyperlink"/>
            <w:rFonts w:ascii="Arial" w:hAnsi="Arial"/>
            <w:sz w:val="18"/>
          </w:rPr>
          <w:t>5.b</w:t>
        </w:r>
      </w:hyperlink>
      <w:r w:rsidRPr="005C4D6E">
        <w:rPr>
          <w:rFonts w:ascii="Arial" w:hAnsi="Arial"/>
          <w:sz w:val="18"/>
        </w:rPr>
        <w:t>).</w:t>
      </w:r>
    </w:p>
  </w:footnote>
  <w:footnote w:id="6">
    <w:p w14:paraId="1BC2419A" w14:textId="655DD3B4" w:rsidR="00DC317C" w:rsidRPr="00AF5016" w:rsidRDefault="00DC317C" w:rsidP="00DC317C">
      <w:pPr>
        <w:pStyle w:val="FootnoteText"/>
        <w:tabs>
          <w:tab w:val="left" w:pos="567"/>
        </w:tabs>
        <w:ind w:left="567" w:hanging="567"/>
        <w:jc w:val="both"/>
        <w:rPr>
          <w:rStyle w:val="FootnoteReference"/>
          <w:rFonts w:ascii="Arial" w:hAnsi="Arial" w:cs="Arial"/>
          <w:noProof/>
          <w:sz w:val="18"/>
          <w:szCs w:val="18"/>
          <w:vertAlign w:val="baseline"/>
        </w:rPr>
      </w:pPr>
      <w:r>
        <w:rPr>
          <w:rStyle w:val="FootnoteReference"/>
          <w:rFonts w:ascii="Arial" w:hAnsi="Arial" w:cs="Arial"/>
          <w:noProof/>
          <w:sz w:val="18"/>
          <w:szCs w:val="18"/>
          <w:vertAlign w:val="baseline"/>
        </w:rPr>
        <w:footnoteRef/>
      </w:r>
      <w:r>
        <w:rPr>
          <w:rStyle w:val="FootnoteReference"/>
          <w:rFonts w:ascii="Arial" w:hAnsi="Arial"/>
          <w:sz w:val="18"/>
          <w:vertAlign w:val="baseline"/>
        </w:rPr>
        <w:t>.</w:t>
      </w:r>
      <w:r>
        <w:rPr>
          <w:rStyle w:val="FootnoteReference"/>
          <w:rFonts w:ascii="Arial" w:hAnsi="Arial"/>
          <w:sz w:val="18"/>
          <w:vertAlign w:val="baseline"/>
        </w:rPr>
        <w:tab/>
      </w:r>
      <w:r>
        <w:rPr>
          <w:rFonts w:ascii="Arial" w:hAnsi="Arial"/>
          <w:sz w:val="18"/>
        </w:rPr>
        <w:t xml:space="preserve">Consulter le chapitre VI des </w:t>
      </w:r>
      <w:r w:rsidR="00CC2813">
        <w:rPr>
          <w:rFonts w:ascii="Arial" w:hAnsi="Arial"/>
          <w:sz w:val="18"/>
        </w:rPr>
        <w:t>d</w:t>
      </w:r>
      <w:r>
        <w:rPr>
          <w:rFonts w:ascii="Arial" w:hAnsi="Arial"/>
          <w:sz w:val="18"/>
        </w:rPr>
        <w:t xml:space="preserve">irectives opérationnelles, dans l’édition </w:t>
      </w:r>
      <w:hyperlink r:id="rId3" w:history="1">
        <w:r w:rsidRPr="005C4D6E">
          <w:rPr>
            <w:rStyle w:val="Hyperlink"/>
            <w:rFonts w:ascii="Arial" w:hAnsi="Arial"/>
            <w:sz w:val="18"/>
          </w:rPr>
          <w:t>2020</w:t>
        </w:r>
      </w:hyperlink>
      <w:r>
        <w:rPr>
          <w:rFonts w:ascii="Arial" w:hAnsi="Arial"/>
          <w:sz w:val="18"/>
        </w:rPr>
        <w:t xml:space="preserve"> des textes fondamentaux de la Convention</w:t>
      </w:r>
      <w:r>
        <w:rPr>
          <w:rFonts w:asciiTheme="minorBidi" w:hAnsiTheme="minorBidi"/>
          <w:sz w:val="18"/>
        </w:rPr>
        <w:t>.</w:t>
      </w:r>
    </w:p>
  </w:footnote>
  <w:footnote w:id="7">
    <w:p w14:paraId="065B762F" w14:textId="5AED26FF" w:rsidR="00DC317C" w:rsidRPr="005C4D6E" w:rsidRDefault="00DC317C" w:rsidP="00925A18">
      <w:pPr>
        <w:pStyle w:val="FootnoteText"/>
        <w:tabs>
          <w:tab w:val="left" w:pos="567"/>
        </w:tabs>
        <w:ind w:left="567" w:hanging="567"/>
        <w:jc w:val="both"/>
        <w:rPr>
          <w:rFonts w:ascii="Arial" w:hAnsi="Arial"/>
          <w:sz w:val="18"/>
        </w:rPr>
      </w:pPr>
      <w:r>
        <w:rPr>
          <w:rStyle w:val="FootnoteReference"/>
          <w:rFonts w:ascii="Arial" w:hAnsi="Arial" w:cs="Arial"/>
          <w:noProof/>
          <w:sz w:val="18"/>
          <w:szCs w:val="18"/>
          <w:vertAlign w:val="baseline"/>
        </w:rPr>
        <w:footnoteRef/>
      </w:r>
      <w:r>
        <w:rPr>
          <w:rStyle w:val="FootnoteReference"/>
          <w:rFonts w:ascii="Arial" w:hAnsi="Arial"/>
          <w:sz w:val="18"/>
          <w:vertAlign w:val="baseline"/>
        </w:rPr>
        <w:t>.</w:t>
      </w:r>
      <w:r>
        <w:rPr>
          <w:rStyle w:val="FootnoteReference"/>
          <w:rFonts w:ascii="Arial" w:hAnsi="Arial"/>
          <w:sz w:val="18"/>
          <w:vertAlign w:val="baseline"/>
        </w:rPr>
        <w:tab/>
      </w:r>
      <w:r w:rsidRPr="005C4D6E">
        <w:rPr>
          <w:rFonts w:ascii="Arial" w:hAnsi="Arial"/>
          <w:sz w:val="18"/>
        </w:rPr>
        <w:t>Le terme « inclusif »</w:t>
      </w:r>
      <w:r w:rsidRPr="000A3EC7">
        <w:rPr>
          <w:rFonts w:ascii="Arial" w:hAnsi="Arial"/>
          <w:sz w:val="18"/>
        </w:rPr>
        <w:t>,</w:t>
      </w:r>
      <w:r>
        <w:rPr>
          <w:rFonts w:ascii="Arial" w:hAnsi="Arial"/>
          <w:sz w:val="18"/>
        </w:rPr>
        <w:t xml:space="preserve"> « de manière inclusive » ou « sur une base inclusive » doivent être compris comme</w:t>
      </w:r>
      <w:r w:rsidRPr="005C4D6E">
        <w:rPr>
          <w:rFonts w:ascii="Arial" w:hAnsi="Arial"/>
          <w:sz w:val="18"/>
        </w:rPr>
        <w:t xml:space="preserve"> « inclusifs à l’égard de tous les secteurs et de toutes les strates de la société, y compris des peuples autochtones, des migrants, des immigrants, des réfugiés, des personnes d’âges et de genres différents, des personnes handicapées et des membres de groupes vulnérables » (cf. </w:t>
      </w:r>
      <w:r w:rsidR="00CC2813">
        <w:rPr>
          <w:rFonts w:ascii="Arial" w:hAnsi="Arial"/>
          <w:sz w:val="18"/>
        </w:rPr>
        <w:t>d</w:t>
      </w:r>
      <w:r w:rsidRPr="005C4D6E">
        <w:rPr>
          <w:rFonts w:ascii="Arial" w:hAnsi="Arial"/>
          <w:sz w:val="18"/>
        </w:rPr>
        <w:t>irectives opérationnelles 174 et 194).</w:t>
      </w:r>
    </w:p>
  </w:footnote>
  <w:footnote w:id="8">
    <w:p w14:paraId="7DD19641" w14:textId="617763CD" w:rsidR="00DC317C" w:rsidRPr="00A62F7A" w:rsidRDefault="00DC317C" w:rsidP="00925A18">
      <w:pPr>
        <w:pStyle w:val="FootnoteText"/>
        <w:tabs>
          <w:tab w:val="left" w:pos="567"/>
        </w:tabs>
        <w:rPr>
          <w:rFonts w:ascii="Arial" w:hAnsi="Arial" w:cs="Arial"/>
          <w:sz w:val="18"/>
          <w:szCs w:val="18"/>
        </w:rPr>
      </w:pPr>
      <w:r>
        <w:rPr>
          <w:rStyle w:val="FootnoteReference"/>
          <w:rFonts w:ascii="Arial" w:hAnsi="Arial" w:cs="Arial"/>
          <w:sz w:val="18"/>
          <w:szCs w:val="18"/>
          <w:vertAlign w:val="baseline"/>
        </w:rPr>
        <w:footnoteRef/>
      </w:r>
      <w:r>
        <w:rPr>
          <w:rFonts w:ascii="Arial" w:hAnsi="Arial"/>
          <w:sz w:val="18"/>
        </w:rPr>
        <w:t>.</w:t>
      </w:r>
      <w:r>
        <w:rPr>
          <w:rFonts w:ascii="Arial" w:hAnsi="Arial"/>
          <w:sz w:val="18"/>
        </w:rPr>
        <w:tab/>
      </w:r>
      <w:r w:rsidRPr="00DC317C">
        <w:rPr>
          <w:rFonts w:ascii="Arial" w:hAnsi="Arial"/>
          <w:sz w:val="18"/>
        </w:rPr>
        <w:t>Voir les</w:t>
      </w:r>
      <w:r>
        <w:rPr>
          <w:sz w:val="18"/>
        </w:rPr>
        <w:t xml:space="preserve"> </w:t>
      </w:r>
      <w:r>
        <w:rPr>
          <w:rFonts w:ascii="Arial" w:hAnsi="Arial"/>
          <w:sz w:val="18"/>
        </w:rPr>
        <w:t xml:space="preserve"> </w:t>
      </w:r>
      <w:hyperlink r:id="rId4" w:history="1">
        <w:r>
          <w:rPr>
            <w:rStyle w:val="Hyperlink"/>
            <w:rFonts w:ascii="Arial" w:hAnsi="Arial"/>
            <w:sz w:val="18"/>
          </w:rPr>
          <w:t>Principes éthiques pour la sauvegarde du patrimoine culturel immatériel.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16B9C" w14:textId="0860BC18" w:rsidR="00DC317C" w:rsidRPr="007E4E37" w:rsidRDefault="00DC317C" w:rsidP="003F682C">
    <w:pPr>
      <w:pStyle w:val="Header"/>
      <w:rPr>
        <w:rFonts w:ascii="Arial" w:hAnsi="Arial" w:cs="Arial"/>
      </w:rPr>
    </w:pPr>
    <w:r>
      <w:rPr>
        <w:rFonts w:ascii="Arial" w:hAnsi="Arial"/>
        <w:sz w:val="20"/>
      </w:rPr>
      <w:t xml:space="preserve">LHE/21/16.COM/12 – page </w:t>
    </w:r>
    <w:r w:rsidRPr="00D81948">
      <w:rPr>
        <w:rStyle w:val="PageNumber"/>
        <w:rFonts w:ascii="Arial" w:hAnsi="Arial" w:cs="Arial"/>
        <w:sz w:val="20"/>
      </w:rPr>
      <w:fldChar w:fldCharType="begin"/>
    </w:r>
    <w:r w:rsidRPr="00D81948">
      <w:rPr>
        <w:rStyle w:val="PageNumber"/>
        <w:rFonts w:ascii="Arial" w:hAnsi="Arial" w:cs="Arial"/>
        <w:sz w:val="20"/>
      </w:rPr>
      <w:instrText xml:space="preserve"> PAGE </w:instrText>
    </w:r>
    <w:r w:rsidRPr="00D81948">
      <w:rPr>
        <w:rStyle w:val="PageNumber"/>
        <w:rFonts w:ascii="Arial" w:hAnsi="Arial" w:cs="Arial"/>
        <w:sz w:val="20"/>
      </w:rPr>
      <w:fldChar w:fldCharType="separate"/>
    </w:r>
    <w:r>
      <w:rPr>
        <w:rStyle w:val="PageNumber"/>
        <w:rFonts w:ascii="Arial" w:hAnsi="Arial" w:cs="Arial"/>
        <w:sz w:val="20"/>
      </w:rPr>
      <w:t>2</w:t>
    </w:r>
    <w:r w:rsidRPr="00D81948">
      <w:rPr>
        <w:rStyle w:val="PageNumber"/>
        <w:rFonts w:ascii="Arial" w:hAnsi="Arial" w:cs="Arial"/>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65B8C" w14:textId="1EBF7F90" w:rsidR="00DC317C" w:rsidRPr="007E4E37" w:rsidRDefault="00DC317C" w:rsidP="007D13D9">
    <w:pPr>
      <w:pStyle w:val="Header"/>
      <w:ind w:left="2544" w:firstLine="3828"/>
      <w:jc w:val="right"/>
      <w:rPr>
        <w:rFonts w:ascii="Arial" w:hAnsi="Arial" w:cs="Arial"/>
      </w:rPr>
    </w:pPr>
    <w:r>
      <w:rPr>
        <w:rFonts w:ascii="Arial" w:hAnsi="Arial"/>
        <w:sz w:val="20"/>
      </w:rPr>
      <w:t xml:space="preserve">LHE/21/16.COM/12 – page </w:t>
    </w:r>
    <w:r w:rsidRPr="00EF563B">
      <w:rPr>
        <w:rStyle w:val="PageNumber"/>
        <w:rFonts w:ascii="Arial" w:hAnsi="Arial" w:cs="Arial"/>
        <w:sz w:val="20"/>
      </w:rPr>
      <w:fldChar w:fldCharType="begin"/>
    </w:r>
    <w:r w:rsidRPr="00EF563B">
      <w:rPr>
        <w:rStyle w:val="PageNumber"/>
        <w:rFonts w:ascii="Arial" w:hAnsi="Arial" w:cs="Arial"/>
        <w:sz w:val="20"/>
      </w:rPr>
      <w:instrText xml:space="preserve"> </w:instrText>
    </w:r>
    <w:r>
      <w:rPr>
        <w:rStyle w:val="PageNumber"/>
        <w:rFonts w:ascii="Arial" w:hAnsi="Arial" w:cs="Arial"/>
        <w:sz w:val="20"/>
      </w:rPr>
      <w:instrText>PAGE</w:instrText>
    </w:r>
    <w:r w:rsidRPr="00EF563B">
      <w:rPr>
        <w:rStyle w:val="PageNumber"/>
        <w:rFonts w:ascii="Arial" w:hAnsi="Arial" w:cs="Arial"/>
        <w:sz w:val="20"/>
      </w:rPr>
      <w:instrText xml:space="preserve"> </w:instrText>
    </w:r>
    <w:r w:rsidRPr="00EF563B">
      <w:rPr>
        <w:rStyle w:val="PageNumber"/>
        <w:rFonts w:ascii="Arial" w:hAnsi="Arial" w:cs="Arial"/>
        <w:sz w:val="20"/>
      </w:rPr>
      <w:fldChar w:fldCharType="separate"/>
    </w:r>
    <w:r>
      <w:rPr>
        <w:rStyle w:val="PageNumber"/>
        <w:rFonts w:ascii="Arial" w:hAnsi="Arial" w:cs="Arial"/>
        <w:sz w:val="20"/>
      </w:rPr>
      <w:t>3</w:t>
    </w:r>
    <w:r w:rsidRPr="00EF563B">
      <w:rPr>
        <w:rStyle w:val="PageNumber"/>
        <w:rFonts w:ascii="Arial" w:hAnsi="Arial" w:cs="Arial"/>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D2F24" w14:textId="0EE482A9" w:rsidR="00DC317C" w:rsidRPr="00D24E04" w:rsidRDefault="00DC317C" w:rsidP="0095046A">
    <w:pPr>
      <w:pStyle w:val="Header"/>
    </w:pPr>
    <w:r w:rsidRPr="00D24E04">
      <w:rPr>
        <w:rFonts w:ascii="Arial" w:hAnsi="Arial" w:cs="Arial"/>
        <w:b/>
        <w:noProof/>
        <w:sz w:val="44"/>
        <w:szCs w:val="44"/>
        <w:lang w:val="pt-PT"/>
      </w:rPr>
      <w:drawing>
        <wp:anchor distT="0" distB="0" distL="114300" distR="114300" simplePos="0" relativeHeight="251659264" behindDoc="0" locked="0" layoutInCell="1" allowOverlap="1" wp14:anchorId="6F753E3F" wp14:editId="156614CA">
          <wp:simplePos x="0" y="0"/>
          <wp:positionH relativeFrom="column">
            <wp:posOffset>26670</wp:posOffset>
          </wp:positionH>
          <wp:positionV relativeFrom="paragraph">
            <wp:posOffset>52070</wp:posOffset>
          </wp:positionV>
          <wp:extent cx="1657350" cy="1391920"/>
          <wp:effectExtent l="0" t="0" r="0"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626AE" w14:textId="77777777" w:rsidR="00DC317C" w:rsidRPr="00D24E04" w:rsidRDefault="00DC317C" w:rsidP="0095046A">
    <w:pPr>
      <w:pStyle w:val="Header"/>
      <w:spacing w:after="520"/>
      <w:jc w:val="right"/>
      <w:rPr>
        <w:rFonts w:ascii="Arial" w:hAnsi="Arial" w:cs="Arial"/>
        <w:b/>
        <w:sz w:val="44"/>
        <w:szCs w:val="44"/>
        <w:lang w:val="pt-PT"/>
      </w:rPr>
    </w:pPr>
    <w:r w:rsidRPr="00D24E04">
      <w:rPr>
        <w:rFonts w:ascii="Arial" w:hAnsi="Arial"/>
        <w:b/>
        <w:sz w:val="44"/>
        <w:lang w:val="pt-PT"/>
      </w:rPr>
      <w:t>16 COM</w:t>
    </w:r>
  </w:p>
  <w:p w14:paraId="13C6E0AB" w14:textId="09890925" w:rsidR="00DC317C" w:rsidRPr="00D24E04" w:rsidRDefault="00DC317C" w:rsidP="0095046A">
    <w:pPr>
      <w:spacing w:after="0"/>
      <w:jc w:val="right"/>
      <w:rPr>
        <w:rFonts w:ascii="Arial" w:hAnsi="Arial" w:cs="Arial"/>
        <w:b/>
        <w:szCs w:val="22"/>
        <w:lang w:val="pt-PT"/>
      </w:rPr>
    </w:pPr>
    <w:r w:rsidRPr="00D24E04">
      <w:rPr>
        <w:rFonts w:ascii="Arial" w:hAnsi="Arial"/>
        <w:b/>
        <w:lang w:val="pt-PT"/>
      </w:rPr>
      <w:t>LHE/21/16.COM/12</w:t>
    </w:r>
  </w:p>
  <w:p w14:paraId="4FA5B28C" w14:textId="0892643E" w:rsidR="00DC317C" w:rsidRPr="00D24E04" w:rsidRDefault="00DC317C" w:rsidP="0095046A">
    <w:pPr>
      <w:spacing w:after="0"/>
      <w:jc w:val="right"/>
      <w:rPr>
        <w:rFonts w:ascii="Arial" w:eastAsiaTheme="minorEastAsia" w:hAnsi="Arial" w:cs="Arial"/>
        <w:b/>
        <w:szCs w:val="22"/>
        <w:lang w:val="pt-PT"/>
      </w:rPr>
    </w:pPr>
    <w:r w:rsidRPr="00D24E04">
      <w:rPr>
        <w:rFonts w:ascii="Arial" w:hAnsi="Arial"/>
        <w:b/>
        <w:lang w:val="pt-PT"/>
      </w:rPr>
      <w:t>Paris, le 15 novembre 2021</w:t>
    </w:r>
  </w:p>
  <w:p w14:paraId="158A2807" w14:textId="55887954" w:rsidR="00DC317C" w:rsidRPr="0095046A" w:rsidRDefault="00DC317C" w:rsidP="0095046A">
    <w:pPr>
      <w:spacing w:after="0"/>
      <w:jc w:val="right"/>
      <w:rPr>
        <w:rFonts w:ascii="Arial" w:hAnsi="Arial" w:cs="Arial"/>
        <w:b/>
        <w:szCs w:val="22"/>
      </w:rPr>
    </w:pPr>
    <w:r w:rsidRPr="00D24E04">
      <w:rPr>
        <w:rFonts w:ascii="Arial" w:hAnsi="Arial"/>
        <w:b/>
      </w:rPr>
      <w:t>Original : anglais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F6E37"/>
    <w:multiLevelType w:val="hybridMultilevel"/>
    <w:tmpl w:val="13E6AA80"/>
    <w:lvl w:ilvl="0" w:tplc="E26C050C">
      <w:start w:val="2"/>
      <w:numFmt w:val="upp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15:restartNumberingAfterBreak="0">
    <w:nsid w:val="03F87FF9"/>
    <w:multiLevelType w:val="hybridMultilevel"/>
    <w:tmpl w:val="90603A94"/>
    <w:lvl w:ilvl="0" w:tplc="040C0019">
      <w:start w:val="1"/>
      <w:numFmt w:val="lowerLetter"/>
      <w:lvlText w:val="%1."/>
      <w:lvlJc w:val="left"/>
      <w:pPr>
        <w:ind w:left="1647" w:hanging="360"/>
      </w:p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abstractNum w:abstractNumId="2" w15:restartNumberingAfterBreak="0">
    <w:nsid w:val="05581F5C"/>
    <w:multiLevelType w:val="hybridMultilevel"/>
    <w:tmpl w:val="AE0694E4"/>
    <w:lvl w:ilvl="0" w:tplc="A5B6CC14">
      <w:start w:val="1"/>
      <w:numFmt w:val="upperLetter"/>
      <w:lvlText w:val="%1."/>
      <w:lvlJc w:val="left"/>
      <w:pPr>
        <w:ind w:left="644" w:hanging="360"/>
      </w:pPr>
      <w:rPr>
        <w:rFonts w:hint="default"/>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15:restartNumberingAfterBreak="0">
    <w:nsid w:val="0ADA76B9"/>
    <w:multiLevelType w:val="hybridMultilevel"/>
    <w:tmpl w:val="A4F2784A"/>
    <w:lvl w:ilvl="0" w:tplc="3208CFA2">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6"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2983421"/>
    <w:multiLevelType w:val="hybridMultilevel"/>
    <w:tmpl w:val="4640529C"/>
    <w:lvl w:ilvl="0" w:tplc="04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5F07BFE"/>
    <w:multiLevelType w:val="hybridMultilevel"/>
    <w:tmpl w:val="14404DC4"/>
    <w:lvl w:ilvl="0" w:tplc="E924862E">
      <w:start w:val="1"/>
      <w:numFmt w:val="decimal"/>
      <w:pStyle w:val="1GAPara"/>
      <w:lvlText w:val="%1."/>
      <w:lvlJc w:val="left"/>
      <w:pPr>
        <w:ind w:left="720" w:hanging="360"/>
      </w:pPr>
      <w:rPr>
        <w:rFonts w:asciiTheme="minorBidi" w:hAnsiTheme="minorBidi" w:cstheme="minorBidi"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397A4DB1"/>
    <w:multiLevelType w:val="hybridMultilevel"/>
    <w:tmpl w:val="C1100D9C"/>
    <w:lvl w:ilvl="0" w:tplc="67C2F190">
      <w:start w:val="1"/>
      <w:numFmt w:val="decimal"/>
      <w:pStyle w:val="COMParaDecision"/>
      <w:lvlText w:val="%1."/>
      <w:lvlJc w:val="left"/>
      <w:pPr>
        <w:ind w:left="1287" w:hanging="360"/>
      </w:pPr>
      <w:rPr>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15:restartNumberingAfterBreak="0">
    <w:nsid w:val="41BD40C5"/>
    <w:multiLevelType w:val="hybridMultilevel"/>
    <w:tmpl w:val="B9E64288"/>
    <w:lvl w:ilvl="0" w:tplc="08A29940">
      <w:start w:val="1"/>
      <w:numFmt w:val="lowerLetter"/>
      <w:lvlText w:val="%1)"/>
      <w:lvlJc w:val="left"/>
      <w:pPr>
        <w:ind w:left="720" w:hanging="360"/>
      </w:pPr>
      <w:rPr>
        <w:rFonts w:ascii="Arial" w:eastAsia="MS Mincho"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3B71665"/>
    <w:multiLevelType w:val="hybridMultilevel"/>
    <w:tmpl w:val="929CF4D0"/>
    <w:lvl w:ilvl="0" w:tplc="D04ECF5C">
      <w:start w:val="1"/>
      <w:numFmt w:val="decimal"/>
      <w:pStyle w:val="ListParagraph"/>
      <w:lvlText w:val="%1."/>
      <w:lvlJc w:val="left"/>
      <w:pPr>
        <w:ind w:left="502" w:hanging="360"/>
      </w:pPr>
      <w:rPr>
        <w:b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AC579AA"/>
    <w:multiLevelType w:val="hybridMultilevel"/>
    <w:tmpl w:val="9B2697EE"/>
    <w:lvl w:ilvl="0" w:tplc="04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F0B0161"/>
    <w:multiLevelType w:val="hybridMultilevel"/>
    <w:tmpl w:val="A4C83EF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5A95DCF"/>
    <w:multiLevelType w:val="hybridMultilevel"/>
    <w:tmpl w:val="46F0C990"/>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0D14BDA"/>
    <w:multiLevelType w:val="hybridMultilevel"/>
    <w:tmpl w:val="39E2F77A"/>
    <w:lvl w:ilvl="0" w:tplc="04090005">
      <w:start w:val="1"/>
      <w:numFmt w:val="bullet"/>
      <w:lvlText w:val=""/>
      <w:lvlJc w:val="left"/>
      <w:pPr>
        <w:tabs>
          <w:tab w:val="num" w:pos="2160"/>
        </w:tabs>
        <w:ind w:left="21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0"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AC51EFE"/>
    <w:multiLevelType w:val="hybridMultilevel"/>
    <w:tmpl w:val="490A664E"/>
    <w:lvl w:ilvl="0" w:tplc="04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5"/>
  </w:num>
  <w:num w:numId="4">
    <w:abstractNumId w:val="20"/>
  </w:num>
  <w:num w:numId="5">
    <w:abstractNumId w:val="17"/>
  </w:num>
  <w:num w:numId="6">
    <w:abstractNumId w:val="4"/>
  </w:num>
  <w:num w:numId="7">
    <w:abstractNumId w:val="6"/>
  </w:num>
  <w:num w:numId="8">
    <w:abstractNumId w:val="8"/>
  </w:num>
  <w:num w:numId="9">
    <w:abstractNumId w:val="18"/>
  </w:num>
  <w:num w:numId="10">
    <w:abstractNumId w:val="8"/>
    <w:lvlOverride w:ilvl="0">
      <w:startOverride w:val="1"/>
    </w:lvlOverride>
  </w:num>
  <w:num w:numId="11">
    <w:abstractNumId w:val="15"/>
  </w:num>
  <w:num w:numId="12">
    <w:abstractNumId w:val="11"/>
  </w:num>
  <w:num w:numId="13">
    <w:abstractNumId w:val="12"/>
  </w:num>
  <w:num w:numId="14">
    <w:abstractNumId w:val="10"/>
  </w:num>
  <w:num w:numId="15">
    <w:abstractNumId w:val="2"/>
  </w:num>
  <w:num w:numId="16">
    <w:abstractNumId w:val="0"/>
  </w:num>
  <w:num w:numId="17">
    <w:abstractNumId w:val="3"/>
  </w:num>
  <w:num w:numId="18">
    <w:abstractNumId w:val="10"/>
    <w:lvlOverride w:ilvl="0">
      <w:startOverride w:val="1"/>
    </w:lvlOverride>
  </w:num>
  <w:num w:numId="19">
    <w:abstractNumId w:val="16"/>
  </w:num>
  <w:num w:numId="20">
    <w:abstractNumId w:val="19"/>
  </w:num>
  <w:num w:numId="21">
    <w:abstractNumId w:val="1"/>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135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4A1"/>
    <w:rsid w:val="000016A4"/>
    <w:rsid w:val="000019DB"/>
    <w:rsid w:val="00004349"/>
    <w:rsid w:val="000047CC"/>
    <w:rsid w:val="000120FD"/>
    <w:rsid w:val="00013075"/>
    <w:rsid w:val="000173B5"/>
    <w:rsid w:val="00021831"/>
    <w:rsid w:val="0002261A"/>
    <w:rsid w:val="000260DD"/>
    <w:rsid w:val="00042797"/>
    <w:rsid w:val="00045AB9"/>
    <w:rsid w:val="00047E58"/>
    <w:rsid w:val="0005628D"/>
    <w:rsid w:val="00060C4D"/>
    <w:rsid w:val="00062E9A"/>
    <w:rsid w:val="000660D9"/>
    <w:rsid w:val="00073D20"/>
    <w:rsid w:val="000755E1"/>
    <w:rsid w:val="000759E0"/>
    <w:rsid w:val="00080AAA"/>
    <w:rsid w:val="000813DC"/>
    <w:rsid w:val="00085541"/>
    <w:rsid w:val="00093063"/>
    <w:rsid w:val="000A34CE"/>
    <w:rsid w:val="000A3EC7"/>
    <w:rsid w:val="000C24A3"/>
    <w:rsid w:val="000C4A52"/>
    <w:rsid w:val="000C5F3A"/>
    <w:rsid w:val="000C65E4"/>
    <w:rsid w:val="000F2247"/>
    <w:rsid w:val="000F65F3"/>
    <w:rsid w:val="00104211"/>
    <w:rsid w:val="001064D8"/>
    <w:rsid w:val="00106685"/>
    <w:rsid w:val="00106B72"/>
    <w:rsid w:val="001076FC"/>
    <w:rsid w:val="001149B2"/>
    <w:rsid w:val="00116C2A"/>
    <w:rsid w:val="0011750D"/>
    <w:rsid w:val="00125CDA"/>
    <w:rsid w:val="00126DEB"/>
    <w:rsid w:val="00140312"/>
    <w:rsid w:val="001412DE"/>
    <w:rsid w:val="00142E2A"/>
    <w:rsid w:val="00144A4D"/>
    <w:rsid w:val="00147F27"/>
    <w:rsid w:val="00151351"/>
    <w:rsid w:val="00163737"/>
    <w:rsid w:val="0016682D"/>
    <w:rsid w:val="00167382"/>
    <w:rsid w:val="00174B39"/>
    <w:rsid w:val="00175244"/>
    <w:rsid w:val="001836DA"/>
    <w:rsid w:val="001871A1"/>
    <w:rsid w:val="00190032"/>
    <w:rsid w:val="001943EE"/>
    <w:rsid w:val="001A13A6"/>
    <w:rsid w:val="001A431C"/>
    <w:rsid w:val="001B01FE"/>
    <w:rsid w:val="001B4ECE"/>
    <w:rsid w:val="001C21F6"/>
    <w:rsid w:val="001C2B9F"/>
    <w:rsid w:val="001C3CF6"/>
    <w:rsid w:val="001C5BA7"/>
    <w:rsid w:val="001D00B5"/>
    <w:rsid w:val="001D3B29"/>
    <w:rsid w:val="001E1294"/>
    <w:rsid w:val="001E4EEB"/>
    <w:rsid w:val="001E6026"/>
    <w:rsid w:val="001E6653"/>
    <w:rsid w:val="001F3696"/>
    <w:rsid w:val="001F37CA"/>
    <w:rsid w:val="001F3CA5"/>
    <w:rsid w:val="001F401D"/>
    <w:rsid w:val="001F799E"/>
    <w:rsid w:val="00204B37"/>
    <w:rsid w:val="002105E4"/>
    <w:rsid w:val="00213119"/>
    <w:rsid w:val="00220740"/>
    <w:rsid w:val="00237E43"/>
    <w:rsid w:val="002419D9"/>
    <w:rsid w:val="00242609"/>
    <w:rsid w:val="00243BBC"/>
    <w:rsid w:val="002459E4"/>
    <w:rsid w:val="0027198B"/>
    <w:rsid w:val="002809C1"/>
    <w:rsid w:val="00286C0C"/>
    <w:rsid w:val="00290D5F"/>
    <w:rsid w:val="002938F2"/>
    <w:rsid w:val="002A0742"/>
    <w:rsid w:val="002A100C"/>
    <w:rsid w:val="002A5504"/>
    <w:rsid w:val="002B4264"/>
    <w:rsid w:val="002B5DFA"/>
    <w:rsid w:val="002C5280"/>
    <w:rsid w:val="002D2681"/>
    <w:rsid w:val="002D396D"/>
    <w:rsid w:val="002D4B4C"/>
    <w:rsid w:val="002E20E6"/>
    <w:rsid w:val="002E4CB7"/>
    <w:rsid w:val="002E7764"/>
    <w:rsid w:val="002E7C83"/>
    <w:rsid w:val="002F0E0A"/>
    <w:rsid w:val="002F53FD"/>
    <w:rsid w:val="00307B6A"/>
    <w:rsid w:val="003123DB"/>
    <w:rsid w:val="0031420F"/>
    <w:rsid w:val="00314BD8"/>
    <w:rsid w:val="0033258E"/>
    <w:rsid w:val="0034227C"/>
    <w:rsid w:val="0035648A"/>
    <w:rsid w:val="00363995"/>
    <w:rsid w:val="0039446E"/>
    <w:rsid w:val="00394DB7"/>
    <w:rsid w:val="003A1DAD"/>
    <w:rsid w:val="003C7065"/>
    <w:rsid w:val="003F682C"/>
    <w:rsid w:val="004108B6"/>
    <w:rsid w:val="00412F26"/>
    <w:rsid w:val="00414148"/>
    <w:rsid w:val="004233EB"/>
    <w:rsid w:val="00434773"/>
    <w:rsid w:val="00436ADC"/>
    <w:rsid w:val="00447C66"/>
    <w:rsid w:val="004504E6"/>
    <w:rsid w:val="004620E1"/>
    <w:rsid w:val="00466EAB"/>
    <w:rsid w:val="00471B34"/>
    <w:rsid w:val="004727D1"/>
    <w:rsid w:val="00474CBC"/>
    <w:rsid w:val="00477C91"/>
    <w:rsid w:val="00483688"/>
    <w:rsid w:val="004849F1"/>
    <w:rsid w:val="00485479"/>
    <w:rsid w:val="00487A86"/>
    <w:rsid w:val="00493D42"/>
    <w:rsid w:val="00497789"/>
    <w:rsid w:val="004A69AC"/>
    <w:rsid w:val="004B078B"/>
    <w:rsid w:val="004C24E6"/>
    <w:rsid w:val="004C4449"/>
    <w:rsid w:val="004C486D"/>
    <w:rsid w:val="004E056C"/>
    <w:rsid w:val="004E2817"/>
    <w:rsid w:val="005006BD"/>
    <w:rsid w:val="0050100E"/>
    <w:rsid w:val="005016FB"/>
    <w:rsid w:val="00505236"/>
    <w:rsid w:val="00506732"/>
    <w:rsid w:val="005069E7"/>
    <w:rsid w:val="00507B89"/>
    <w:rsid w:val="005112F0"/>
    <w:rsid w:val="0051163A"/>
    <w:rsid w:val="00511D17"/>
    <w:rsid w:val="0051699F"/>
    <w:rsid w:val="00517738"/>
    <w:rsid w:val="0052029F"/>
    <w:rsid w:val="00520BCD"/>
    <w:rsid w:val="00521E5F"/>
    <w:rsid w:val="005259CF"/>
    <w:rsid w:val="00530E51"/>
    <w:rsid w:val="005329D6"/>
    <w:rsid w:val="00535849"/>
    <w:rsid w:val="00537DB2"/>
    <w:rsid w:val="005414A1"/>
    <w:rsid w:val="005444E7"/>
    <w:rsid w:val="00557F01"/>
    <w:rsid w:val="0056648B"/>
    <w:rsid w:val="00567902"/>
    <w:rsid w:val="00570814"/>
    <w:rsid w:val="005720E3"/>
    <w:rsid w:val="005767AC"/>
    <w:rsid w:val="0057728C"/>
    <w:rsid w:val="0059149B"/>
    <w:rsid w:val="0059488F"/>
    <w:rsid w:val="005C0660"/>
    <w:rsid w:val="005C2754"/>
    <w:rsid w:val="005C3567"/>
    <w:rsid w:val="005C4D6E"/>
    <w:rsid w:val="005C79F1"/>
    <w:rsid w:val="005D63EA"/>
    <w:rsid w:val="005F31AD"/>
    <w:rsid w:val="00601DD6"/>
    <w:rsid w:val="00603F71"/>
    <w:rsid w:val="00610F88"/>
    <w:rsid w:val="00616B3E"/>
    <w:rsid w:val="006279AA"/>
    <w:rsid w:val="00636760"/>
    <w:rsid w:val="006515C9"/>
    <w:rsid w:val="00652318"/>
    <w:rsid w:val="0065304C"/>
    <w:rsid w:val="00654E18"/>
    <w:rsid w:val="00655EED"/>
    <w:rsid w:val="0066569B"/>
    <w:rsid w:val="0067005F"/>
    <w:rsid w:val="00674FB3"/>
    <w:rsid w:val="00677187"/>
    <w:rsid w:val="00681958"/>
    <w:rsid w:val="006838AE"/>
    <w:rsid w:val="0068457E"/>
    <w:rsid w:val="006876DF"/>
    <w:rsid w:val="006917A6"/>
    <w:rsid w:val="006A0D86"/>
    <w:rsid w:val="006A1059"/>
    <w:rsid w:val="006B1727"/>
    <w:rsid w:val="006B2685"/>
    <w:rsid w:val="006B2F24"/>
    <w:rsid w:val="006B5615"/>
    <w:rsid w:val="006C0911"/>
    <w:rsid w:val="006D06BC"/>
    <w:rsid w:val="006D46FB"/>
    <w:rsid w:val="006D4E3E"/>
    <w:rsid w:val="006E685B"/>
    <w:rsid w:val="006E75DB"/>
    <w:rsid w:val="006E7B3F"/>
    <w:rsid w:val="00704210"/>
    <w:rsid w:val="007174ED"/>
    <w:rsid w:val="007334DA"/>
    <w:rsid w:val="00746204"/>
    <w:rsid w:val="00747715"/>
    <w:rsid w:val="00750138"/>
    <w:rsid w:val="00751BEF"/>
    <w:rsid w:val="00753D74"/>
    <w:rsid w:val="00753DA3"/>
    <w:rsid w:val="00757123"/>
    <w:rsid w:val="00762ACA"/>
    <w:rsid w:val="00764476"/>
    <w:rsid w:val="00764F50"/>
    <w:rsid w:val="00770A92"/>
    <w:rsid w:val="007776C3"/>
    <w:rsid w:val="00790C65"/>
    <w:rsid w:val="007A7872"/>
    <w:rsid w:val="007A7D45"/>
    <w:rsid w:val="007B1BC6"/>
    <w:rsid w:val="007B2124"/>
    <w:rsid w:val="007B5137"/>
    <w:rsid w:val="007B7CB2"/>
    <w:rsid w:val="007C16B4"/>
    <w:rsid w:val="007C1B00"/>
    <w:rsid w:val="007D13D9"/>
    <w:rsid w:val="007D31CE"/>
    <w:rsid w:val="007D5762"/>
    <w:rsid w:val="007D5BB7"/>
    <w:rsid w:val="007D62C4"/>
    <w:rsid w:val="007E0621"/>
    <w:rsid w:val="007E3B65"/>
    <w:rsid w:val="007E4E37"/>
    <w:rsid w:val="007F103E"/>
    <w:rsid w:val="007F1127"/>
    <w:rsid w:val="007F4B07"/>
    <w:rsid w:val="007F6BC4"/>
    <w:rsid w:val="00800561"/>
    <w:rsid w:val="00822CD9"/>
    <w:rsid w:val="008243CA"/>
    <w:rsid w:val="0083488D"/>
    <w:rsid w:val="00845A41"/>
    <w:rsid w:val="008466C3"/>
    <w:rsid w:val="00851458"/>
    <w:rsid w:val="00852BEC"/>
    <w:rsid w:val="00857509"/>
    <w:rsid w:val="00861A47"/>
    <w:rsid w:val="0086304A"/>
    <w:rsid w:val="008707AA"/>
    <w:rsid w:val="008707FF"/>
    <w:rsid w:val="008724E5"/>
    <w:rsid w:val="00874EE6"/>
    <w:rsid w:val="00881BC8"/>
    <w:rsid w:val="008844EA"/>
    <w:rsid w:val="00890469"/>
    <w:rsid w:val="00893BE7"/>
    <w:rsid w:val="00895CB1"/>
    <w:rsid w:val="008A36B7"/>
    <w:rsid w:val="008A5D6D"/>
    <w:rsid w:val="008C037C"/>
    <w:rsid w:val="008C75AF"/>
    <w:rsid w:val="008D20A4"/>
    <w:rsid w:val="008D3BF7"/>
    <w:rsid w:val="008D7DF1"/>
    <w:rsid w:val="008E2E87"/>
    <w:rsid w:val="008E3F0F"/>
    <w:rsid w:val="008E57E4"/>
    <w:rsid w:val="008E77C7"/>
    <w:rsid w:val="008F16C6"/>
    <w:rsid w:val="008F3012"/>
    <w:rsid w:val="008F34A1"/>
    <w:rsid w:val="00900435"/>
    <w:rsid w:val="0091094E"/>
    <w:rsid w:val="009121CE"/>
    <w:rsid w:val="009127D8"/>
    <w:rsid w:val="00921F65"/>
    <w:rsid w:val="0092367F"/>
    <w:rsid w:val="00925A18"/>
    <w:rsid w:val="00926C1A"/>
    <w:rsid w:val="00930DA3"/>
    <w:rsid w:val="00936A1B"/>
    <w:rsid w:val="0095046A"/>
    <w:rsid w:val="00951F4A"/>
    <w:rsid w:val="009540D6"/>
    <w:rsid w:val="00961E3C"/>
    <w:rsid w:val="0097349C"/>
    <w:rsid w:val="00985C9B"/>
    <w:rsid w:val="00992981"/>
    <w:rsid w:val="0099348A"/>
    <w:rsid w:val="009B1A04"/>
    <w:rsid w:val="009B4723"/>
    <w:rsid w:val="009B55AC"/>
    <w:rsid w:val="009B77A0"/>
    <w:rsid w:val="009B7A9F"/>
    <w:rsid w:val="009D4547"/>
    <w:rsid w:val="009D5E38"/>
    <w:rsid w:val="009D6CEB"/>
    <w:rsid w:val="009F34A4"/>
    <w:rsid w:val="009F3988"/>
    <w:rsid w:val="00A06F19"/>
    <w:rsid w:val="00A150C7"/>
    <w:rsid w:val="00A20CE8"/>
    <w:rsid w:val="00A37CF1"/>
    <w:rsid w:val="00A43C37"/>
    <w:rsid w:val="00A507E7"/>
    <w:rsid w:val="00A519A2"/>
    <w:rsid w:val="00A605CF"/>
    <w:rsid w:val="00A6174E"/>
    <w:rsid w:val="00A62F7A"/>
    <w:rsid w:val="00A6499A"/>
    <w:rsid w:val="00A66A07"/>
    <w:rsid w:val="00A70883"/>
    <w:rsid w:val="00A759E1"/>
    <w:rsid w:val="00A77AEB"/>
    <w:rsid w:val="00A86042"/>
    <w:rsid w:val="00A9237D"/>
    <w:rsid w:val="00A95970"/>
    <w:rsid w:val="00AA0709"/>
    <w:rsid w:val="00AA444A"/>
    <w:rsid w:val="00AA49A6"/>
    <w:rsid w:val="00AB1528"/>
    <w:rsid w:val="00AC1C37"/>
    <w:rsid w:val="00AC29A6"/>
    <w:rsid w:val="00AC49E6"/>
    <w:rsid w:val="00AD2FD6"/>
    <w:rsid w:val="00AE1B18"/>
    <w:rsid w:val="00AE627F"/>
    <w:rsid w:val="00AE66EF"/>
    <w:rsid w:val="00AF0A9C"/>
    <w:rsid w:val="00AF1C32"/>
    <w:rsid w:val="00AF5016"/>
    <w:rsid w:val="00B11AE3"/>
    <w:rsid w:val="00B14DF9"/>
    <w:rsid w:val="00B21F2F"/>
    <w:rsid w:val="00B24B0D"/>
    <w:rsid w:val="00B4041C"/>
    <w:rsid w:val="00B53C9D"/>
    <w:rsid w:val="00B573E1"/>
    <w:rsid w:val="00B6167A"/>
    <w:rsid w:val="00B6214D"/>
    <w:rsid w:val="00B6280A"/>
    <w:rsid w:val="00B635F8"/>
    <w:rsid w:val="00B73BE7"/>
    <w:rsid w:val="00B973B5"/>
    <w:rsid w:val="00BC7960"/>
    <w:rsid w:val="00BD33EA"/>
    <w:rsid w:val="00BD59BD"/>
    <w:rsid w:val="00BE1DEA"/>
    <w:rsid w:val="00BE59F5"/>
    <w:rsid w:val="00BF10C3"/>
    <w:rsid w:val="00C01105"/>
    <w:rsid w:val="00C05FA1"/>
    <w:rsid w:val="00C11251"/>
    <w:rsid w:val="00C15350"/>
    <w:rsid w:val="00C1651E"/>
    <w:rsid w:val="00C20F63"/>
    <w:rsid w:val="00C37AF4"/>
    <w:rsid w:val="00C4105F"/>
    <w:rsid w:val="00C411EA"/>
    <w:rsid w:val="00C473EE"/>
    <w:rsid w:val="00C508CD"/>
    <w:rsid w:val="00C52C5F"/>
    <w:rsid w:val="00C6176D"/>
    <w:rsid w:val="00C62E8C"/>
    <w:rsid w:val="00C63F65"/>
    <w:rsid w:val="00C6478B"/>
    <w:rsid w:val="00C64B5D"/>
    <w:rsid w:val="00C65379"/>
    <w:rsid w:val="00C70EFC"/>
    <w:rsid w:val="00C86AB5"/>
    <w:rsid w:val="00C94DE2"/>
    <w:rsid w:val="00C9572E"/>
    <w:rsid w:val="00CB0F37"/>
    <w:rsid w:val="00CB6009"/>
    <w:rsid w:val="00CC2493"/>
    <w:rsid w:val="00CC2813"/>
    <w:rsid w:val="00CC2BC6"/>
    <w:rsid w:val="00CE2586"/>
    <w:rsid w:val="00CF5253"/>
    <w:rsid w:val="00D11CE9"/>
    <w:rsid w:val="00D1284B"/>
    <w:rsid w:val="00D20C78"/>
    <w:rsid w:val="00D217AB"/>
    <w:rsid w:val="00D24E04"/>
    <w:rsid w:val="00D328A0"/>
    <w:rsid w:val="00D404B7"/>
    <w:rsid w:val="00D40AE2"/>
    <w:rsid w:val="00D44403"/>
    <w:rsid w:val="00D44495"/>
    <w:rsid w:val="00D46EBD"/>
    <w:rsid w:val="00D52F4A"/>
    <w:rsid w:val="00D56786"/>
    <w:rsid w:val="00D57B82"/>
    <w:rsid w:val="00D809E5"/>
    <w:rsid w:val="00D81948"/>
    <w:rsid w:val="00D9501F"/>
    <w:rsid w:val="00D97F03"/>
    <w:rsid w:val="00DA2E76"/>
    <w:rsid w:val="00DA4D16"/>
    <w:rsid w:val="00DB50D5"/>
    <w:rsid w:val="00DB7255"/>
    <w:rsid w:val="00DC0273"/>
    <w:rsid w:val="00DC317C"/>
    <w:rsid w:val="00DD1CA7"/>
    <w:rsid w:val="00DF23AC"/>
    <w:rsid w:val="00DF3DA3"/>
    <w:rsid w:val="00DF52B2"/>
    <w:rsid w:val="00E06A00"/>
    <w:rsid w:val="00E10251"/>
    <w:rsid w:val="00E22B99"/>
    <w:rsid w:val="00E25260"/>
    <w:rsid w:val="00E258D9"/>
    <w:rsid w:val="00E25992"/>
    <w:rsid w:val="00E32AA0"/>
    <w:rsid w:val="00E33A41"/>
    <w:rsid w:val="00E3509F"/>
    <w:rsid w:val="00E439CA"/>
    <w:rsid w:val="00E46EAF"/>
    <w:rsid w:val="00E5219B"/>
    <w:rsid w:val="00E535B3"/>
    <w:rsid w:val="00E6302A"/>
    <w:rsid w:val="00E64915"/>
    <w:rsid w:val="00E64A8C"/>
    <w:rsid w:val="00E651D2"/>
    <w:rsid w:val="00E664AB"/>
    <w:rsid w:val="00E675B1"/>
    <w:rsid w:val="00E72B36"/>
    <w:rsid w:val="00E7507E"/>
    <w:rsid w:val="00E7663B"/>
    <w:rsid w:val="00E82B30"/>
    <w:rsid w:val="00E9048F"/>
    <w:rsid w:val="00E90D71"/>
    <w:rsid w:val="00E91948"/>
    <w:rsid w:val="00E93F6E"/>
    <w:rsid w:val="00EA198F"/>
    <w:rsid w:val="00EA6FDA"/>
    <w:rsid w:val="00EC309C"/>
    <w:rsid w:val="00EC3E60"/>
    <w:rsid w:val="00EC528A"/>
    <w:rsid w:val="00EC6571"/>
    <w:rsid w:val="00ED447B"/>
    <w:rsid w:val="00ED5D06"/>
    <w:rsid w:val="00EE1D07"/>
    <w:rsid w:val="00EF0BCB"/>
    <w:rsid w:val="00EF0E74"/>
    <w:rsid w:val="00EF6997"/>
    <w:rsid w:val="00F00E8A"/>
    <w:rsid w:val="00F02A83"/>
    <w:rsid w:val="00F06637"/>
    <w:rsid w:val="00F15414"/>
    <w:rsid w:val="00F319C8"/>
    <w:rsid w:val="00F33650"/>
    <w:rsid w:val="00F45FC2"/>
    <w:rsid w:val="00F473CB"/>
    <w:rsid w:val="00F50245"/>
    <w:rsid w:val="00F63DDA"/>
    <w:rsid w:val="00F70858"/>
    <w:rsid w:val="00F71DBF"/>
    <w:rsid w:val="00F71EE0"/>
    <w:rsid w:val="00F7397F"/>
    <w:rsid w:val="00F75949"/>
    <w:rsid w:val="00F82525"/>
    <w:rsid w:val="00F8363F"/>
    <w:rsid w:val="00F941F0"/>
    <w:rsid w:val="00F9579A"/>
    <w:rsid w:val="00F97351"/>
    <w:rsid w:val="00FA0F1D"/>
    <w:rsid w:val="00FA2D9D"/>
    <w:rsid w:val="00FA378B"/>
    <w:rsid w:val="00FD0A9A"/>
    <w:rsid w:val="00FD1941"/>
    <w:rsid w:val="00FE2D86"/>
    <w:rsid w:val="00FE5624"/>
    <w:rsid w:val="00FF2B1D"/>
    <w:rsid w:val="00FF5982"/>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2CAC8FBD"/>
  <w15:docId w15:val="{704578A4-8F5E-42F7-A5FC-0FC6CDB9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B99"/>
    <w:pPr>
      <w:spacing w:after="120"/>
    </w:pPr>
    <w:rPr>
      <w:rFonts w:ascii="Times New Roman" w:eastAsia="Times New Roman" w:hAnsi="Times New Roman"/>
      <w:sz w:val="22"/>
      <w:szCs w:val="24"/>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F66657"/>
    <w:pPr>
      <w:keepNext/>
      <w:keepLines/>
      <w:tabs>
        <w:tab w:val="left" w:pos="567"/>
      </w:tabs>
      <w:snapToGrid w:val="0"/>
      <w:spacing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spacing w:after="0"/>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66657"/>
    <w:rPr>
      <w:rFonts w:ascii="Arial" w:eastAsia="Times New Roman" w:hAnsi="Arial"/>
      <w:b/>
      <w:bCs/>
      <w:snapToGrid w:val="0"/>
      <w:sz w:val="22"/>
      <w:szCs w:val="24"/>
      <w:lang w:val="fr-FR"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fr-FR"/>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link w:val="CommentSubject"/>
    <w:rsid w:val="00B11AE3"/>
    <w:rPr>
      <w:rFonts w:ascii="Times New Roman" w:eastAsia="Times New Roman" w:hAnsi="Times New Roman"/>
      <w:b/>
      <w:bCs/>
      <w:lang w:val="fr-FR"/>
    </w:rPr>
  </w:style>
  <w:style w:type="paragraph" w:customStyle="1" w:styleId="1GAPara">
    <w:name w:val="1. GA Para"/>
    <w:qFormat/>
    <w:rsid w:val="00E22B99"/>
    <w:pPr>
      <w:numPr>
        <w:numId w:val="8"/>
      </w:numPr>
      <w:spacing w:after="120"/>
      <w:ind w:left="567" w:hanging="567"/>
    </w:pPr>
    <w:rPr>
      <w:rFonts w:ascii="Arial" w:eastAsia="Times New Roman" w:hAnsi="Arial" w:cs="Arial"/>
      <w:snapToGrid w:val="0"/>
      <w:sz w:val="22"/>
      <w:szCs w:val="22"/>
      <w:lang w:eastAsia="en-US"/>
    </w:rPr>
  </w:style>
  <w:style w:type="table" w:customStyle="1" w:styleId="TableGrid1">
    <w:name w:val="Table Grid1"/>
    <w:basedOn w:val="TableNormal"/>
    <w:next w:val="TableGrid"/>
    <w:uiPriority w:val="59"/>
    <w:rsid w:val="00C70EFC"/>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nsinterligne2">
    <w:name w:val="Sans interligne2"/>
    <w:uiPriority w:val="1"/>
    <w:rsid w:val="003F682C"/>
    <w:rPr>
      <w:rFonts w:ascii="Times New Roman" w:eastAsia="Times New Roman" w:hAnsi="Times New Roman"/>
      <w:sz w:val="24"/>
      <w:szCs w:val="24"/>
    </w:rPr>
  </w:style>
  <w:style w:type="paragraph" w:customStyle="1" w:styleId="COMPara">
    <w:name w:val="COM Para"/>
    <w:qFormat/>
    <w:rsid w:val="003F682C"/>
    <w:pPr>
      <w:spacing w:after="120"/>
      <w:ind w:left="720" w:hanging="360"/>
    </w:pPr>
    <w:rPr>
      <w:rFonts w:ascii="Arial" w:eastAsia="Times New Roman" w:hAnsi="Arial" w:cs="Arial"/>
      <w:snapToGrid w:val="0"/>
      <w:sz w:val="22"/>
      <w:szCs w:val="22"/>
      <w:lang w:eastAsia="en-US"/>
    </w:rPr>
  </w:style>
  <w:style w:type="character" w:styleId="Hyperlink">
    <w:name w:val="Hyperlink"/>
    <w:uiPriority w:val="99"/>
    <w:unhideWhenUsed/>
    <w:rsid w:val="003F682C"/>
    <w:rPr>
      <w:color w:val="0000FF"/>
      <w:u w:val="single"/>
    </w:rPr>
  </w:style>
  <w:style w:type="paragraph" w:customStyle="1" w:styleId="Default">
    <w:name w:val="Default"/>
    <w:link w:val="DefaultChar"/>
    <w:uiPriority w:val="99"/>
    <w:rsid w:val="003F682C"/>
    <w:pPr>
      <w:autoSpaceDE w:val="0"/>
      <w:autoSpaceDN w:val="0"/>
      <w:adjustRightInd w:val="0"/>
    </w:pPr>
    <w:rPr>
      <w:rFonts w:ascii="Arial" w:hAnsi="Arial" w:cs="Arial"/>
      <w:color w:val="000000"/>
      <w:sz w:val="24"/>
      <w:szCs w:val="24"/>
      <w:lang w:eastAsia="zh-CN"/>
    </w:rPr>
  </w:style>
  <w:style w:type="paragraph" w:styleId="FootnoteText">
    <w:name w:val="footnote text"/>
    <w:basedOn w:val="Normal"/>
    <w:link w:val="FootnoteTextChar"/>
    <w:uiPriority w:val="99"/>
    <w:unhideWhenUsed/>
    <w:rsid w:val="003F682C"/>
    <w:pPr>
      <w:spacing w:after="0"/>
    </w:pPr>
    <w:rPr>
      <w:sz w:val="20"/>
      <w:szCs w:val="20"/>
    </w:rPr>
  </w:style>
  <w:style w:type="character" w:customStyle="1" w:styleId="FootnoteTextChar">
    <w:name w:val="Footnote Text Char"/>
    <w:basedOn w:val="DefaultParagraphFont"/>
    <w:link w:val="FootnoteText"/>
    <w:uiPriority w:val="99"/>
    <w:rsid w:val="003F682C"/>
    <w:rPr>
      <w:rFonts w:ascii="Times New Roman" w:eastAsia="Times New Roman" w:hAnsi="Times New Roman"/>
    </w:rPr>
  </w:style>
  <w:style w:type="character" w:styleId="FootnoteReference">
    <w:name w:val="footnote reference"/>
    <w:unhideWhenUsed/>
    <w:rsid w:val="003F682C"/>
    <w:rPr>
      <w:vertAlign w:val="superscript"/>
    </w:rPr>
  </w:style>
  <w:style w:type="character" w:customStyle="1" w:styleId="DefaultChar">
    <w:name w:val="Default Char"/>
    <w:link w:val="Default"/>
    <w:uiPriority w:val="99"/>
    <w:rsid w:val="003F682C"/>
    <w:rPr>
      <w:rFonts w:ascii="Arial" w:hAnsi="Arial" w:cs="Arial"/>
      <w:color w:val="000000"/>
      <w:sz w:val="24"/>
      <w:szCs w:val="24"/>
      <w:lang w:val="fr-FR" w:eastAsia="zh-CN"/>
    </w:rPr>
  </w:style>
  <w:style w:type="paragraph" w:customStyle="1" w:styleId="Paragraph">
    <w:name w:val="Paragraph"/>
    <w:basedOn w:val="Default"/>
    <w:link w:val="ParagraphChar"/>
    <w:qFormat/>
    <w:rsid w:val="003F682C"/>
    <w:pPr>
      <w:spacing w:after="240"/>
      <w:jc w:val="both"/>
    </w:pPr>
    <w:rPr>
      <w:bCs/>
      <w:sz w:val="22"/>
      <w:szCs w:val="22"/>
    </w:rPr>
  </w:style>
  <w:style w:type="character" w:customStyle="1" w:styleId="ParagraphChar">
    <w:name w:val="Paragraph Char"/>
    <w:link w:val="Paragraph"/>
    <w:rsid w:val="003F682C"/>
    <w:rPr>
      <w:rFonts w:ascii="Arial" w:hAnsi="Arial" w:cs="Arial"/>
      <w:bCs/>
      <w:color w:val="000000"/>
      <w:sz w:val="22"/>
      <w:szCs w:val="22"/>
      <w:lang w:val="fr-FR" w:eastAsia="zh-CN"/>
    </w:rPr>
  </w:style>
  <w:style w:type="paragraph" w:customStyle="1" w:styleId="ListParagraph1">
    <w:name w:val="List Paragraph1"/>
    <w:basedOn w:val="Normal"/>
    <w:qFormat/>
    <w:rsid w:val="003F682C"/>
    <w:pPr>
      <w:tabs>
        <w:tab w:val="left" w:pos="567"/>
      </w:tabs>
      <w:snapToGrid w:val="0"/>
      <w:jc w:val="both"/>
    </w:pPr>
    <w:rPr>
      <w:rFonts w:ascii="Arial" w:hAnsi="Arial" w:cs="Arial"/>
      <w:snapToGrid w:val="0"/>
      <w:szCs w:val="22"/>
      <w:lang w:eastAsia="en-US"/>
    </w:rPr>
  </w:style>
  <w:style w:type="character" w:styleId="UnresolvedMention">
    <w:name w:val="Unresolved Mention"/>
    <w:basedOn w:val="DefaultParagraphFont"/>
    <w:uiPriority w:val="99"/>
    <w:semiHidden/>
    <w:unhideWhenUsed/>
    <w:rsid w:val="00106685"/>
    <w:rPr>
      <w:color w:val="605E5C"/>
      <w:shd w:val="clear" w:color="auto" w:fill="E1DFDD"/>
    </w:rPr>
  </w:style>
  <w:style w:type="paragraph" w:styleId="ListParagraph">
    <w:name w:val="List Paragraph"/>
    <w:basedOn w:val="Normal"/>
    <w:uiPriority w:val="34"/>
    <w:qFormat/>
    <w:rsid w:val="00567902"/>
    <w:pPr>
      <w:numPr>
        <w:numId w:val="13"/>
      </w:numPr>
      <w:tabs>
        <w:tab w:val="left" w:pos="567"/>
      </w:tabs>
      <w:snapToGrid w:val="0"/>
      <w:jc w:val="both"/>
    </w:pPr>
    <w:rPr>
      <w:rFonts w:ascii="Arial" w:hAnsi="Arial" w:cs="Arial"/>
      <w:snapToGrid w:val="0"/>
      <w:szCs w:val="22"/>
      <w:lang w:eastAsia="en-US"/>
    </w:rPr>
  </w:style>
  <w:style w:type="character" w:styleId="FollowedHyperlink">
    <w:name w:val="FollowedHyperlink"/>
    <w:basedOn w:val="DefaultParagraphFont"/>
    <w:semiHidden/>
    <w:unhideWhenUsed/>
    <w:rsid w:val="006838AE"/>
    <w:rPr>
      <w:color w:val="800080" w:themeColor="followedHyperlink"/>
      <w:u w:val="single"/>
    </w:rPr>
  </w:style>
  <w:style w:type="paragraph" w:customStyle="1" w:styleId="COMParaDecision">
    <w:name w:val="COM Para Decision"/>
    <w:basedOn w:val="Normal"/>
    <w:qFormat/>
    <w:rsid w:val="002459E4"/>
    <w:pPr>
      <w:numPr>
        <w:numId w:val="14"/>
      </w:numPr>
      <w:autoSpaceDE w:val="0"/>
      <w:autoSpaceDN w:val="0"/>
      <w:adjustRightInd w:val="0"/>
      <w:ind w:left="1134" w:hanging="567"/>
      <w:jc w:val="both"/>
    </w:pPr>
    <w:rPr>
      <w:rFonts w:ascii="Arial" w:eastAsia="SimSun" w:hAnsi="Arial" w:cs="Arial"/>
      <w:szCs w:val="22"/>
      <w:u w:val="single"/>
    </w:rPr>
  </w:style>
  <w:style w:type="character" w:customStyle="1" w:styleId="hps">
    <w:name w:val="hps"/>
    <w:rsid w:val="00004349"/>
  </w:style>
  <w:style w:type="paragraph" w:customStyle="1" w:styleId="COMTitleDecision">
    <w:name w:val="COM Title Decision"/>
    <w:basedOn w:val="Normal"/>
    <w:qFormat/>
    <w:rsid w:val="00004349"/>
    <w:pPr>
      <w:keepNext/>
      <w:spacing w:before="240"/>
      <w:ind w:left="567"/>
      <w:jc w:val="both"/>
    </w:pPr>
    <w:rPr>
      <w:rFonts w:ascii="Arial" w:hAnsi="Arial" w:cs="Arial"/>
      <w:b/>
      <w:szCs w:val="22"/>
    </w:rPr>
  </w:style>
  <w:style w:type="paragraph" w:customStyle="1" w:styleId="COMPreambulaDecisions">
    <w:name w:val="COM Preambula Decisions"/>
    <w:basedOn w:val="Normal"/>
    <w:qFormat/>
    <w:rsid w:val="00004349"/>
    <w:pPr>
      <w:keepNext/>
      <w:ind w:left="567"/>
      <w:jc w:val="both"/>
    </w:pPr>
    <w:rPr>
      <w:rFonts w:ascii="Arial" w:hAnsi="Arial" w:cs="Arial"/>
      <w:szCs w:val="22"/>
    </w:rPr>
  </w:style>
  <w:style w:type="paragraph" w:styleId="Revision">
    <w:name w:val="Revision"/>
    <w:hidden/>
    <w:semiHidden/>
    <w:rsid w:val="00F9579A"/>
    <w:rPr>
      <w:rFonts w:ascii="Times New Roman" w:eastAsia="Times New Roman" w:hAnsi="Times New Roman"/>
      <w:sz w:val="22"/>
      <w:szCs w:val="24"/>
    </w:rPr>
  </w:style>
  <w:style w:type="paragraph" w:styleId="Caption">
    <w:name w:val="caption"/>
    <w:basedOn w:val="Normal"/>
    <w:next w:val="Normal"/>
    <w:uiPriority w:val="35"/>
    <w:unhideWhenUsed/>
    <w:qFormat/>
    <w:rsid w:val="00AD2FD6"/>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158315">
      <w:bodyDiv w:val="1"/>
      <w:marLeft w:val="0"/>
      <w:marRight w:val="0"/>
      <w:marTop w:val="0"/>
      <w:marBottom w:val="0"/>
      <w:divBdr>
        <w:top w:val="none" w:sz="0" w:space="0" w:color="auto"/>
        <w:left w:val="none" w:sz="0" w:space="0" w:color="auto"/>
        <w:bottom w:val="none" w:sz="0" w:space="0" w:color="auto"/>
        <w:right w:val="none" w:sz="0" w:space="0" w:color="auto"/>
      </w:divBdr>
    </w:div>
    <w:div w:id="1578512145">
      <w:bodyDiv w:val="1"/>
      <w:marLeft w:val="0"/>
      <w:marRight w:val="0"/>
      <w:marTop w:val="0"/>
      <w:marBottom w:val="0"/>
      <w:divBdr>
        <w:top w:val="none" w:sz="0" w:space="0" w:color="auto"/>
        <w:left w:val="none" w:sz="0" w:space="0" w:color="auto"/>
        <w:bottom w:val="none" w:sz="0" w:space="0" w:color="auto"/>
        <w:right w:val="none" w:sz="0" w:space="0" w:color="auto"/>
      </w:divBdr>
    </w:div>
    <w:div w:id="1819415738">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Decisions/14.COM/6" TargetMode="External"/><Relationship Id="rId13" Type="http://schemas.openxmlformats.org/officeDocument/2006/relationships/hyperlink" Target="https://ich.unesco.org/doc/src/LHE-20-8.GA-7_Rev.-FR.docx" TargetMode="External"/><Relationship Id="rId18" Type="http://schemas.openxmlformats.org/officeDocument/2006/relationships/hyperlink" Target="https://ich.unesco.org/en/Resolutions/3.GA/9" TargetMode="External"/><Relationship Id="rId26" Type="http://schemas.openxmlformats.org/officeDocument/2006/relationships/hyperlink" Target="https://ich.unesco.org/fr/projets/sauvegarde-du-patrimoine-culturel-immatriel-travers-le-renforcement-des-capacits-nationales-au-maroc-en-mauritanie-et-en-tunisie-00281?projectID=00281" TargetMode="External"/><Relationship Id="rId39" Type="http://schemas.openxmlformats.org/officeDocument/2006/relationships/hyperlink" Target="https://ich.unesco.org/doc/src/LHE-21-16.COM-INF.10-FR.docx" TargetMode="External"/><Relationship Id="rId3" Type="http://schemas.openxmlformats.org/officeDocument/2006/relationships/styles" Target="styles.xml"/><Relationship Id="rId21" Type="http://schemas.openxmlformats.org/officeDocument/2006/relationships/hyperlink" Target="https://ich.unesco.org/fr/projets/soutien-l-laboration-et-la-mise-en-oeuvre-d-activits-de-renforcement-des-capacits-pour-la-sauvegarde-du-patrimoine-culturel-immatriel-dans-les-situations-de-conflit-y-compris-les-situations-de-dplacement-forc-00474?projectID=00474" TargetMode="External"/><Relationship Id="rId34" Type="http://schemas.openxmlformats.org/officeDocument/2006/relationships/hyperlink" Target="https://ich.unesco.org/fr/Decisions/14.COM/6"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ch.unesco.org/doc/src/LHE-19-14.COM-7-EN.docx" TargetMode="External"/><Relationship Id="rId17" Type="http://schemas.openxmlformats.org/officeDocument/2006/relationships/hyperlink" Target="https://ich.unesco.org/fr/Decisions/12.COM/6" TargetMode="External"/><Relationship Id="rId25" Type="http://schemas.openxmlformats.org/officeDocument/2006/relationships/hyperlink" Target="https://ich.unesco.org/fr/projets/apprendre-avec-le-patrimoine-culturel-immatriel-pour-un-avenir-durable-en-amrique-latine-et-dans-les-carabes-00473?projectID=00473" TargetMode="External"/><Relationship Id="rId33" Type="http://schemas.openxmlformats.org/officeDocument/2006/relationships/hyperlink" Target="https://ich.unesco.org/fr/Decisions/12.COM/6" TargetMode="External"/><Relationship Id="rId38" Type="http://schemas.openxmlformats.org/officeDocument/2006/relationships/hyperlink" Target="https://ich.unesco.org/doc/src/LHE-21-16.COM-10-FR.docx"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ch.unesco.org/doc/src/LHE-21-16.COM-INF.13.2-FR.docx" TargetMode="External"/><Relationship Id="rId20" Type="http://schemas.openxmlformats.org/officeDocument/2006/relationships/hyperlink" Target="https://ich.unesco.org/doc/src/LHE-21-16.COM-INF.13.1-FR.docx" TargetMode="External"/><Relationship Id="rId29" Type="http://schemas.openxmlformats.org/officeDocument/2006/relationships/hyperlink" Target="https://ich.unesco.org/fr/projets/renforcement-des-capacits-de-sauvegarde-du-patrimoine-culturel-immatriel-dans-les-contextes-de-catastrophe-00458?projectID=00458" TargetMode="External"/><Relationship Id="rId41" Type="http://schemas.openxmlformats.org/officeDocument/2006/relationships/hyperlink" Target="https://ich.unesco.org/fr/resources-educ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ich.unesco.org/fr/projets/renforcement-des-capacits-aux-niveaux-national-et-local-pour-la-sauvegarde-du-patrimoine-culturel-immatriel-en-dominique-00477?projectID=00477" TargetMode="External"/><Relationship Id="rId32" Type="http://schemas.openxmlformats.org/officeDocument/2006/relationships/hyperlink" Target="https://unesdoc.unesco.org/ark:/48223/pf0000378083" TargetMode="External"/><Relationship Id="rId37" Type="http://schemas.openxmlformats.org/officeDocument/2006/relationships/hyperlink" Target="https://ich.unesco.org/doc/src/LHE-20-8.GA-7_Rev.-FR.docx" TargetMode="External"/><Relationship Id="rId40" Type="http://schemas.openxmlformats.org/officeDocument/2006/relationships/image" Target="media/image2.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ch.unesco.org/doc/src/LHE-21-16.COM-5.b-FR.docx" TargetMode="External"/><Relationship Id="rId23" Type="http://schemas.openxmlformats.org/officeDocument/2006/relationships/hyperlink" Target="https://ich.unesco.org/doc/src/LHE-21-16.COM-5.b-FR.docx" TargetMode="External"/><Relationship Id="rId28" Type="http://schemas.openxmlformats.org/officeDocument/2006/relationships/hyperlink" Target="https://ich.unesco.org/doc/src/LHE-21-16.COM-7.b-FR.docx" TargetMode="External"/><Relationship Id="rId36" Type="http://schemas.openxmlformats.org/officeDocument/2006/relationships/hyperlink" Target="https://ich.unesco.org/doc/src/LHE-21-16.COM-10-FR.docx" TargetMode="External"/><Relationship Id="rId10" Type="http://schemas.openxmlformats.org/officeDocument/2006/relationships/hyperlink" Target="https://ich.unesco.org/fr/Decisions/12.COM/6" TargetMode="External"/><Relationship Id="rId19" Type="http://schemas.openxmlformats.org/officeDocument/2006/relationships/hyperlink" Target="https://ich.unesco.org/fr/Decisions/8.GA/7" TargetMode="External"/><Relationship Id="rId31" Type="http://schemas.openxmlformats.org/officeDocument/2006/relationships/hyperlink" Target="https://unesdoc.unesco.org/ark:/48223/pf0000375756"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ich.unesco.org/fr/Decisions/7.COM/20.1" TargetMode="External"/><Relationship Id="rId14" Type="http://schemas.openxmlformats.org/officeDocument/2006/relationships/hyperlink" Target="https://ich.unesco.org/fr/Decisions/12.COM/6" TargetMode="External"/><Relationship Id="rId22" Type="http://schemas.openxmlformats.org/officeDocument/2006/relationships/hyperlink" Target="https://ich.unesco.org/fr/projets/renforcement-des-capacits-pour-la-sauvegarde-du-patrimoine-culturel-immatriel-et-la-contribution-au-dveloppement-durable-00475?projectID=00475" TargetMode="External"/><Relationship Id="rId27" Type="http://schemas.openxmlformats.org/officeDocument/2006/relationships/hyperlink" Target="https://ich.unesco.org/doc/src/LHE-19-14.COM-8-FR.docx" TargetMode="External"/><Relationship Id="rId30" Type="http://schemas.openxmlformats.org/officeDocument/2006/relationships/hyperlink" Target="https://ich.unesco.org/fr/projets/le-patrimoine-vivant-et-les-objectifs-de-dveloppement-durable-sauvegarde-du-patrimoine-culturel-immatriel-par-l-ducation-formelle-et-non-formelle-dans-la-rgion-asie-pacifique-et-en-afrique-00476?projectID=00476" TargetMode="External"/><Relationship Id="rId35" Type="http://schemas.openxmlformats.org/officeDocument/2006/relationships/image" Target="media/image1.jpeg"/><Relationship Id="rId43"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ich.unesco.org/doc/src/2003_Convention_Basic_Texts-_2020_version-FR.pdf" TargetMode="External"/><Relationship Id="rId2" Type="http://schemas.openxmlformats.org/officeDocument/2006/relationships/hyperlink" Target="https://ich.unesco.org/fr/Decisions/14.COM/5.b" TargetMode="External"/><Relationship Id="rId1" Type="http://schemas.openxmlformats.org/officeDocument/2006/relationships/hyperlink" Target="https://ich.unesco.org/doc/src/LHE-20-8.GA-INF.7-FR.docx" TargetMode="External"/><Relationship Id="rId4" Type="http://schemas.openxmlformats.org/officeDocument/2006/relationships/hyperlink" Target="https://ich.unesco.org/fr/ethique-et-pci-00866"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Information%20document_EN.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l_maziz\Desktop\Copie%20de%2012_Voluntary%20contributions%20(2018-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[Copie de 12_Voluntary contributions (2018-2021).xlsx]State of Affairs!PivotTable22</c:name>
    <c:fmtId val="42"/>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400" b="0" i="0" baseline="0">
                <a:effectLst/>
              </a:rPr>
              <a:t>Contributions volontaires supplémentaires</a:t>
            </a:r>
          </a:p>
          <a:p>
            <a:pPr>
              <a:defRPr/>
            </a:pPr>
            <a:r>
              <a:rPr lang="fr-FR" sz="1400" b="0" i="0" baseline="0">
                <a:effectLst/>
              </a:rPr>
              <a:t>(Janvier 2018 à juin 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solidFill>
              <a:schemeClr val="accen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2"/>
          </a:solidFill>
          <a:ln>
            <a:solidFill>
              <a:schemeClr val="accent1"/>
            </a:solidFill>
          </a:ln>
          <a:effectLst/>
        </c:spPr>
      </c:pivotFmt>
      <c:pivotFmt>
        <c:idx val="2"/>
        <c:spPr>
          <a:solidFill>
            <a:srgbClr val="C75A57"/>
          </a:solidFill>
          <a:ln>
            <a:solidFill>
              <a:schemeClr val="accent1"/>
            </a:solidFill>
          </a:ln>
          <a:effectLst/>
        </c:spPr>
      </c:pivotFmt>
      <c:pivotFmt>
        <c:idx val="3"/>
        <c:spPr>
          <a:pattFill prst="ltDnDiag">
            <a:fgClr>
              <a:schemeClr val="accent1"/>
            </a:fgClr>
            <a:bgClr>
              <a:schemeClr val="bg1"/>
            </a:bgClr>
          </a:pattFill>
          <a:ln>
            <a:solidFill>
              <a:schemeClr val="accent1"/>
            </a:solidFill>
          </a:ln>
          <a:effectLst/>
        </c:spPr>
      </c:pivotFmt>
      <c:pivotFmt>
        <c:idx val="4"/>
        <c:spPr>
          <a:solidFill>
            <a:schemeClr val="accent1"/>
          </a:solidFill>
          <a:ln>
            <a:solidFill>
              <a:schemeClr val="accen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2"/>
          </a:solidFill>
          <a:ln>
            <a:solidFill>
              <a:schemeClr val="accent1"/>
            </a:solidFill>
          </a:ln>
          <a:effectLst/>
        </c:spPr>
      </c:pivotFmt>
      <c:pivotFmt>
        <c:idx val="6"/>
        <c:spPr>
          <a:solidFill>
            <a:srgbClr val="C75A57"/>
          </a:solidFill>
          <a:ln>
            <a:solidFill>
              <a:schemeClr val="accent1"/>
            </a:solidFill>
          </a:ln>
          <a:effectLst/>
        </c:spPr>
      </c:pivotFmt>
      <c:pivotFmt>
        <c:idx val="7"/>
        <c:spPr>
          <a:pattFill prst="ltDnDiag">
            <a:fgClr>
              <a:schemeClr val="accent1"/>
            </a:fgClr>
            <a:bgClr>
              <a:schemeClr val="bg1"/>
            </a:bgClr>
          </a:pattFill>
          <a:ln>
            <a:solidFill>
              <a:schemeClr val="accent1"/>
            </a:solidFill>
          </a:ln>
          <a:effectLst/>
        </c:spPr>
      </c:pivotFmt>
      <c:pivotFmt>
        <c:idx val="8"/>
        <c:spPr>
          <a:solidFill>
            <a:schemeClr val="accent1"/>
          </a:solidFill>
          <a:ln>
            <a:solidFill>
              <a:schemeClr val="accen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2"/>
          </a:solidFill>
          <a:ln>
            <a:solidFill>
              <a:schemeClr val="accent1"/>
            </a:solidFill>
          </a:ln>
          <a:effectLst/>
        </c:spPr>
      </c:pivotFmt>
      <c:pivotFmt>
        <c:idx val="10"/>
        <c:spPr>
          <a:solidFill>
            <a:srgbClr val="C75A57"/>
          </a:solidFill>
          <a:ln>
            <a:solidFill>
              <a:schemeClr val="accent1"/>
            </a:solidFill>
          </a:ln>
          <a:effectLst/>
        </c:spPr>
      </c:pivotFmt>
      <c:pivotFmt>
        <c:idx val="11"/>
        <c:spPr>
          <a:pattFill prst="ltDnDiag">
            <a:fgClr>
              <a:schemeClr val="accent1"/>
            </a:fgClr>
            <a:bgClr>
              <a:schemeClr val="bg1"/>
            </a:bgClr>
          </a:pattFill>
          <a:ln>
            <a:solidFill>
              <a:schemeClr val="accent1"/>
            </a:solidFill>
          </a:ln>
          <a:effectLst/>
        </c:spPr>
      </c:pivotFmt>
    </c:pivotFmts>
    <c:plotArea>
      <c:layout/>
      <c:barChart>
        <c:barDir val="col"/>
        <c:grouping val="clustered"/>
        <c:varyColors val="0"/>
        <c:ser>
          <c:idx val="0"/>
          <c:order val="0"/>
          <c:tx>
            <c:strRef>
              <c:f>'State of Affairs'!$B$3</c:f>
              <c:strCache>
                <c:ptCount val="1"/>
                <c:pt idx="0">
                  <c:v>Total</c:v>
                </c:pt>
              </c:strCache>
            </c:strRef>
          </c:tx>
          <c:spPr>
            <a:solidFill>
              <a:schemeClr val="accent1"/>
            </a:solidFill>
            <a:ln>
              <a:solidFill>
                <a:schemeClr val="accent1"/>
              </a:solidFill>
            </a:ln>
            <a:effectLst/>
          </c:spPr>
          <c:invertIfNegative val="0"/>
          <c:dPt>
            <c:idx val="1"/>
            <c:invertIfNegative val="0"/>
            <c:bubble3D val="0"/>
            <c:spPr>
              <a:solidFill>
                <a:schemeClr val="accent2"/>
              </a:solidFill>
              <a:ln>
                <a:solidFill>
                  <a:schemeClr val="accent1"/>
                </a:solidFill>
              </a:ln>
              <a:effectLst/>
            </c:spPr>
            <c:extLst>
              <c:ext xmlns:c16="http://schemas.microsoft.com/office/drawing/2014/chart" uri="{C3380CC4-5D6E-409C-BE32-E72D297353CC}">
                <c16:uniqueId val="{00000001-2C51-4075-AEBB-3243FA3A899D}"/>
              </c:ext>
            </c:extLst>
          </c:dPt>
          <c:dPt>
            <c:idx val="2"/>
            <c:invertIfNegative val="0"/>
            <c:bubble3D val="0"/>
            <c:spPr>
              <a:solidFill>
                <a:srgbClr val="C75A57"/>
              </a:solidFill>
              <a:ln>
                <a:solidFill>
                  <a:schemeClr val="accent1"/>
                </a:solidFill>
              </a:ln>
              <a:effectLst/>
            </c:spPr>
            <c:extLst>
              <c:ext xmlns:c16="http://schemas.microsoft.com/office/drawing/2014/chart" uri="{C3380CC4-5D6E-409C-BE32-E72D297353CC}">
                <c16:uniqueId val="{00000003-2C51-4075-AEBB-3243FA3A899D}"/>
              </c:ext>
            </c:extLst>
          </c:dPt>
          <c:dPt>
            <c:idx val="3"/>
            <c:invertIfNegative val="0"/>
            <c:bubble3D val="0"/>
            <c:spPr>
              <a:pattFill prst="ltDnDiag">
                <a:fgClr>
                  <a:schemeClr val="accent1"/>
                </a:fgClr>
                <a:bgClr>
                  <a:schemeClr val="bg1"/>
                </a:bgClr>
              </a:pattFill>
              <a:ln>
                <a:solidFill>
                  <a:schemeClr val="accent1"/>
                </a:solidFill>
              </a:ln>
              <a:effectLst/>
            </c:spPr>
            <c:extLst>
              <c:ext xmlns:c16="http://schemas.microsoft.com/office/drawing/2014/chart" uri="{C3380CC4-5D6E-409C-BE32-E72D297353CC}">
                <c16:uniqueId val="{00000005-2C51-4075-AEBB-3243FA3A899D}"/>
              </c:ext>
            </c:extLst>
          </c:dPt>
          <c:cat>
            <c:strRef>
              <c:f>'State of Affairs'!$A$4:$A$7</c:f>
              <c:strCache>
                <c:ptCount val="4"/>
                <c:pt idx="0">
                  <c:v>Priorité 1 
(Programme de renforcement des capacités)</c:v>
                </c:pt>
                <c:pt idx="1">
                  <c:v>Priorité 2 
 (Patrimoine culturel immatériel dans l'éducation)</c:v>
                </c:pt>
                <c:pt idx="2">
                  <c:v>Sous-fonds pour le renforcement des capacités humaines du Secrétariat</c:v>
                </c:pt>
                <c:pt idx="3">
                  <c:v>Autres initiatives (travail en amont au niveau montial)</c:v>
                </c:pt>
              </c:strCache>
            </c:strRef>
          </c:cat>
          <c:val>
            <c:numRef>
              <c:f>'State of Affairs'!$B$4:$B$7</c:f>
              <c:numCache>
                <c:formatCode>_-* #\ ##0_-;\-* #\ ##0_-;_-* "-"??_-;_-@_-</c:formatCode>
                <c:ptCount val="4"/>
                <c:pt idx="0">
                  <c:v>536445</c:v>
                </c:pt>
                <c:pt idx="1">
                  <c:v>291111</c:v>
                </c:pt>
                <c:pt idx="2">
                  <c:v>181866.84</c:v>
                </c:pt>
                <c:pt idx="3">
                  <c:v>267238</c:v>
                </c:pt>
              </c:numCache>
            </c:numRef>
          </c:val>
          <c:extLst>
            <c:ext xmlns:c16="http://schemas.microsoft.com/office/drawing/2014/chart" uri="{C3380CC4-5D6E-409C-BE32-E72D297353CC}">
              <c16:uniqueId val="{00000006-2C51-4075-AEBB-3243FA3A899D}"/>
            </c:ext>
          </c:extLst>
        </c:ser>
        <c:dLbls>
          <c:showLegendKey val="0"/>
          <c:showVal val="0"/>
          <c:showCatName val="0"/>
          <c:showSerName val="0"/>
          <c:showPercent val="0"/>
          <c:showBubbleSize val="0"/>
        </c:dLbls>
        <c:gapWidth val="219"/>
        <c:axId val="584326328"/>
        <c:axId val="584327312"/>
      </c:barChart>
      <c:catAx>
        <c:axId val="58432632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4327312"/>
        <c:crosses val="autoZero"/>
        <c:auto val="1"/>
        <c:lblAlgn val="ctr"/>
        <c:lblOffset val="100"/>
        <c:noMultiLvlLbl val="0"/>
      </c:catAx>
      <c:valAx>
        <c:axId val="584327312"/>
        <c:scaling>
          <c:orientation val="minMax"/>
        </c:scaling>
        <c:delete val="0"/>
        <c:axPos val="l"/>
        <c:majorGridlines>
          <c:spPr>
            <a:ln w="9525" cap="flat" cmpd="sng" algn="ctr">
              <a:solidFill>
                <a:schemeClr val="tx1">
                  <a:lumMod val="15000"/>
                  <a:lumOff val="85000"/>
                </a:schemeClr>
              </a:solidFill>
              <a:round/>
            </a:ln>
            <a:effectLst/>
          </c:spPr>
        </c:majorGridlines>
        <c:numFmt formatCode="_-* #\ ##0_-;\-* #\ ##0_-;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4326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ext xmlns:c14="http://schemas.microsoft.com/office/drawing/2007/8/2/chart" uri="{781A3756-C4B2-4CAC-9D66-4F8BD8637D16}">
      <c14:pivotOptions>
        <c14:dropZoneFilter val="1"/>
        <c14:dropZoneCategories val="1"/>
        <c14:dropZoneData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D64B2-7D7B-40E9-8A47-F99FB6E96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COM_Information document_EN.dotx</Template>
  <TotalTime>27</TotalTime>
  <Pages>20</Pages>
  <Words>9181</Words>
  <Characters>52338</Characters>
  <Application>Microsoft Office Word</Application>
  <DocSecurity>0</DocSecurity>
  <Lines>436</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61397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Kim, Dain</cp:lastModifiedBy>
  <cp:revision>12</cp:revision>
  <cp:lastPrinted>2021-11-03T08:55:00Z</cp:lastPrinted>
  <dcterms:created xsi:type="dcterms:W3CDTF">2021-11-15T19:55:00Z</dcterms:created>
  <dcterms:modified xsi:type="dcterms:W3CDTF">2021-12-07T15:27:00Z</dcterms:modified>
</cp:coreProperties>
</file>