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93ACE" w14:textId="08C595E9" w:rsidR="00EC6F8D" w:rsidRPr="00293C60" w:rsidRDefault="00EC6F8D" w:rsidP="00EC6F8D">
      <w:pPr>
        <w:spacing w:before="1440"/>
        <w:jc w:val="center"/>
        <w:rPr>
          <w:rFonts w:ascii="Arial" w:hAnsi="Arial" w:cs="Arial"/>
          <w:b/>
          <w:sz w:val="22"/>
          <w:szCs w:val="22"/>
          <w:lang w:val="en-GB"/>
        </w:rPr>
      </w:pPr>
      <w:r w:rsidRPr="00293C60">
        <w:rPr>
          <w:rFonts w:ascii="Arial" w:hAnsi="Arial" w:cs="Arial"/>
          <w:b/>
          <w:sz w:val="22"/>
          <w:szCs w:val="22"/>
          <w:lang w:val="en-GB"/>
        </w:rPr>
        <w:t xml:space="preserve">CONVENTION FOR THE SAFEGUARDING OF THE </w:t>
      </w:r>
      <w:r w:rsidRPr="00293C60">
        <w:rPr>
          <w:rFonts w:ascii="Arial" w:hAnsi="Arial" w:cs="Arial"/>
          <w:b/>
          <w:sz w:val="22"/>
          <w:szCs w:val="22"/>
          <w:lang w:val="en-GB"/>
        </w:rPr>
        <w:br/>
        <w:t>INTANGIBLE CULTURAL HERITAGE</w:t>
      </w:r>
    </w:p>
    <w:p w14:paraId="31DA2805" w14:textId="77777777" w:rsidR="0004168A" w:rsidRPr="00414643" w:rsidRDefault="0004168A" w:rsidP="0004168A">
      <w:pPr>
        <w:spacing w:before="1200"/>
        <w:jc w:val="center"/>
        <w:rPr>
          <w:rFonts w:ascii="Arial" w:hAnsi="Arial" w:cs="Arial"/>
          <w:b/>
          <w:sz w:val="22"/>
          <w:szCs w:val="22"/>
          <w:lang w:val="en-GB"/>
        </w:rPr>
      </w:pPr>
      <w:r w:rsidRPr="00FD624F">
        <w:rPr>
          <w:rFonts w:ascii="Arial" w:hAnsi="Arial" w:cs="Arial"/>
          <w:b/>
          <w:sz w:val="22"/>
          <w:szCs w:val="22"/>
          <w:lang w:val="en-GB"/>
        </w:rPr>
        <w:t>GENERAL ASSEMBLY OF THE S</w:t>
      </w:r>
      <w:r>
        <w:rPr>
          <w:rFonts w:ascii="Arial" w:hAnsi="Arial" w:cs="Arial"/>
          <w:b/>
          <w:sz w:val="22"/>
          <w:szCs w:val="22"/>
          <w:lang w:val="en-GB"/>
        </w:rPr>
        <w:t>TATES PARTIES TO THE CONVENTION</w:t>
      </w:r>
    </w:p>
    <w:p w14:paraId="7D28FC2F" w14:textId="77777777" w:rsidR="0004168A" w:rsidRPr="00FD624F" w:rsidRDefault="0004168A" w:rsidP="0004168A">
      <w:pPr>
        <w:spacing w:before="840"/>
        <w:jc w:val="center"/>
        <w:rPr>
          <w:rFonts w:ascii="Arial" w:hAnsi="Arial" w:cs="Arial"/>
          <w:b/>
          <w:sz w:val="22"/>
          <w:szCs w:val="22"/>
          <w:lang w:val="en-GB"/>
        </w:rPr>
      </w:pPr>
      <w:r>
        <w:rPr>
          <w:rFonts w:ascii="Arial" w:hAnsi="Arial" w:cs="Arial"/>
          <w:b/>
          <w:sz w:val="22"/>
          <w:szCs w:val="22"/>
          <w:lang w:val="en-GB"/>
        </w:rPr>
        <w:t>Seventh</w:t>
      </w:r>
      <w:r w:rsidRPr="00FD624F">
        <w:rPr>
          <w:rFonts w:ascii="Arial" w:hAnsi="Arial" w:cs="Arial"/>
          <w:b/>
          <w:sz w:val="22"/>
          <w:szCs w:val="22"/>
          <w:lang w:val="en-GB"/>
        </w:rPr>
        <w:t xml:space="preserve"> session</w:t>
      </w:r>
    </w:p>
    <w:p w14:paraId="285FA178" w14:textId="77777777" w:rsidR="0004168A" w:rsidRPr="00FD624F" w:rsidRDefault="0004168A" w:rsidP="0004168A">
      <w:pPr>
        <w:jc w:val="center"/>
        <w:rPr>
          <w:rFonts w:ascii="Arial" w:hAnsi="Arial" w:cs="Arial"/>
          <w:b/>
          <w:sz w:val="22"/>
          <w:szCs w:val="22"/>
          <w:lang w:val="en-GB"/>
        </w:rPr>
      </w:pPr>
      <w:r w:rsidRPr="00FD624F">
        <w:rPr>
          <w:rFonts w:ascii="Arial" w:hAnsi="Arial" w:cs="Arial"/>
          <w:b/>
          <w:sz w:val="22"/>
          <w:szCs w:val="22"/>
          <w:lang w:val="en-GB"/>
        </w:rPr>
        <w:t xml:space="preserve">UNESCO Headquarters, </w:t>
      </w:r>
      <w:r>
        <w:rPr>
          <w:rFonts w:ascii="Arial" w:hAnsi="Arial" w:cs="Arial"/>
          <w:b/>
          <w:sz w:val="22"/>
          <w:szCs w:val="22"/>
          <w:lang w:val="en-GB"/>
        </w:rPr>
        <w:t>R</w:t>
      </w:r>
      <w:r w:rsidRPr="00FD624F">
        <w:rPr>
          <w:rFonts w:ascii="Arial" w:hAnsi="Arial" w:cs="Arial"/>
          <w:b/>
          <w:sz w:val="22"/>
          <w:szCs w:val="22"/>
          <w:lang w:val="en-GB"/>
        </w:rPr>
        <w:t xml:space="preserve">oom </w:t>
      </w:r>
      <w:r w:rsidRPr="007E0DEF">
        <w:rPr>
          <w:rFonts w:ascii="Arial" w:hAnsi="Arial" w:cs="Arial"/>
          <w:b/>
          <w:sz w:val="22"/>
          <w:szCs w:val="22"/>
          <w:lang w:val="en-GB"/>
        </w:rPr>
        <w:t>II</w:t>
      </w:r>
    </w:p>
    <w:p w14:paraId="77C23EF3" w14:textId="77777777" w:rsidR="0004168A" w:rsidRPr="00414643" w:rsidRDefault="0004168A" w:rsidP="0004168A">
      <w:pPr>
        <w:jc w:val="center"/>
        <w:rPr>
          <w:rFonts w:ascii="Arial" w:hAnsi="Arial" w:cs="Arial"/>
          <w:b/>
          <w:sz w:val="22"/>
          <w:szCs w:val="22"/>
          <w:lang w:val="en-GB"/>
        </w:rPr>
      </w:pPr>
      <w:proofErr w:type="gramStart"/>
      <w:r>
        <w:rPr>
          <w:rFonts w:ascii="Arial" w:hAnsi="Arial" w:cs="Arial"/>
          <w:b/>
          <w:sz w:val="22"/>
          <w:szCs w:val="22"/>
          <w:lang w:val="en-GB"/>
        </w:rPr>
        <w:t>4</w:t>
      </w:r>
      <w:proofErr w:type="gramEnd"/>
      <w:r>
        <w:rPr>
          <w:rFonts w:ascii="Arial" w:hAnsi="Arial" w:cs="Arial"/>
          <w:b/>
          <w:sz w:val="22"/>
          <w:szCs w:val="22"/>
          <w:lang w:val="en-GB"/>
        </w:rPr>
        <w:t xml:space="preserve"> to 6 June 2018</w:t>
      </w:r>
    </w:p>
    <w:p w14:paraId="6F940A31" w14:textId="77777777" w:rsidR="00EC6F8D" w:rsidRPr="00293C60" w:rsidRDefault="00EC6F8D" w:rsidP="00EC6F8D">
      <w:pPr>
        <w:pStyle w:val="Sansinterligne2"/>
        <w:spacing w:before="1200"/>
        <w:jc w:val="center"/>
        <w:rPr>
          <w:rFonts w:ascii="Arial" w:hAnsi="Arial" w:cs="Arial"/>
          <w:b/>
          <w:sz w:val="22"/>
          <w:szCs w:val="22"/>
          <w:lang w:val="en-GB"/>
        </w:rPr>
      </w:pPr>
      <w:r w:rsidRPr="00293C60">
        <w:rPr>
          <w:rFonts w:ascii="Arial" w:hAnsi="Arial" w:cs="Arial"/>
          <w:b/>
          <w:sz w:val="22"/>
          <w:szCs w:val="22"/>
          <w:u w:val="single"/>
          <w:lang w:val="en-GB"/>
        </w:rPr>
        <w:t xml:space="preserve">Item </w:t>
      </w:r>
      <w:r w:rsidR="00866926">
        <w:rPr>
          <w:rFonts w:ascii="Arial" w:hAnsi="Arial" w:cs="Arial"/>
          <w:b/>
          <w:sz w:val="22"/>
          <w:szCs w:val="22"/>
          <w:u w:val="single"/>
          <w:lang w:val="en-GB"/>
        </w:rPr>
        <w:t>10</w:t>
      </w:r>
      <w:r w:rsidRPr="00293C60">
        <w:rPr>
          <w:rFonts w:ascii="Arial" w:hAnsi="Arial" w:cs="Arial"/>
          <w:b/>
          <w:sz w:val="22"/>
          <w:szCs w:val="22"/>
          <w:u w:val="single"/>
          <w:lang w:val="en-GB"/>
        </w:rPr>
        <w:t xml:space="preserve"> of the Provisional Agenda</w:t>
      </w:r>
      <w:r w:rsidRPr="00293C60">
        <w:rPr>
          <w:rFonts w:ascii="Arial" w:hAnsi="Arial" w:cs="Arial"/>
          <w:b/>
          <w:sz w:val="22"/>
          <w:szCs w:val="22"/>
          <w:lang w:val="en-GB"/>
        </w:rPr>
        <w:t>:</w:t>
      </w:r>
    </w:p>
    <w:p w14:paraId="2FE076AD" w14:textId="24811F25" w:rsidR="006906E8" w:rsidRPr="00293C60" w:rsidRDefault="0004168A" w:rsidP="00C051B5">
      <w:pPr>
        <w:tabs>
          <w:tab w:val="decimal" w:pos="1134"/>
        </w:tabs>
        <w:adjustRightInd w:val="0"/>
        <w:spacing w:after="1200"/>
        <w:jc w:val="center"/>
        <w:rPr>
          <w:rFonts w:ascii="Arial" w:hAnsi="Arial" w:cs="Arial"/>
          <w:b/>
          <w:noProof/>
          <w:sz w:val="22"/>
          <w:szCs w:val="22"/>
          <w:lang w:val="en-GB" w:eastAsia="en-US"/>
        </w:rPr>
      </w:pPr>
      <w:r w:rsidRPr="0004168A">
        <w:rPr>
          <w:rFonts w:ascii="Arial" w:hAnsi="Arial" w:cs="Arial"/>
          <w:b/>
          <w:noProof/>
          <w:sz w:val="22"/>
          <w:szCs w:val="22"/>
          <w:lang w:val="en-GB" w:eastAsia="en-US"/>
        </w:rPr>
        <w:t>Revision of the Operational Directives for the implementation of the Convention</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7F5B89" w14:paraId="708AD2E0" w14:textId="77777777" w:rsidTr="00EC6F8D">
        <w:trPr>
          <w:jc w:val="center"/>
        </w:trPr>
        <w:tc>
          <w:tcPr>
            <w:tcW w:w="5670" w:type="dxa"/>
            <w:vAlign w:val="center"/>
          </w:tcPr>
          <w:p w14:paraId="634876DF" w14:textId="77777777" w:rsidR="00EC6F8D" w:rsidRPr="00293C60" w:rsidRDefault="00EC6F8D" w:rsidP="00CA56BB">
            <w:pPr>
              <w:pStyle w:val="Sansinterligne1"/>
              <w:spacing w:before="200" w:after="200"/>
              <w:jc w:val="center"/>
              <w:rPr>
                <w:rFonts w:ascii="Arial" w:hAnsi="Arial" w:cs="Arial"/>
                <w:b/>
                <w:sz w:val="22"/>
                <w:szCs w:val="22"/>
                <w:lang w:val="en-GB"/>
              </w:rPr>
            </w:pPr>
            <w:r w:rsidRPr="00293C60">
              <w:rPr>
                <w:rFonts w:ascii="Arial" w:hAnsi="Arial" w:cs="Arial"/>
                <w:b/>
                <w:sz w:val="22"/>
                <w:szCs w:val="22"/>
                <w:lang w:val="en-GB"/>
              </w:rPr>
              <w:t>Summary</w:t>
            </w:r>
          </w:p>
          <w:p w14:paraId="6E0523BF" w14:textId="0BCB8698" w:rsidR="00EC6F8D" w:rsidRPr="00293C60" w:rsidRDefault="006907FB" w:rsidP="00CA56BB">
            <w:pPr>
              <w:pStyle w:val="Sansinterligne1"/>
              <w:jc w:val="both"/>
              <w:rPr>
                <w:rFonts w:ascii="Arial" w:hAnsi="Arial" w:cs="Arial"/>
                <w:bCs/>
                <w:sz w:val="22"/>
                <w:szCs w:val="22"/>
                <w:lang w:val="en-GB"/>
              </w:rPr>
            </w:pPr>
            <w:r w:rsidRPr="00605129">
              <w:rPr>
                <w:rFonts w:ascii="Arial" w:hAnsi="Arial" w:cs="Arial"/>
                <w:sz w:val="22"/>
                <w:szCs w:val="22"/>
                <w:lang w:val="en-GB"/>
              </w:rPr>
              <w:t xml:space="preserve">At its </w:t>
            </w:r>
            <w:r>
              <w:rPr>
                <w:rFonts w:ascii="Arial" w:hAnsi="Arial" w:cs="Arial"/>
                <w:sz w:val="22"/>
                <w:szCs w:val="22"/>
                <w:lang w:val="en-GB"/>
              </w:rPr>
              <w:t>twelfth session</w:t>
            </w:r>
            <w:r w:rsidRPr="00605129">
              <w:rPr>
                <w:rFonts w:ascii="Arial" w:hAnsi="Arial" w:cs="Arial"/>
                <w:sz w:val="22"/>
                <w:szCs w:val="22"/>
                <w:lang w:val="en-GB"/>
              </w:rPr>
              <w:t xml:space="preserve">, the Intergovernmental Committee </w:t>
            </w:r>
            <w:r w:rsidR="00C1184A">
              <w:rPr>
                <w:rFonts w:ascii="Arial" w:hAnsi="Arial" w:cs="Arial"/>
                <w:sz w:val="22"/>
                <w:szCs w:val="22"/>
                <w:lang w:val="en-GB"/>
              </w:rPr>
              <w:t>decided to</w:t>
            </w:r>
            <w:r w:rsidR="00C1184A">
              <w:rPr>
                <w:rFonts w:ascii="Arial" w:hAnsi="Arial" w:cs="Arial"/>
                <w:bCs/>
                <w:sz w:val="22"/>
                <w:szCs w:val="22"/>
                <w:lang w:val="en-GB"/>
              </w:rPr>
              <w:t xml:space="preserve"> reform the periodic reporting mechanism by moving</w:t>
            </w:r>
            <w:r w:rsidR="00C1184A" w:rsidRPr="007F5B89">
              <w:rPr>
                <w:rFonts w:ascii="Arial" w:hAnsi="Arial" w:cs="Arial"/>
                <w:bCs/>
                <w:sz w:val="22"/>
                <w:szCs w:val="22"/>
                <w:lang w:val="en-GB"/>
              </w:rPr>
              <w:t xml:space="preserve"> towards a regional cycle of national reporting</w:t>
            </w:r>
            <w:r w:rsidR="00C1184A">
              <w:rPr>
                <w:rFonts w:ascii="Arial" w:hAnsi="Arial" w:cs="Arial"/>
                <w:sz w:val="22"/>
                <w:szCs w:val="22"/>
                <w:lang w:val="en-GB"/>
              </w:rPr>
              <w:t xml:space="preserve"> and </w:t>
            </w:r>
            <w:r>
              <w:rPr>
                <w:rFonts w:ascii="Arial" w:hAnsi="Arial" w:cs="Arial"/>
                <w:sz w:val="22"/>
                <w:szCs w:val="22"/>
                <w:lang w:val="en-GB"/>
              </w:rPr>
              <w:t xml:space="preserve">recommended </w:t>
            </w:r>
            <w:r w:rsidRPr="00605129">
              <w:rPr>
                <w:rFonts w:ascii="Arial" w:hAnsi="Arial" w:cs="Arial"/>
                <w:sz w:val="22"/>
                <w:szCs w:val="22"/>
                <w:lang w:val="en-GB"/>
              </w:rPr>
              <w:t xml:space="preserve">that the General Assembly amend the Operational Directives for the </w:t>
            </w:r>
            <w:r w:rsidR="00027769">
              <w:rPr>
                <w:rFonts w:ascii="Arial" w:hAnsi="Arial" w:cs="Arial"/>
                <w:sz w:val="22"/>
                <w:szCs w:val="22"/>
                <w:lang w:val="en-GB"/>
              </w:rPr>
              <w:t>I</w:t>
            </w:r>
            <w:r w:rsidRPr="00605129">
              <w:rPr>
                <w:rFonts w:ascii="Arial" w:hAnsi="Arial" w:cs="Arial"/>
                <w:sz w:val="22"/>
                <w:szCs w:val="22"/>
                <w:lang w:val="en-GB"/>
              </w:rPr>
              <w:t xml:space="preserve">mplementation of the Convention </w:t>
            </w:r>
            <w:r w:rsidR="00C1184A">
              <w:rPr>
                <w:rFonts w:ascii="Arial" w:hAnsi="Arial" w:cs="Arial"/>
                <w:sz w:val="22"/>
                <w:szCs w:val="22"/>
                <w:lang w:val="en-GB"/>
              </w:rPr>
              <w:t xml:space="preserve">accordingly </w:t>
            </w:r>
            <w:r w:rsidRPr="00605129">
              <w:rPr>
                <w:rFonts w:ascii="Arial" w:hAnsi="Arial" w:cs="Arial"/>
                <w:sz w:val="22"/>
                <w:szCs w:val="22"/>
                <w:lang w:val="en-GB"/>
              </w:rPr>
              <w:t>(</w:t>
            </w:r>
            <w:r w:rsidR="00027769">
              <w:rPr>
                <w:rFonts w:ascii="Arial" w:hAnsi="Arial" w:cs="Arial"/>
                <w:sz w:val="22"/>
                <w:szCs w:val="22"/>
                <w:lang w:val="en-GB"/>
              </w:rPr>
              <w:t>Decision </w:t>
            </w:r>
            <w:r w:rsidR="00ED791F">
              <w:fldChar w:fldCharType="begin"/>
            </w:r>
            <w:r w:rsidR="00ED791F" w:rsidRPr="00ED791F">
              <w:rPr>
                <w:lang w:val="en-US"/>
              </w:rPr>
              <w:instrText xml:space="preserve"> HYPERLINK "https://ich.unesco.org/en/Decisions/12.COM/10" </w:instrText>
            </w:r>
            <w:r w:rsidR="00ED791F">
              <w:fldChar w:fldCharType="separate"/>
            </w:r>
            <w:r w:rsidR="00027769" w:rsidRPr="00027769">
              <w:rPr>
                <w:rStyle w:val="Hyperlink"/>
                <w:rFonts w:ascii="Arial" w:hAnsi="Arial" w:cs="Arial"/>
                <w:sz w:val="22"/>
                <w:szCs w:val="22"/>
                <w:lang w:val="en-GB"/>
              </w:rPr>
              <w:t>12.COM 10</w:t>
            </w:r>
            <w:r w:rsidR="00ED791F">
              <w:rPr>
                <w:rStyle w:val="Hyperlink"/>
                <w:rFonts w:ascii="Arial" w:hAnsi="Arial" w:cs="Arial"/>
                <w:sz w:val="22"/>
                <w:szCs w:val="22"/>
                <w:lang w:val="en-GB"/>
              </w:rPr>
              <w:fldChar w:fldCharType="end"/>
            </w:r>
            <w:r w:rsidRPr="00605129">
              <w:rPr>
                <w:rFonts w:ascii="Arial" w:hAnsi="Arial" w:cs="Arial"/>
                <w:sz w:val="22"/>
                <w:szCs w:val="22"/>
                <w:lang w:val="en-GB"/>
              </w:rPr>
              <w:t xml:space="preserve">). The present document includes, in its </w:t>
            </w:r>
            <w:r>
              <w:rPr>
                <w:rFonts w:ascii="Arial" w:hAnsi="Arial" w:cs="Arial"/>
                <w:sz w:val="22"/>
                <w:szCs w:val="22"/>
                <w:lang w:val="en-GB"/>
              </w:rPr>
              <w:t>A</w:t>
            </w:r>
            <w:r w:rsidRPr="00605129">
              <w:rPr>
                <w:rFonts w:ascii="Arial" w:hAnsi="Arial" w:cs="Arial"/>
                <w:sz w:val="22"/>
                <w:szCs w:val="22"/>
                <w:lang w:val="en-GB"/>
              </w:rPr>
              <w:t xml:space="preserve">nnex, </w:t>
            </w:r>
            <w:r w:rsidR="00C1184A">
              <w:rPr>
                <w:rFonts w:ascii="Arial" w:hAnsi="Arial" w:cs="Arial"/>
                <w:sz w:val="22"/>
                <w:szCs w:val="22"/>
                <w:lang w:val="en-GB"/>
              </w:rPr>
              <w:t>the proposed text</w:t>
            </w:r>
            <w:r w:rsidRPr="00605129">
              <w:rPr>
                <w:rFonts w:ascii="Arial" w:hAnsi="Arial" w:cs="Arial"/>
                <w:sz w:val="22"/>
                <w:szCs w:val="22"/>
                <w:lang w:val="en-GB"/>
              </w:rPr>
              <w:t xml:space="preserve"> of such amendments.</w:t>
            </w:r>
          </w:p>
          <w:p w14:paraId="56395550" w14:textId="2CB6ED87" w:rsidR="00EC6F8D" w:rsidRPr="00293C60" w:rsidRDefault="00EC6F8D" w:rsidP="00331AB0">
            <w:pPr>
              <w:pStyle w:val="Sansinterligne2"/>
              <w:spacing w:before="200" w:after="200"/>
              <w:jc w:val="both"/>
              <w:rPr>
                <w:rFonts w:ascii="Arial" w:hAnsi="Arial" w:cs="Arial"/>
                <w:b/>
                <w:sz w:val="22"/>
                <w:szCs w:val="22"/>
                <w:lang w:val="en-GB"/>
              </w:rPr>
            </w:pPr>
            <w:r w:rsidRPr="00293C60">
              <w:rPr>
                <w:rFonts w:ascii="Arial" w:hAnsi="Arial" w:cs="Arial"/>
                <w:b/>
                <w:sz w:val="22"/>
                <w:szCs w:val="22"/>
                <w:lang w:val="en-GB"/>
              </w:rPr>
              <w:t xml:space="preserve">Decision required: </w:t>
            </w:r>
            <w:r w:rsidRPr="00293C60">
              <w:rPr>
                <w:rFonts w:ascii="Arial" w:hAnsi="Arial" w:cs="Arial"/>
                <w:bCs/>
                <w:sz w:val="22"/>
                <w:szCs w:val="22"/>
                <w:lang w:val="en-GB"/>
              </w:rPr>
              <w:t xml:space="preserve">paragraph </w:t>
            </w:r>
            <w:r w:rsidR="006B5F32" w:rsidRPr="003640A9">
              <w:rPr>
                <w:rFonts w:ascii="Arial" w:hAnsi="Arial" w:cs="Arial"/>
                <w:bCs/>
                <w:sz w:val="22"/>
                <w:szCs w:val="22"/>
                <w:lang w:val="en-GB"/>
              </w:rPr>
              <w:t>1</w:t>
            </w:r>
            <w:r w:rsidR="00331AB0" w:rsidRPr="003640A9">
              <w:rPr>
                <w:rFonts w:ascii="Arial" w:hAnsi="Arial" w:cs="Arial"/>
                <w:bCs/>
                <w:sz w:val="22"/>
                <w:szCs w:val="22"/>
                <w:lang w:val="en-GB"/>
              </w:rPr>
              <w:t>0</w:t>
            </w:r>
          </w:p>
        </w:tc>
      </w:tr>
    </w:tbl>
    <w:p w14:paraId="1927455F" w14:textId="77777777" w:rsidR="001942F7" w:rsidRDefault="001942F7">
      <w:pPr>
        <w:rPr>
          <w:rFonts w:ascii="Arial" w:hAnsi="Arial" w:cs="Arial"/>
          <w:snapToGrid w:val="0"/>
          <w:sz w:val="22"/>
          <w:szCs w:val="22"/>
          <w:lang w:val="en-GB" w:eastAsia="en-US"/>
        </w:rPr>
      </w:pPr>
      <w:r>
        <w:br w:type="page"/>
      </w:r>
    </w:p>
    <w:p w14:paraId="734AD3D9" w14:textId="0518AABE" w:rsidR="00BF2712" w:rsidRDefault="00A96557" w:rsidP="006610D9">
      <w:pPr>
        <w:pStyle w:val="COMPara"/>
        <w:numPr>
          <w:ilvl w:val="0"/>
          <w:numId w:val="6"/>
        </w:numPr>
        <w:ind w:left="567" w:hanging="567"/>
        <w:jc w:val="both"/>
      </w:pPr>
      <w:r>
        <w:lastRenderedPageBreak/>
        <w:t xml:space="preserve">The open-ended intergovernmental working group </w:t>
      </w:r>
      <w:r w:rsidR="00C67B76">
        <w:t>for the development of</w:t>
      </w:r>
      <w:r>
        <w:t xml:space="preserve"> an overall results framework for the Convention</w:t>
      </w:r>
      <w:r w:rsidR="00167B11">
        <w:t xml:space="preserve"> (</w:t>
      </w:r>
      <w:r>
        <w:t>Chengdu, China</w:t>
      </w:r>
      <w:r w:rsidR="006A75F6">
        <w:t>,</w:t>
      </w:r>
      <w:r>
        <w:t xml:space="preserve"> f</w:t>
      </w:r>
      <w:r w:rsidR="00285DB9">
        <w:t>rom 11 to 13 June 2017</w:t>
      </w:r>
      <w:r w:rsidR="00167B11">
        <w:t>)</w:t>
      </w:r>
      <w:r>
        <w:t xml:space="preserve"> </w:t>
      </w:r>
      <w:r w:rsidR="002932E8">
        <w:t xml:space="preserve">had the opportunity </w:t>
      </w:r>
      <w:r w:rsidR="002932E8" w:rsidRPr="002932E8">
        <w:t xml:space="preserve">to debate how </w:t>
      </w:r>
      <w:r w:rsidR="00C67B76">
        <w:t xml:space="preserve">the </w:t>
      </w:r>
      <w:r w:rsidR="002932E8" w:rsidRPr="002B7D2D">
        <w:t xml:space="preserve">process of adopting an </w:t>
      </w:r>
      <w:r w:rsidR="002932E8" w:rsidRPr="002932E8">
        <w:t xml:space="preserve">overall results framework </w:t>
      </w:r>
      <w:r w:rsidR="002932E8">
        <w:t>provided</w:t>
      </w:r>
      <w:r w:rsidR="002932E8" w:rsidRPr="002932E8">
        <w:t xml:space="preserve"> </w:t>
      </w:r>
      <w:r w:rsidR="002932E8">
        <w:t xml:space="preserve">a unique </w:t>
      </w:r>
      <w:r w:rsidR="002932E8" w:rsidRPr="002932E8">
        <w:t xml:space="preserve">opportunity to </w:t>
      </w:r>
      <w:r w:rsidR="002932E8">
        <w:t xml:space="preserve">review </w:t>
      </w:r>
      <w:r w:rsidR="002932E8" w:rsidRPr="002932E8">
        <w:t xml:space="preserve">the periodic reporting </w:t>
      </w:r>
      <w:r w:rsidR="002932E8">
        <w:t xml:space="preserve">mechanism (document </w:t>
      </w:r>
      <w:hyperlink r:id="rId8" w:history="1">
        <w:r w:rsidR="002932E8" w:rsidRPr="002932E8">
          <w:rPr>
            <w:rStyle w:val="Hyperlink"/>
          </w:rPr>
          <w:t>ITH/17/12.COM WG/5</w:t>
        </w:r>
      </w:hyperlink>
      <w:r w:rsidR="002932E8">
        <w:rPr>
          <w:rStyle w:val="atenuated"/>
        </w:rPr>
        <w:t>)</w:t>
      </w:r>
      <w:r w:rsidR="002932E8" w:rsidRPr="002932E8">
        <w:t xml:space="preserve">. </w:t>
      </w:r>
      <w:r w:rsidR="002932E8">
        <w:t xml:space="preserve">It </w:t>
      </w:r>
      <w:r w:rsidR="00285DB9">
        <w:t xml:space="preserve">convincingly </w:t>
      </w:r>
      <w:r>
        <w:t xml:space="preserve">highlighted the need to reform the periodic reporting process </w:t>
      </w:r>
      <w:r w:rsidR="006A75F6">
        <w:t>to make it</w:t>
      </w:r>
      <w:r>
        <w:t xml:space="preserve"> more useful </w:t>
      </w:r>
      <w:r w:rsidR="006A75F6">
        <w:t>for</w:t>
      </w:r>
      <w:r>
        <w:t xml:space="preserve"> States Parties and </w:t>
      </w:r>
      <w:r w:rsidR="006A75F6">
        <w:t xml:space="preserve">for </w:t>
      </w:r>
      <w:r>
        <w:t>the Convention as a whole</w:t>
      </w:r>
      <w:r w:rsidR="00167B11">
        <w:t>,</w:t>
      </w:r>
      <w:r>
        <w:t xml:space="preserve"> </w:t>
      </w:r>
      <w:r w:rsidR="002932E8">
        <w:t>and made a recommendation in this sense to the Committee</w:t>
      </w:r>
      <w:r w:rsidR="00C67B76">
        <w:t>,</w:t>
      </w:r>
      <w:r w:rsidR="002932E8">
        <w:t xml:space="preserve"> which is included in its report </w:t>
      </w:r>
      <w:r>
        <w:t>(</w:t>
      </w:r>
      <w:r w:rsidR="00582B88">
        <w:t>Document </w:t>
      </w:r>
      <w:hyperlink r:id="rId9" w:history="1">
        <w:r w:rsidR="00516E35" w:rsidRPr="00516E35">
          <w:rPr>
            <w:rStyle w:val="Hyperlink"/>
          </w:rPr>
          <w:t>ITH/17/12.COM WG/7</w:t>
        </w:r>
      </w:hyperlink>
      <w:r>
        <w:t>).</w:t>
      </w:r>
    </w:p>
    <w:p w14:paraId="2C293346" w14:textId="3C9EDFAC" w:rsidR="00E452AB" w:rsidRPr="00C42D93" w:rsidRDefault="00167B11" w:rsidP="00E452AB">
      <w:pPr>
        <w:pStyle w:val="COMPara"/>
        <w:numPr>
          <w:ilvl w:val="0"/>
          <w:numId w:val="6"/>
        </w:numPr>
        <w:ind w:left="567" w:hanging="567"/>
        <w:jc w:val="both"/>
      </w:pPr>
      <w:r>
        <w:t>The Committee, a</w:t>
      </w:r>
      <w:r w:rsidR="00E452AB">
        <w:t>t its twelfth session (Jeju Island, Republic of Korea, from 4 to 9 December 2017)</w:t>
      </w:r>
      <w:r>
        <w:t>,</w:t>
      </w:r>
      <w:r w:rsidR="00E452AB">
        <w:t xml:space="preserve"> endorsed the recommendation of the open-ended intergovernmental working group and decided to </w:t>
      </w:r>
      <w:r w:rsidR="00E452AB" w:rsidRPr="00C42D93">
        <w:rPr>
          <w:lang w:val="en-US"/>
        </w:rPr>
        <w:t>reform the periodic reporting process with the aim of enhancing its quality, usefulness and timeliness</w:t>
      </w:r>
      <w:r w:rsidR="000309F5">
        <w:rPr>
          <w:lang w:val="en-US"/>
        </w:rPr>
        <w:t>. It also decided</w:t>
      </w:r>
      <w:r>
        <w:rPr>
          <w:lang w:val="en-US"/>
        </w:rPr>
        <w:t xml:space="preserve"> </w:t>
      </w:r>
      <w:r w:rsidR="00E452AB">
        <w:rPr>
          <w:lang w:val="en-US"/>
        </w:rPr>
        <w:t xml:space="preserve">to </w:t>
      </w:r>
      <w:r w:rsidR="00E452AB" w:rsidRPr="00C42D93">
        <w:rPr>
          <w:lang w:val="en-US"/>
        </w:rPr>
        <w:t xml:space="preserve">amend the periodicity of the submission of national reports </w:t>
      </w:r>
      <w:r w:rsidR="00E452AB">
        <w:rPr>
          <w:lang w:val="en-US"/>
        </w:rPr>
        <w:t xml:space="preserve">on the implementation of the </w:t>
      </w:r>
      <w:r w:rsidR="00E452AB" w:rsidRPr="00C42D93">
        <w:rPr>
          <w:lang w:val="en-US"/>
        </w:rPr>
        <w:t xml:space="preserve">Convention </w:t>
      </w:r>
      <w:r w:rsidR="00E452AB">
        <w:rPr>
          <w:lang w:val="en-US"/>
        </w:rPr>
        <w:t xml:space="preserve">(Article 29) </w:t>
      </w:r>
      <w:r w:rsidR="000309F5">
        <w:rPr>
          <w:lang w:val="en-US"/>
        </w:rPr>
        <w:t xml:space="preserve">so that </w:t>
      </w:r>
      <w:r w:rsidR="00E452AB" w:rsidRPr="00C42D93">
        <w:rPr>
          <w:lang w:val="en-US"/>
        </w:rPr>
        <w:t xml:space="preserve">States Parties </w:t>
      </w:r>
      <w:r w:rsidR="000309F5">
        <w:rPr>
          <w:lang w:val="en-US"/>
        </w:rPr>
        <w:t>would</w:t>
      </w:r>
      <w:r w:rsidR="000309F5" w:rsidRPr="00C42D93">
        <w:rPr>
          <w:lang w:val="en-US"/>
        </w:rPr>
        <w:t xml:space="preserve"> </w:t>
      </w:r>
      <w:r w:rsidR="00E452AB" w:rsidRPr="00C42D93">
        <w:rPr>
          <w:lang w:val="en-US"/>
        </w:rPr>
        <w:t xml:space="preserve">submit their </w:t>
      </w:r>
      <w:r w:rsidR="00E452AB">
        <w:rPr>
          <w:lang w:val="en-US"/>
        </w:rPr>
        <w:t xml:space="preserve">national </w:t>
      </w:r>
      <w:r w:rsidR="00E452AB" w:rsidRPr="00C42D93">
        <w:rPr>
          <w:lang w:val="en-US"/>
        </w:rPr>
        <w:t xml:space="preserve">report every six years </w:t>
      </w:r>
      <w:proofErr w:type="gramStart"/>
      <w:r w:rsidR="00E452AB" w:rsidRPr="00C42D93">
        <w:rPr>
          <w:lang w:val="en-US"/>
        </w:rPr>
        <w:t>on the basis of</w:t>
      </w:r>
      <w:proofErr w:type="gramEnd"/>
      <w:r w:rsidR="00E452AB" w:rsidRPr="00C42D93">
        <w:rPr>
          <w:lang w:val="en-US"/>
        </w:rPr>
        <w:t xml:space="preserve"> a regional rotation</w:t>
      </w:r>
      <w:r w:rsidR="00E452AB">
        <w:rPr>
          <w:lang w:val="en-US"/>
        </w:rPr>
        <w:t xml:space="preserve"> </w:t>
      </w:r>
      <w:r w:rsidR="00E452AB" w:rsidRPr="00605129">
        <w:t>(</w:t>
      </w:r>
      <w:r w:rsidR="00E452AB">
        <w:t>Decision </w:t>
      </w:r>
      <w:hyperlink r:id="rId10" w:history="1">
        <w:r w:rsidR="00E452AB" w:rsidRPr="00027769">
          <w:rPr>
            <w:rStyle w:val="Hyperlink"/>
          </w:rPr>
          <w:t>12.COM 10</w:t>
        </w:r>
      </w:hyperlink>
      <w:r w:rsidR="00E452AB" w:rsidRPr="00605129">
        <w:t>)</w:t>
      </w:r>
      <w:r w:rsidR="00E452AB">
        <w:rPr>
          <w:lang w:val="en-US"/>
        </w:rPr>
        <w:t>.</w:t>
      </w:r>
    </w:p>
    <w:p w14:paraId="64DB4C6E" w14:textId="6569AB25" w:rsidR="00F27BC5" w:rsidRDefault="00DF7197" w:rsidP="006610D9">
      <w:pPr>
        <w:pStyle w:val="COMPara"/>
        <w:numPr>
          <w:ilvl w:val="0"/>
          <w:numId w:val="6"/>
        </w:numPr>
        <w:spacing w:before="120"/>
        <w:ind w:left="567" w:hanging="567"/>
        <w:jc w:val="both"/>
      </w:pPr>
      <w:r>
        <w:t xml:space="preserve">The </w:t>
      </w:r>
      <w:proofErr w:type="gramStart"/>
      <w:r w:rsidR="00D570FC" w:rsidRPr="004C41FE">
        <w:rPr>
          <w:lang w:val="en-US"/>
        </w:rPr>
        <w:t>move towards a regional cycle of national reporting</w:t>
      </w:r>
      <w:r>
        <w:rPr>
          <w:lang w:val="en-US"/>
        </w:rPr>
        <w:t xml:space="preserve"> was welcomed by the Committee</w:t>
      </w:r>
      <w:proofErr w:type="gramEnd"/>
      <w:r>
        <w:rPr>
          <w:lang w:val="en-US"/>
        </w:rPr>
        <w:t xml:space="preserve"> as it </w:t>
      </w:r>
      <w:r w:rsidR="00CB5466">
        <w:t xml:space="preserve">will </w:t>
      </w:r>
      <w:r>
        <w:t xml:space="preserve">help </w:t>
      </w:r>
      <w:r w:rsidR="000309F5">
        <w:t xml:space="preserve">improve </w:t>
      </w:r>
      <w:r>
        <w:t xml:space="preserve">the rate of submission of reports and </w:t>
      </w:r>
      <w:r w:rsidR="00CB5466">
        <w:t xml:space="preserve">allow for </w:t>
      </w:r>
      <w:r w:rsidR="00C41382">
        <w:t>greater</w:t>
      </w:r>
      <w:r w:rsidR="003C79CB">
        <w:t xml:space="preserve"> </w:t>
      </w:r>
      <w:r w:rsidR="00EA2025">
        <w:t xml:space="preserve">effectiveness </w:t>
      </w:r>
      <w:r w:rsidR="003C79CB">
        <w:t>in the capacity-</w:t>
      </w:r>
      <w:r w:rsidR="00C11435">
        <w:t xml:space="preserve">building </w:t>
      </w:r>
      <w:r>
        <w:t>approach</w:t>
      </w:r>
      <w:r w:rsidR="00167B11">
        <w:t xml:space="preserve"> thanks </w:t>
      </w:r>
      <w:r w:rsidR="00CB5466">
        <w:t xml:space="preserve">to the </w:t>
      </w:r>
      <w:r w:rsidR="004453FC">
        <w:t xml:space="preserve">organization </w:t>
      </w:r>
      <w:r w:rsidR="00CB5466">
        <w:t>of targeted training</w:t>
      </w:r>
      <w:r w:rsidR="004453FC">
        <w:t xml:space="preserve"> sessions</w:t>
      </w:r>
      <w:r w:rsidR="00CB5466">
        <w:t xml:space="preserve"> at the regional level</w:t>
      </w:r>
      <w:r w:rsidR="00C11435">
        <w:t>.</w:t>
      </w:r>
      <w:r w:rsidR="006C43F3">
        <w:t xml:space="preserve"> </w:t>
      </w:r>
      <w:r w:rsidR="00167B11">
        <w:t xml:space="preserve">The Committee emphasized </w:t>
      </w:r>
      <w:r w:rsidR="006C43F3">
        <w:t xml:space="preserve">that this </w:t>
      </w:r>
      <w:r>
        <w:t xml:space="preserve">change </w:t>
      </w:r>
      <w:r w:rsidR="000309F5">
        <w:t xml:space="preserve">would </w:t>
      </w:r>
      <w:r w:rsidR="006C43F3">
        <w:t xml:space="preserve">make it easier for States Parties in a given region to benefit from collaboration at the regional or sub-regional levels and the capacity-building activities </w:t>
      </w:r>
      <w:r w:rsidR="000309F5">
        <w:t xml:space="preserve">would </w:t>
      </w:r>
      <w:r w:rsidR="006C43F3">
        <w:t xml:space="preserve">represent an </w:t>
      </w:r>
      <w:r w:rsidR="004453FC">
        <w:t xml:space="preserve">opportunity </w:t>
      </w:r>
      <w:r w:rsidR="006C43F3">
        <w:t xml:space="preserve">to foster dialogue and exchange </w:t>
      </w:r>
      <w:r w:rsidR="004453FC">
        <w:t xml:space="preserve">regarding </w:t>
      </w:r>
      <w:r w:rsidR="006C43F3">
        <w:t>national experiences.</w:t>
      </w:r>
      <w:r w:rsidR="00146271">
        <w:t xml:space="preserve"> The reform </w:t>
      </w:r>
      <w:proofErr w:type="gramStart"/>
      <w:r w:rsidR="00146271">
        <w:t>is also</w:t>
      </w:r>
      <w:r w:rsidR="0009283F">
        <w:t xml:space="preserve"> </w:t>
      </w:r>
      <w:r w:rsidR="000309F5">
        <w:t>intended</w:t>
      </w:r>
      <w:proofErr w:type="gramEnd"/>
      <w:r w:rsidR="0009283F">
        <w:t xml:space="preserve"> to</w:t>
      </w:r>
      <w:r w:rsidR="000309F5">
        <w:t xml:space="preserve"> significantly</w:t>
      </w:r>
      <w:r w:rsidR="0009283F">
        <w:t xml:space="preserve"> contribute </w:t>
      </w:r>
      <w:r w:rsidR="000309F5">
        <w:t>to</w:t>
      </w:r>
      <w:r w:rsidR="0009283F">
        <w:t xml:space="preserve"> the operationalization of the overall results framework</w:t>
      </w:r>
      <w:r w:rsidR="000309F5">
        <w:t>,</w:t>
      </w:r>
      <w:r w:rsidR="0009283F">
        <w:t xml:space="preserve"> </w:t>
      </w:r>
      <w:r w:rsidR="000309F5">
        <w:t>inasmuch as</w:t>
      </w:r>
      <w:r w:rsidR="0009283F">
        <w:t xml:space="preserve"> </w:t>
      </w:r>
      <w:r w:rsidR="000309F5">
        <w:t xml:space="preserve">the </w:t>
      </w:r>
      <w:r w:rsidR="0009283F">
        <w:t xml:space="preserve">national reports submitted </w:t>
      </w:r>
      <w:r w:rsidR="000309F5">
        <w:t>would provide</w:t>
      </w:r>
      <w:r w:rsidR="0009283F">
        <w:t xml:space="preserve"> a </w:t>
      </w:r>
      <w:r w:rsidR="000309F5">
        <w:t>key, reliable</w:t>
      </w:r>
      <w:r w:rsidR="0051438C">
        <w:t xml:space="preserve"> </w:t>
      </w:r>
      <w:r w:rsidR="0009283F">
        <w:t>source of information</w:t>
      </w:r>
      <w:r w:rsidR="005B0F8C">
        <w:t xml:space="preserve"> to feed</w:t>
      </w:r>
      <w:r w:rsidR="0009283F">
        <w:t xml:space="preserve"> into such </w:t>
      </w:r>
      <w:r w:rsidR="000309F5">
        <w:t xml:space="preserve">a </w:t>
      </w:r>
      <w:r w:rsidR="0009283F">
        <w:t>framework.</w:t>
      </w:r>
    </w:p>
    <w:p w14:paraId="7C589D18" w14:textId="677D428C" w:rsidR="00874590" w:rsidRPr="00053CFA" w:rsidRDefault="0031637C" w:rsidP="00B1120B">
      <w:pPr>
        <w:pStyle w:val="COMPara"/>
        <w:numPr>
          <w:ilvl w:val="0"/>
          <w:numId w:val="6"/>
        </w:numPr>
        <w:spacing w:before="120"/>
        <w:ind w:left="567" w:hanging="567"/>
        <w:jc w:val="both"/>
      </w:pPr>
      <w:r>
        <w:t xml:space="preserve">Operationally, the move towards the regional </w:t>
      </w:r>
      <w:r w:rsidR="006A305D" w:rsidRPr="004C41FE">
        <w:rPr>
          <w:lang w:val="en-US"/>
        </w:rPr>
        <w:t xml:space="preserve">cycle of </w:t>
      </w:r>
      <w:r w:rsidR="006A305D">
        <w:rPr>
          <w:lang w:val="en-US"/>
        </w:rPr>
        <w:t xml:space="preserve">national </w:t>
      </w:r>
      <w:r>
        <w:t>reporting on the implementation of the Convention</w:t>
      </w:r>
      <w:r w:rsidR="00625F74">
        <w:t xml:space="preserve"> and on the status of elements inscribed on the Representative List</w:t>
      </w:r>
      <w:r>
        <w:t xml:space="preserve"> requires</w:t>
      </w:r>
      <w:r w:rsidR="00EE3E05">
        <w:t>,</w:t>
      </w:r>
      <w:r>
        <w:t xml:space="preserve"> </w:t>
      </w:r>
      <w:proofErr w:type="gramStart"/>
      <w:r w:rsidR="00DF7197">
        <w:t>first of all</w:t>
      </w:r>
      <w:proofErr w:type="gramEnd"/>
      <w:r w:rsidR="00EE3E05">
        <w:t>,</w:t>
      </w:r>
      <w:r w:rsidR="00DF7197">
        <w:t xml:space="preserve"> the revision of the Operational Directives on periodic reporting as included in the Annex to this document</w:t>
      </w:r>
      <w:r w:rsidR="00E330FD">
        <w:t>.</w:t>
      </w:r>
      <w:r w:rsidR="00DF7197">
        <w:t xml:space="preserve"> </w:t>
      </w:r>
      <w:r w:rsidR="00E330FD">
        <w:t>A</w:t>
      </w:r>
      <w:r w:rsidR="00167B11">
        <w:t xml:space="preserve"> transition period </w:t>
      </w:r>
      <w:r w:rsidR="00E330FD">
        <w:t xml:space="preserve">would also have to </w:t>
      </w:r>
      <w:proofErr w:type="gramStart"/>
      <w:r w:rsidR="00E330FD">
        <w:t>be foreseen</w:t>
      </w:r>
      <w:proofErr w:type="gramEnd"/>
      <w:r w:rsidR="00E330FD">
        <w:t xml:space="preserve"> </w:t>
      </w:r>
      <w:r>
        <w:t xml:space="preserve">before the new calendar </w:t>
      </w:r>
      <w:r w:rsidR="000309F5">
        <w:t xml:space="preserve">could </w:t>
      </w:r>
      <w:r>
        <w:t xml:space="preserve">be fully put into place. </w:t>
      </w:r>
      <w:r w:rsidR="00425667">
        <w:t xml:space="preserve">After the </w:t>
      </w:r>
      <w:r w:rsidR="00DF7197">
        <w:t xml:space="preserve">current </w:t>
      </w:r>
      <w:r w:rsidR="00425667">
        <w:t xml:space="preserve">session of the General Assembly, </w:t>
      </w:r>
      <w:r w:rsidR="000309F5">
        <w:t xml:space="preserve">and </w:t>
      </w:r>
      <w:r w:rsidR="0034649B">
        <w:t xml:space="preserve">should </w:t>
      </w:r>
      <w:r w:rsidR="00425667">
        <w:t>the overall results framework</w:t>
      </w:r>
      <w:r w:rsidR="00DF7197">
        <w:t xml:space="preserve"> </w:t>
      </w:r>
      <w:r w:rsidR="000309F5">
        <w:t>be</w:t>
      </w:r>
      <w:r w:rsidR="00DF7197">
        <w:t xml:space="preserve"> approved</w:t>
      </w:r>
      <w:r w:rsidR="00425667">
        <w:t xml:space="preserve">, the Secretariat </w:t>
      </w:r>
      <w:r w:rsidR="00325339">
        <w:t xml:space="preserve">will </w:t>
      </w:r>
      <w:r w:rsidR="00425667">
        <w:t xml:space="preserve">be able to start revising periodic reporting </w:t>
      </w:r>
      <w:r w:rsidR="00763271">
        <w:t xml:space="preserve">Form </w:t>
      </w:r>
      <w:r w:rsidR="00425667">
        <w:t xml:space="preserve">ICH-10 in order to align it to the </w:t>
      </w:r>
      <w:r w:rsidR="00167B11">
        <w:t xml:space="preserve">overall results </w:t>
      </w:r>
      <w:r w:rsidR="00425667">
        <w:t>framework</w:t>
      </w:r>
      <w:r w:rsidR="00325339">
        <w:t xml:space="preserve"> and </w:t>
      </w:r>
      <w:r w:rsidR="00763271">
        <w:t xml:space="preserve">begin </w:t>
      </w:r>
      <w:r w:rsidR="0034649B">
        <w:t xml:space="preserve">preparing </w:t>
      </w:r>
      <w:r w:rsidR="00325339">
        <w:t xml:space="preserve">the </w:t>
      </w:r>
      <w:r w:rsidR="0034649B">
        <w:t xml:space="preserve">related </w:t>
      </w:r>
      <w:r w:rsidR="00325339">
        <w:t>capacity-building</w:t>
      </w:r>
      <w:r w:rsidR="00D722D3">
        <w:t xml:space="preserve"> foreseen to accompany the </w:t>
      </w:r>
      <w:r w:rsidR="00B1120B">
        <w:t>reform of the periodic reporting mechanism</w:t>
      </w:r>
      <w:r w:rsidR="00425667">
        <w:t xml:space="preserve">. </w:t>
      </w:r>
      <w:r w:rsidR="00325339">
        <w:t xml:space="preserve">This transition period would start in the second half of 2018 and last </w:t>
      </w:r>
      <w:r w:rsidR="00763271">
        <w:t>for all</w:t>
      </w:r>
      <w:r w:rsidR="00325339">
        <w:t xml:space="preserve"> </w:t>
      </w:r>
      <w:r w:rsidR="00763271">
        <w:t xml:space="preserve">of </w:t>
      </w:r>
      <w:r w:rsidR="00325339">
        <w:t>2019</w:t>
      </w:r>
      <w:r w:rsidR="00E330FD">
        <w:t>.</w:t>
      </w:r>
      <w:r w:rsidR="007710CF">
        <w:t xml:space="preserve"> </w:t>
      </w:r>
      <w:r w:rsidR="00E330FD">
        <w:t xml:space="preserve">This </w:t>
      </w:r>
      <w:r w:rsidR="007710CF">
        <w:t xml:space="preserve">means that the submission of periodic reports on the implementation of the Convention </w:t>
      </w:r>
      <w:proofErr w:type="gramStart"/>
      <w:r w:rsidR="000309F5">
        <w:t xml:space="preserve">would </w:t>
      </w:r>
      <w:r w:rsidR="007710CF">
        <w:t>be suspended</w:t>
      </w:r>
      <w:proofErr w:type="gramEnd"/>
      <w:r w:rsidR="007710CF">
        <w:t xml:space="preserve"> for the deadline of 15 December 2018 and 2019</w:t>
      </w:r>
      <w:r w:rsidR="00625F74">
        <w:t>, including for overdue reports</w:t>
      </w:r>
      <w:r w:rsidR="00325339">
        <w:t>.</w:t>
      </w:r>
      <w:r>
        <w:t xml:space="preserve"> </w:t>
      </w:r>
      <w:r w:rsidR="00325339">
        <w:t>T</w:t>
      </w:r>
      <w:r>
        <w:t xml:space="preserve">he </w:t>
      </w:r>
      <w:r w:rsidR="00325339">
        <w:t xml:space="preserve">updated Form ICH-10 as well as the new capacity-building </w:t>
      </w:r>
      <w:r w:rsidR="00E330FD">
        <w:t xml:space="preserve">approach </w:t>
      </w:r>
      <w:proofErr w:type="gramStart"/>
      <w:r w:rsidR="004453FC">
        <w:t xml:space="preserve">would </w:t>
      </w:r>
      <w:r w:rsidR="00325339">
        <w:t xml:space="preserve">then </w:t>
      </w:r>
      <w:r>
        <w:t>be presented</w:t>
      </w:r>
      <w:proofErr w:type="gramEnd"/>
      <w:r>
        <w:t xml:space="preserve"> to the Committee at its </w:t>
      </w:r>
      <w:r w:rsidR="00325339">
        <w:t xml:space="preserve">fourteenth </w:t>
      </w:r>
      <w:r>
        <w:t>session</w:t>
      </w:r>
      <w:r w:rsidR="00325339">
        <w:t xml:space="preserve"> in 2019</w:t>
      </w:r>
      <w:r w:rsidR="00460399">
        <w:t>.</w:t>
      </w:r>
      <w:r>
        <w:t xml:space="preserve"> By early </w:t>
      </w:r>
      <w:r w:rsidR="007710CF">
        <w:t>2020</w:t>
      </w:r>
      <w:r>
        <w:t xml:space="preserve">, the Secretariat </w:t>
      </w:r>
      <w:r w:rsidR="00EE3E6A">
        <w:t>would</w:t>
      </w:r>
      <w:r>
        <w:t xml:space="preserve"> be ready to </w:t>
      </w:r>
      <w:r w:rsidR="00E330FD">
        <w:t xml:space="preserve">roll out </w:t>
      </w:r>
      <w:r>
        <w:t xml:space="preserve">the new </w:t>
      </w:r>
      <w:r w:rsidRPr="00053CFA">
        <w:t xml:space="preserve">procedures </w:t>
      </w:r>
      <w:r w:rsidR="00625F74">
        <w:t xml:space="preserve">for periodic reporting on the implementation of the Convention </w:t>
      </w:r>
      <w:r w:rsidRPr="00053CFA">
        <w:t>in the first region.</w:t>
      </w:r>
    </w:p>
    <w:p w14:paraId="46BDD5E6" w14:textId="327C443B" w:rsidR="007B38C0" w:rsidRDefault="00DF033B" w:rsidP="00A61A01">
      <w:pPr>
        <w:pStyle w:val="COMPara"/>
        <w:numPr>
          <w:ilvl w:val="0"/>
          <w:numId w:val="6"/>
        </w:numPr>
        <w:spacing w:before="120"/>
        <w:ind w:left="567" w:hanging="567"/>
        <w:jc w:val="both"/>
      </w:pPr>
      <w:r>
        <w:t xml:space="preserve">The </w:t>
      </w:r>
      <w:r w:rsidR="000309F5">
        <w:t xml:space="preserve">proposed </w:t>
      </w:r>
      <w:r>
        <w:t xml:space="preserve">regional </w:t>
      </w:r>
      <w:r w:rsidR="006A305D" w:rsidRPr="00A61A01">
        <w:rPr>
          <w:lang w:val="en-US"/>
        </w:rPr>
        <w:t xml:space="preserve">cycle of national </w:t>
      </w:r>
      <w:r>
        <w:t xml:space="preserve">reporting </w:t>
      </w:r>
      <w:r w:rsidR="000309F5">
        <w:t>would</w:t>
      </w:r>
      <w:r w:rsidR="004C1342">
        <w:t xml:space="preserve"> </w:t>
      </w:r>
      <w:r w:rsidR="00FB489F">
        <w:t>last</w:t>
      </w:r>
      <w:r w:rsidR="000D30D4">
        <w:t xml:space="preserve"> </w:t>
      </w:r>
      <w:r>
        <w:t xml:space="preserve">six years. </w:t>
      </w:r>
      <w:r w:rsidRPr="00DF033B">
        <w:t xml:space="preserve">The </w:t>
      </w:r>
      <w:r w:rsidR="00DF7197">
        <w:t xml:space="preserve">Committee took note that </w:t>
      </w:r>
      <w:r w:rsidR="00A61A01">
        <w:t xml:space="preserve">the </w:t>
      </w:r>
      <w:proofErr w:type="gramStart"/>
      <w:r w:rsidR="00A61A01" w:rsidRPr="00D212DF">
        <w:t>calendar</w:t>
      </w:r>
      <w:r w:rsidR="00A61A01">
        <w:t xml:space="preserve"> for the first </w:t>
      </w:r>
      <w:r w:rsidR="00FB489F">
        <w:t>such cycle</w:t>
      </w:r>
      <w:r w:rsidR="00A61A01">
        <w:t xml:space="preserve"> </w:t>
      </w:r>
      <w:r w:rsidR="000309F5">
        <w:t xml:space="preserve">would </w:t>
      </w:r>
      <w:r w:rsidR="00A61A01">
        <w:t>be established by the Committee</w:t>
      </w:r>
      <w:proofErr w:type="gramEnd"/>
      <w:r w:rsidR="00A61A01">
        <w:t xml:space="preserve"> at its thirteenth session in 2018</w:t>
      </w:r>
      <w:r w:rsidR="000309F5">
        <w:t>,</w:t>
      </w:r>
      <w:r w:rsidR="00FB489F">
        <w:t xml:space="preserve"> to indicate the order</w:t>
      </w:r>
      <w:r w:rsidR="0063338A">
        <w:t xml:space="preserve"> of examination </w:t>
      </w:r>
      <w:r w:rsidR="00A34197">
        <w:t>by electoral groups.</w:t>
      </w:r>
      <w:r w:rsidR="00FB489F">
        <w:t xml:space="preserve"> The decision of the Committee also refers to </w:t>
      </w:r>
      <w:r w:rsidR="004C1342">
        <w:t xml:space="preserve">the </w:t>
      </w:r>
      <w:r w:rsidR="00A61A01">
        <w:t xml:space="preserve">transition period </w:t>
      </w:r>
      <w:r w:rsidR="00FB489F">
        <w:t xml:space="preserve">that </w:t>
      </w:r>
      <w:proofErr w:type="gramStart"/>
      <w:r w:rsidR="00A61A01">
        <w:t>will be followed</w:t>
      </w:r>
      <w:proofErr w:type="gramEnd"/>
      <w:r w:rsidR="00A61A01">
        <w:t xml:space="preserve"> by the submission of national reports from the first region on 15 December 2020 for examination by the Committee at its sixteenth session in 2021. </w:t>
      </w:r>
      <w:r w:rsidR="00E0600B">
        <w:t xml:space="preserve">At the same time, States Parties in </w:t>
      </w:r>
      <w:r w:rsidR="006655D8">
        <w:t xml:space="preserve">the second region </w:t>
      </w:r>
      <w:r w:rsidR="00F070D6">
        <w:t>would</w:t>
      </w:r>
      <w:r w:rsidR="00E0600B">
        <w:t xml:space="preserve"> start </w:t>
      </w:r>
      <w:r w:rsidR="003C79CB">
        <w:t>preparing</w:t>
      </w:r>
      <w:r w:rsidR="00E0600B">
        <w:t xml:space="preserve"> their periodic reports in 202</w:t>
      </w:r>
      <w:r w:rsidR="00747180">
        <w:t>1</w:t>
      </w:r>
      <w:r w:rsidR="00E0600B">
        <w:t xml:space="preserve"> for </w:t>
      </w:r>
      <w:r w:rsidR="003C79CB">
        <w:t xml:space="preserve">their </w:t>
      </w:r>
      <w:r w:rsidR="00E0600B">
        <w:t>submission by 15 December 202</w:t>
      </w:r>
      <w:r w:rsidR="00747180">
        <w:t>1</w:t>
      </w:r>
      <w:r w:rsidR="00E0600B">
        <w:t xml:space="preserve">. A similar process </w:t>
      </w:r>
      <w:proofErr w:type="gramStart"/>
      <w:r w:rsidR="003C79CB">
        <w:t xml:space="preserve">would </w:t>
      </w:r>
      <w:r w:rsidR="00E0600B">
        <w:t>be repeated</w:t>
      </w:r>
      <w:proofErr w:type="gramEnd"/>
      <w:r w:rsidR="00E0600B">
        <w:t xml:space="preserve"> for the rest of the regions until the Committee </w:t>
      </w:r>
      <w:r w:rsidR="000309F5">
        <w:t xml:space="preserve">had </w:t>
      </w:r>
      <w:r w:rsidR="00E0600B">
        <w:t>finish</w:t>
      </w:r>
      <w:r w:rsidR="003C79CB">
        <w:t>ed</w:t>
      </w:r>
      <w:r w:rsidR="00E0600B">
        <w:t xml:space="preserve"> examining the reports from all regions in 202</w:t>
      </w:r>
      <w:r w:rsidR="00747180">
        <w:t>6</w:t>
      </w:r>
      <w:r w:rsidR="00E0600B">
        <w:t xml:space="preserve">. The second cycle </w:t>
      </w:r>
      <w:r w:rsidR="003C79CB">
        <w:t xml:space="preserve">could </w:t>
      </w:r>
      <w:r w:rsidR="004D0728">
        <w:t xml:space="preserve">then </w:t>
      </w:r>
      <w:r w:rsidR="00E0600B">
        <w:t>start</w:t>
      </w:r>
      <w:r w:rsidR="000F795D">
        <w:t xml:space="preserve"> </w:t>
      </w:r>
      <w:r w:rsidR="00E0600B">
        <w:t>in 202</w:t>
      </w:r>
      <w:r w:rsidR="00747180">
        <w:t>7</w:t>
      </w:r>
      <w:r w:rsidR="00E0600B">
        <w:t>.</w:t>
      </w:r>
      <w:r w:rsidR="00990626">
        <w:t xml:space="preserve"> </w:t>
      </w:r>
      <w:r w:rsidR="00625F74">
        <w:t xml:space="preserve">For </w:t>
      </w:r>
      <w:r w:rsidR="00990626">
        <w:t xml:space="preserve">States </w:t>
      </w:r>
      <w:r w:rsidR="00625F74">
        <w:t xml:space="preserve">newly </w:t>
      </w:r>
      <w:r w:rsidR="00990626">
        <w:t>ratifying the Convention</w:t>
      </w:r>
      <w:r w:rsidR="00625F74">
        <w:t xml:space="preserve"> </w:t>
      </w:r>
      <w:r w:rsidR="00990626">
        <w:t>in the course of a regional cycle</w:t>
      </w:r>
      <w:r w:rsidR="00625F74">
        <w:t>, consideration will have to be given to the amount of time between ratification and their first due report.</w:t>
      </w:r>
    </w:p>
    <w:p w14:paraId="655C9E01" w14:textId="441EF2C9" w:rsidR="0031637C" w:rsidRDefault="00906C2C">
      <w:pPr>
        <w:pStyle w:val="COMPara"/>
        <w:numPr>
          <w:ilvl w:val="0"/>
          <w:numId w:val="6"/>
        </w:numPr>
        <w:spacing w:before="120"/>
        <w:ind w:left="567" w:hanging="567"/>
        <w:jc w:val="both"/>
      </w:pPr>
      <w:r>
        <w:t>For the time being</w:t>
      </w:r>
      <w:r w:rsidR="009254CF">
        <w:t>,</w:t>
      </w:r>
      <w:r>
        <w:t xml:space="preserve"> the change </w:t>
      </w:r>
      <w:r w:rsidR="00A61A01">
        <w:t xml:space="preserve">will not affect </w:t>
      </w:r>
      <w:r>
        <w:t xml:space="preserve">the </w:t>
      </w:r>
      <w:r w:rsidR="004D0728">
        <w:t xml:space="preserve">procedure for </w:t>
      </w:r>
      <w:r>
        <w:t>reporting</w:t>
      </w:r>
      <w:r w:rsidRPr="00906C2C">
        <w:t xml:space="preserve"> </w:t>
      </w:r>
      <w:r>
        <w:t xml:space="preserve">on the status of elements inscribed on the </w:t>
      </w:r>
      <w:r w:rsidR="00FE1AD7">
        <w:t xml:space="preserve">Urgent Safeguarding </w:t>
      </w:r>
      <w:r>
        <w:t>List</w:t>
      </w:r>
      <w:r w:rsidR="004D0728">
        <w:t>. This is mainly because of the reflections that the Committee has started</w:t>
      </w:r>
      <w:r w:rsidR="009254CF">
        <w:t xml:space="preserve"> on the future of the Lists and some important mechanisms related to the Lists</w:t>
      </w:r>
      <w:r w:rsidR="003C79CB">
        <w:t>,</w:t>
      </w:r>
      <w:r w:rsidR="009254CF">
        <w:t xml:space="preserve"> such as </w:t>
      </w:r>
      <w:r w:rsidR="003C79CB">
        <w:t xml:space="preserve">the </w:t>
      </w:r>
      <w:r w:rsidR="009254CF">
        <w:t>transfer and removal of inscribed elements. Once the</w:t>
      </w:r>
      <w:r w:rsidR="003C79CB">
        <w:t>se</w:t>
      </w:r>
      <w:r w:rsidR="009254CF">
        <w:t xml:space="preserve"> reflection</w:t>
      </w:r>
      <w:r w:rsidR="003C79CB">
        <w:t>s</w:t>
      </w:r>
      <w:r w:rsidR="009254CF">
        <w:t xml:space="preserve"> </w:t>
      </w:r>
      <w:r w:rsidR="003C79CB">
        <w:t xml:space="preserve">have </w:t>
      </w:r>
      <w:r w:rsidR="009254CF">
        <w:t>advanced</w:t>
      </w:r>
      <w:r w:rsidR="004F135D">
        <w:t>,</w:t>
      </w:r>
      <w:r w:rsidR="009254CF">
        <w:t xml:space="preserve"> the Committee will be in a better position to decide whether to </w:t>
      </w:r>
      <w:r w:rsidR="006E193F">
        <w:lastRenderedPageBreak/>
        <w:t>harmonize</w:t>
      </w:r>
      <w:r w:rsidR="009254CF">
        <w:t xml:space="preserve"> the reporting mechanism related to the Urgent Safeguarding</w:t>
      </w:r>
      <w:r w:rsidR="00FE1AD7">
        <w:t xml:space="preserve"> List</w:t>
      </w:r>
      <w:r w:rsidR="009254CF">
        <w:t xml:space="preserve"> </w:t>
      </w:r>
      <w:r w:rsidR="006E193F">
        <w:t>with</w:t>
      </w:r>
      <w:r w:rsidR="009254CF">
        <w:t xml:space="preserve"> the regional calendar or keep it as </w:t>
      </w:r>
      <w:r w:rsidR="004F135D">
        <w:t xml:space="preserve">a separate system </w:t>
      </w:r>
      <w:r w:rsidR="006E193F">
        <w:t xml:space="preserve">as </w:t>
      </w:r>
      <w:r w:rsidR="003C79CB">
        <w:t xml:space="preserve">it </w:t>
      </w:r>
      <w:r w:rsidR="009254CF">
        <w:t xml:space="preserve">currently </w:t>
      </w:r>
      <w:r w:rsidR="003C79CB">
        <w:t xml:space="preserve">stands, </w:t>
      </w:r>
      <w:r w:rsidR="009254CF">
        <w:t xml:space="preserve">on </w:t>
      </w:r>
      <w:r w:rsidR="003C79CB">
        <w:t xml:space="preserve">a </w:t>
      </w:r>
      <w:r w:rsidR="009254CF">
        <w:t xml:space="preserve">quadrennial </w:t>
      </w:r>
      <w:r w:rsidR="004F135D">
        <w:t xml:space="preserve">and </w:t>
      </w:r>
      <w:r w:rsidR="009254CF">
        <w:t xml:space="preserve">inscription </w:t>
      </w:r>
      <w:r w:rsidR="003C79CB">
        <w:t>year-</w:t>
      </w:r>
      <w:r w:rsidR="009254CF">
        <w:t>based schedule.</w:t>
      </w:r>
      <w:r w:rsidR="004D3C70">
        <w:t xml:space="preserve"> </w:t>
      </w:r>
      <w:r w:rsidR="006D0D0E">
        <w:t xml:space="preserve">Moreover, no revision is proposed for </w:t>
      </w:r>
      <w:r w:rsidR="0031637C">
        <w:t xml:space="preserve">the procedure for </w:t>
      </w:r>
      <w:r w:rsidR="0031637C" w:rsidRPr="0031637C">
        <w:t xml:space="preserve">States </w:t>
      </w:r>
      <w:proofErr w:type="gramStart"/>
      <w:r w:rsidR="0031637C" w:rsidRPr="0031637C">
        <w:t>non party</w:t>
      </w:r>
      <w:proofErr w:type="gramEnd"/>
      <w:r w:rsidR="0031637C" w:rsidRPr="0031637C">
        <w:t xml:space="preserve"> to the Convention</w:t>
      </w:r>
      <w:r w:rsidR="006D0D0E">
        <w:t xml:space="preserve"> reporting</w:t>
      </w:r>
      <w:r w:rsidR="0031637C" w:rsidRPr="0031637C">
        <w:t xml:space="preserve"> on elements inscribed on the Representative List</w:t>
      </w:r>
      <w:r w:rsidR="000309F5">
        <w:t>;</w:t>
      </w:r>
      <w:r w:rsidR="004D462C">
        <w:t xml:space="preserve"> </w:t>
      </w:r>
      <w:r w:rsidR="000309F5">
        <w:t xml:space="preserve">this </w:t>
      </w:r>
      <w:r w:rsidR="006D0D0E">
        <w:t>currently concerns</w:t>
      </w:r>
      <w:r w:rsidR="004D462C">
        <w:t xml:space="preserve"> only one State (</w:t>
      </w:r>
      <w:r w:rsidR="006D0D0E">
        <w:t xml:space="preserve">the </w:t>
      </w:r>
      <w:r w:rsidR="004D462C">
        <w:t>Russian Federation).</w:t>
      </w:r>
      <w:r w:rsidR="0031637C">
        <w:t xml:space="preserve"> </w:t>
      </w:r>
      <w:r w:rsidR="004D462C">
        <w:t xml:space="preserve">This </w:t>
      </w:r>
      <w:r w:rsidR="0031637C">
        <w:t xml:space="preserve">will </w:t>
      </w:r>
      <w:r w:rsidR="004D462C">
        <w:t xml:space="preserve">remain a sexennial reporting </w:t>
      </w:r>
      <w:r w:rsidR="006D0D0E">
        <w:t xml:space="preserve">process, </w:t>
      </w:r>
      <w:r w:rsidR="004D462C">
        <w:t xml:space="preserve">based on the year of incorporation of </w:t>
      </w:r>
      <w:r w:rsidR="004D462C" w:rsidRPr="0096363C">
        <w:t xml:space="preserve">Masterpieces </w:t>
      </w:r>
      <w:r w:rsidR="006D0D0E">
        <w:t>on</w:t>
      </w:r>
      <w:r w:rsidR="006D0D0E" w:rsidRPr="0096363C">
        <w:t xml:space="preserve"> </w:t>
      </w:r>
      <w:r w:rsidR="004D462C" w:rsidRPr="0096363C">
        <w:t>the Representative List</w:t>
      </w:r>
      <w:r w:rsidR="004D462C">
        <w:t>.</w:t>
      </w:r>
    </w:p>
    <w:p w14:paraId="1B131BB9" w14:textId="581D9682" w:rsidR="001437A5" w:rsidRPr="00B204F0" w:rsidRDefault="001437A5" w:rsidP="006610D9">
      <w:pPr>
        <w:pStyle w:val="COMPara"/>
        <w:numPr>
          <w:ilvl w:val="0"/>
          <w:numId w:val="6"/>
        </w:numPr>
        <w:spacing w:before="120"/>
        <w:ind w:left="567" w:hanging="567"/>
        <w:jc w:val="both"/>
      </w:pPr>
      <w:r>
        <w:t xml:space="preserve">The </w:t>
      </w:r>
      <w:r w:rsidR="00E816CD">
        <w:t xml:space="preserve">amendments to the Operational Directives </w:t>
      </w:r>
      <w:r w:rsidR="0034649B">
        <w:t xml:space="preserve">recommended by the Committee to the General Assembly </w:t>
      </w:r>
      <w:r w:rsidR="00E816CD">
        <w:t xml:space="preserve">presented in </w:t>
      </w:r>
      <w:r w:rsidR="00A61A01">
        <w:t xml:space="preserve">the </w:t>
      </w:r>
      <w:r w:rsidR="00E816CD">
        <w:t>Annex</w:t>
      </w:r>
      <w:r w:rsidR="00A61A01">
        <w:t xml:space="preserve"> to this document reflect the new approach to periodic reporting as explained in this document and</w:t>
      </w:r>
      <w:r w:rsidR="004C1342">
        <w:t>, in more detail,</w:t>
      </w:r>
      <w:r w:rsidR="00A61A01">
        <w:t xml:space="preserve"> in the document of the twelfth session of the Committee (</w:t>
      </w:r>
      <w:r w:rsidR="00A61A01" w:rsidRPr="00B204F0">
        <w:t>document </w:t>
      </w:r>
      <w:hyperlink r:id="rId11" w:history="1">
        <w:r w:rsidR="00AB2DAC" w:rsidRPr="00B204F0">
          <w:rPr>
            <w:rStyle w:val="Hyperlink"/>
          </w:rPr>
          <w:t>ITH/17/12.COM/10</w:t>
        </w:r>
      </w:hyperlink>
      <w:r w:rsidR="00A61A01" w:rsidRPr="00B204F0">
        <w:t>)</w:t>
      </w:r>
      <w:r w:rsidR="00E816CD" w:rsidRPr="00B204F0">
        <w:t>.</w:t>
      </w:r>
    </w:p>
    <w:p w14:paraId="173CB844" w14:textId="76B36262" w:rsidR="006572C8" w:rsidRPr="00385AED" w:rsidRDefault="00FE0A0B" w:rsidP="00B52653">
      <w:pPr>
        <w:pStyle w:val="COMPara"/>
        <w:numPr>
          <w:ilvl w:val="0"/>
          <w:numId w:val="6"/>
        </w:numPr>
        <w:spacing w:before="120"/>
        <w:ind w:left="567" w:hanging="567"/>
        <w:jc w:val="both"/>
      </w:pPr>
      <w:r w:rsidRPr="00385AED">
        <w:t xml:space="preserve">In addition to the </w:t>
      </w:r>
      <w:r w:rsidR="00A73B11" w:rsidRPr="00385AED">
        <w:t xml:space="preserve">above-mentioned </w:t>
      </w:r>
      <w:r w:rsidRPr="00385AED">
        <w:t xml:space="preserve">revisions </w:t>
      </w:r>
      <w:r w:rsidRPr="00385AED">
        <w:rPr>
          <w:lang w:val="en-US"/>
        </w:rPr>
        <w:t>to move towards a regional cycle of national reporting</w:t>
      </w:r>
      <w:r w:rsidRPr="00385AED">
        <w:t xml:space="preserve">, </w:t>
      </w:r>
      <w:r w:rsidR="00182528" w:rsidRPr="00385AED">
        <w:t xml:space="preserve">the </w:t>
      </w:r>
      <w:r w:rsidR="00A61A01">
        <w:t xml:space="preserve">Committee recommended </w:t>
      </w:r>
      <w:r w:rsidR="006D0D0E">
        <w:t>revising</w:t>
      </w:r>
      <w:r w:rsidR="00263DBF" w:rsidRPr="00385AED">
        <w:t xml:space="preserve"> </w:t>
      </w:r>
      <w:r w:rsidR="004C1342">
        <w:t xml:space="preserve">other paragraphs of </w:t>
      </w:r>
      <w:r w:rsidR="00263DBF" w:rsidRPr="00385AED">
        <w:t>the Operational Directives to take into account the fact that periodic report</w:t>
      </w:r>
      <w:r w:rsidR="006D0D0E">
        <w:t>s</w:t>
      </w:r>
      <w:r w:rsidR="00263DBF" w:rsidRPr="00385AED">
        <w:t xml:space="preserve"> </w:t>
      </w:r>
      <w:proofErr w:type="gramStart"/>
      <w:r w:rsidR="0065279D" w:rsidRPr="00385AED">
        <w:t xml:space="preserve">would </w:t>
      </w:r>
      <w:r w:rsidR="00263DBF" w:rsidRPr="00385AED">
        <w:t xml:space="preserve">be </w:t>
      </w:r>
      <w:r w:rsidR="004A3755" w:rsidRPr="00385AED">
        <w:t>submitted</w:t>
      </w:r>
      <w:proofErr w:type="gramEnd"/>
      <w:r w:rsidR="00263DBF" w:rsidRPr="00385AED">
        <w:t xml:space="preserve"> online</w:t>
      </w:r>
      <w:r w:rsidR="00182528" w:rsidRPr="00385AED">
        <w:t xml:space="preserve"> from 2018 onwards</w:t>
      </w:r>
      <w:r w:rsidR="004C1342">
        <w:t xml:space="preserve"> </w:t>
      </w:r>
      <w:r w:rsidR="004C1342" w:rsidRPr="00385AED">
        <w:t>(paragraphs 152, 161 and 169)</w:t>
      </w:r>
      <w:r w:rsidR="00182528" w:rsidRPr="00385AED">
        <w:t xml:space="preserve">. </w:t>
      </w:r>
      <w:r w:rsidR="0065279D" w:rsidRPr="00385AED">
        <w:t>T</w:t>
      </w:r>
      <w:r w:rsidR="00FF0FF4" w:rsidRPr="00385AED">
        <w:t>hanks to the generous contribution of the Republic of Korea</w:t>
      </w:r>
      <w:r w:rsidR="00A61A01">
        <w:t xml:space="preserve"> to the Intangible Cultural Heritage Fund to improve the periodic reporting mechanism, </w:t>
      </w:r>
      <w:r w:rsidR="00FF0FF4" w:rsidRPr="00385AED">
        <w:t xml:space="preserve">the Secretariat has been able to </w:t>
      </w:r>
      <w:r w:rsidR="00182528" w:rsidRPr="00385AED">
        <w:t xml:space="preserve">develop </w:t>
      </w:r>
      <w:r w:rsidR="00FF0FF4" w:rsidRPr="00385AED">
        <w:t xml:space="preserve">an online tool </w:t>
      </w:r>
      <w:r w:rsidR="00156A7C">
        <w:t>to allow</w:t>
      </w:r>
      <w:r w:rsidR="00156A7C" w:rsidRPr="00385AED">
        <w:t xml:space="preserve"> </w:t>
      </w:r>
      <w:r w:rsidR="00FF0FF4" w:rsidRPr="00385AED">
        <w:t xml:space="preserve">States to complete </w:t>
      </w:r>
      <w:r w:rsidR="00182528" w:rsidRPr="00385AED">
        <w:t xml:space="preserve">their </w:t>
      </w:r>
      <w:r w:rsidR="00FF0FF4" w:rsidRPr="00385AED">
        <w:t xml:space="preserve">reports online. </w:t>
      </w:r>
      <w:r w:rsidR="00A61A01">
        <w:t>T</w:t>
      </w:r>
      <w:r w:rsidR="006D0D0E">
        <w:t>his</w:t>
      </w:r>
      <w:r w:rsidR="006D0D0E" w:rsidRPr="00385AED">
        <w:t xml:space="preserve"> </w:t>
      </w:r>
      <w:r w:rsidR="0065279D" w:rsidRPr="00385AED">
        <w:t xml:space="preserve">tool </w:t>
      </w:r>
      <w:r w:rsidR="00A61A01">
        <w:t xml:space="preserve">is already </w:t>
      </w:r>
      <w:r w:rsidR="0065279D" w:rsidRPr="00385AED">
        <w:t>available</w:t>
      </w:r>
      <w:r w:rsidR="00A61A01">
        <w:t xml:space="preserve"> for </w:t>
      </w:r>
      <w:r w:rsidR="0065279D" w:rsidRPr="00385AED">
        <w:t xml:space="preserve">reports on </w:t>
      </w:r>
      <w:r w:rsidR="0065279D" w:rsidRPr="00385AED">
        <w:rPr>
          <w:lang w:val="en-US"/>
        </w:rPr>
        <w:t>elements inscribed on the Urgent Safeguarding List</w:t>
      </w:r>
      <w:r w:rsidR="00A61A01">
        <w:rPr>
          <w:lang w:val="en-US"/>
        </w:rPr>
        <w:t xml:space="preserve"> (Form ICH-11) and will be adapted at a later stage of the reform to the </w:t>
      </w:r>
      <w:r w:rsidR="00FF0FF4" w:rsidRPr="00385AED">
        <w:t>periodic reports on the implementation of the Convention</w:t>
      </w:r>
      <w:r w:rsidR="009545A9" w:rsidRPr="00385AED">
        <w:t xml:space="preserve"> (Form ICH-10)</w:t>
      </w:r>
      <w:r w:rsidR="00FF0FF4" w:rsidRPr="00385AED">
        <w:t>.</w:t>
      </w:r>
    </w:p>
    <w:p w14:paraId="4A7931F6" w14:textId="298B23D2" w:rsidR="00FE0A0B" w:rsidRDefault="00670EA1" w:rsidP="006610D9">
      <w:pPr>
        <w:pStyle w:val="COMPara"/>
        <w:numPr>
          <w:ilvl w:val="0"/>
          <w:numId w:val="6"/>
        </w:numPr>
        <w:spacing w:before="120"/>
        <w:ind w:left="567" w:hanging="567"/>
        <w:jc w:val="both"/>
      </w:pPr>
      <w:r w:rsidRPr="00385AED">
        <w:t xml:space="preserve">Finally, </w:t>
      </w:r>
      <w:r w:rsidR="004C1342">
        <w:t>the Committee recommended revis</w:t>
      </w:r>
      <w:r w:rsidR="00156A7C">
        <w:t>ing</w:t>
      </w:r>
      <w:r w:rsidR="004C1342">
        <w:t xml:space="preserve"> </w:t>
      </w:r>
      <w:r w:rsidR="00FE0A0B" w:rsidRPr="00385AED">
        <w:t xml:space="preserve">paragraph 166 </w:t>
      </w:r>
      <w:r w:rsidR="004C1342">
        <w:t xml:space="preserve">in order </w:t>
      </w:r>
      <w:r w:rsidR="00FE0A0B" w:rsidRPr="00385AED">
        <w:t xml:space="preserve">to conform to the existing practice for the </w:t>
      </w:r>
      <w:r w:rsidR="009C56BB" w:rsidRPr="00385AED">
        <w:t>publication of reports and their overview</w:t>
      </w:r>
      <w:r w:rsidR="00F50FE4">
        <w:t>.</w:t>
      </w:r>
      <w:r w:rsidR="00FE0A0B" w:rsidRPr="00385AED">
        <w:t xml:space="preserve"> </w:t>
      </w:r>
      <w:proofErr w:type="gramStart"/>
      <w:r w:rsidR="004F13F5">
        <w:t xml:space="preserve">The Committee </w:t>
      </w:r>
      <w:r w:rsidR="00156A7C">
        <w:t xml:space="preserve">also recommended that </w:t>
      </w:r>
      <w:r w:rsidR="00FE0A0B" w:rsidRPr="00385AED">
        <w:t xml:space="preserve">paragraph 167 </w:t>
      </w:r>
      <w:r w:rsidR="00156A7C">
        <w:t xml:space="preserve">be deleted, </w:t>
      </w:r>
      <w:r w:rsidR="009C56BB" w:rsidRPr="00385AED">
        <w:t xml:space="preserve">since its second half </w:t>
      </w:r>
      <w:r w:rsidR="00F50FE4">
        <w:t>would</w:t>
      </w:r>
      <w:r w:rsidR="00F50FE4" w:rsidRPr="00385AED">
        <w:t xml:space="preserve"> </w:t>
      </w:r>
      <w:r w:rsidR="009C56BB" w:rsidRPr="00385AED">
        <w:t xml:space="preserve">now </w:t>
      </w:r>
      <w:r w:rsidR="00F50FE4">
        <w:t xml:space="preserve">be </w:t>
      </w:r>
      <w:r w:rsidR="009C56BB" w:rsidRPr="00385AED">
        <w:t xml:space="preserve">better placed </w:t>
      </w:r>
      <w:r w:rsidRPr="00385AED">
        <w:t>under</w:t>
      </w:r>
      <w:r w:rsidR="009C56BB" w:rsidRPr="00385AED">
        <w:t xml:space="preserve"> paragraph 166</w:t>
      </w:r>
      <w:r w:rsidR="00156A7C">
        <w:t>,</w:t>
      </w:r>
      <w:r w:rsidR="00A61A01">
        <w:t xml:space="preserve"> and </w:t>
      </w:r>
      <w:r w:rsidR="00F50FE4">
        <w:t xml:space="preserve">that </w:t>
      </w:r>
      <w:r w:rsidR="009C56BB" w:rsidRPr="00385AED">
        <w:t>paragraph 162</w:t>
      </w:r>
      <w:r w:rsidR="00F50FE4">
        <w:t>,</w:t>
      </w:r>
      <w:r w:rsidR="009C56BB" w:rsidRPr="00385AED">
        <w:t xml:space="preserve"> on </w:t>
      </w:r>
      <w:r w:rsidR="00F50FE4">
        <w:t>reports on the Urgent Safeguarding List,</w:t>
      </w:r>
      <w:r w:rsidR="009C56BB" w:rsidRPr="00385AED">
        <w:t xml:space="preserve"> </w:t>
      </w:r>
      <w:r w:rsidR="00F50FE4">
        <w:t xml:space="preserve">be revised </w:t>
      </w:r>
      <w:r w:rsidR="009C56BB" w:rsidRPr="00385AED">
        <w:t>in order to comply with the request</w:t>
      </w:r>
      <w:r w:rsidR="009C56BB">
        <w:t xml:space="preserve"> of the Committee </w:t>
      </w:r>
      <w:r w:rsidR="009F2853">
        <w:t xml:space="preserve">at its tenth session in 2015 to include the possibility for reporting States </w:t>
      </w:r>
      <w:r w:rsidR="00F50FE4">
        <w:t>to update</w:t>
      </w:r>
      <w:r w:rsidR="009F2853">
        <w:t xml:space="preserve"> their safeguarding plan</w:t>
      </w:r>
      <w:r w:rsidR="00F50FE4">
        <w:t>s</w:t>
      </w:r>
      <w:r w:rsidR="009F2853">
        <w:t xml:space="preserve"> </w:t>
      </w:r>
      <w:r w:rsidR="009C56BB">
        <w:t>(</w:t>
      </w:r>
      <w:r w:rsidR="00726658" w:rsidRPr="00726658">
        <w:t xml:space="preserve">Decision </w:t>
      </w:r>
      <w:hyperlink r:id="rId12" w:history="1">
        <w:r w:rsidR="00726658" w:rsidRPr="00726658">
          <w:rPr>
            <w:rStyle w:val="Hyperlink"/>
          </w:rPr>
          <w:t>10.COM 6.b</w:t>
        </w:r>
      </w:hyperlink>
      <w:r w:rsidR="009C56BB">
        <w:t>).</w:t>
      </w:r>
      <w:proofErr w:type="gramEnd"/>
    </w:p>
    <w:p w14:paraId="5A550F73" w14:textId="54AC5095" w:rsidR="003C3509" w:rsidRPr="00041A66" w:rsidRDefault="003C3509" w:rsidP="006610D9">
      <w:pPr>
        <w:pStyle w:val="COMPara"/>
        <w:numPr>
          <w:ilvl w:val="0"/>
          <w:numId w:val="6"/>
        </w:numPr>
        <w:spacing w:before="120"/>
        <w:ind w:left="567" w:hanging="567"/>
        <w:jc w:val="both"/>
      </w:pPr>
      <w:r>
        <w:t>The General Assembly may wish to adopt the following resolution:</w:t>
      </w:r>
    </w:p>
    <w:p w14:paraId="7CF56169" w14:textId="3A67A028" w:rsidR="00D95C4C" w:rsidRPr="00FD624F" w:rsidRDefault="004A34A0" w:rsidP="00041A66">
      <w:pPr>
        <w:pStyle w:val="COMTitleDecision"/>
        <w:rPr>
          <w:rFonts w:eastAsia="SimSun"/>
        </w:rPr>
      </w:pPr>
      <w:r>
        <w:t xml:space="preserve">DRAFT </w:t>
      </w:r>
      <w:r w:rsidR="00331AB0">
        <w:t>RESOLUTION</w:t>
      </w:r>
      <w:r w:rsidR="00CB0542">
        <w:t xml:space="preserve"> </w:t>
      </w:r>
      <w:r w:rsidR="006907FB">
        <w:t>7</w:t>
      </w:r>
      <w:r w:rsidR="00EC6F8D">
        <w:t>.</w:t>
      </w:r>
      <w:r w:rsidR="006907FB">
        <w:t>GA</w:t>
      </w:r>
      <w:r w:rsidR="00E238AF">
        <w:t> 10</w:t>
      </w:r>
    </w:p>
    <w:p w14:paraId="6CA70748" w14:textId="7CCA543E" w:rsidR="00D95C4C" w:rsidRPr="00285BB4" w:rsidRDefault="00285BB4" w:rsidP="00285BB4">
      <w:pPr>
        <w:pStyle w:val="COMPreambulaDecisions"/>
        <w:rPr>
          <w:rFonts w:eastAsia="SimSun"/>
        </w:rPr>
      </w:pPr>
      <w:r w:rsidRPr="00285BB4">
        <w:t xml:space="preserve">The </w:t>
      </w:r>
      <w:r w:rsidR="00331AB0" w:rsidRPr="00605129">
        <w:t>General Assembly</w:t>
      </w:r>
      <w:r w:rsidRPr="00285BB4">
        <w:t>,</w:t>
      </w:r>
    </w:p>
    <w:p w14:paraId="5ECF4506" w14:textId="461DFC77" w:rsidR="0057439C" w:rsidRPr="00345CB4" w:rsidRDefault="00D95C4C" w:rsidP="00A94FE1">
      <w:pPr>
        <w:pStyle w:val="COMParaDecision"/>
        <w:ind w:left="1134" w:hanging="567"/>
      </w:pPr>
      <w:r w:rsidRPr="00345CB4">
        <w:t>Having examined</w:t>
      </w:r>
      <w:r w:rsidRPr="00F32C23">
        <w:rPr>
          <w:u w:val="none"/>
        </w:rPr>
        <w:t xml:space="preserve"> doc</w:t>
      </w:r>
      <w:r w:rsidR="00CB0542">
        <w:rPr>
          <w:u w:val="none"/>
        </w:rPr>
        <w:t>ument ITH/1</w:t>
      </w:r>
      <w:r w:rsidR="006907FB">
        <w:rPr>
          <w:u w:val="none"/>
        </w:rPr>
        <w:t>8</w:t>
      </w:r>
      <w:r w:rsidR="00337CEB">
        <w:rPr>
          <w:u w:val="none"/>
        </w:rPr>
        <w:t>/</w:t>
      </w:r>
      <w:r w:rsidR="006907FB">
        <w:rPr>
          <w:u w:val="none"/>
        </w:rPr>
        <w:t>7.GA</w:t>
      </w:r>
      <w:r w:rsidR="004A34A0" w:rsidRPr="002A591C">
        <w:rPr>
          <w:u w:val="none"/>
        </w:rPr>
        <w:t>/</w:t>
      </w:r>
      <w:r w:rsidR="00DC5074" w:rsidRPr="002A591C">
        <w:rPr>
          <w:u w:val="none"/>
        </w:rPr>
        <w:t>10</w:t>
      </w:r>
      <w:r w:rsidRPr="00F32C23">
        <w:rPr>
          <w:u w:val="none"/>
        </w:rPr>
        <w:t>,</w:t>
      </w:r>
    </w:p>
    <w:p w14:paraId="7507E415" w14:textId="205AAFE7" w:rsidR="00E24948" w:rsidRDefault="00331AB0" w:rsidP="00A94FE1">
      <w:pPr>
        <w:pStyle w:val="COMParaDecision"/>
        <w:ind w:left="1134" w:hanging="567"/>
      </w:pPr>
      <w:r>
        <w:t>Welcomes</w:t>
      </w:r>
      <w:r w:rsidRPr="0006620C">
        <w:rPr>
          <w:u w:val="none"/>
        </w:rPr>
        <w:t xml:space="preserve"> </w:t>
      </w:r>
      <w:r>
        <w:rPr>
          <w:u w:val="none"/>
        </w:rPr>
        <w:t xml:space="preserve">the </w:t>
      </w:r>
      <w:r w:rsidR="00FE57FA">
        <w:rPr>
          <w:u w:val="none"/>
        </w:rPr>
        <w:t xml:space="preserve">reform </w:t>
      </w:r>
      <w:r>
        <w:rPr>
          <w:u w:val="none"/>
        </w:rPr>
        <w:t xml:space="preserve">of </w:t>
      </w:r>
      <w:r w:rsidR="00FE57FA">
        <w:rPr>
          <w:u w:val="none"/>
        </w:rPr>
        <w:t xml:space="preserve">the periodic reporting process </w:t>
      </w:r>
      <w:r>
        <w:rPr>
          <w:u w:val="none"/>
        </w:rPr>
        <w:t xml:space="preserve">initiated by the Committee and </w:t>
      </w:r>
      <w:r w:rsidRPr="0006620C">
        <w:t>endorses</w:t>
      </w:r>
      <w:r>
        <w:rPr>
          <w:u w:val="none"/>
        </w:rPr>
        <w:t xml:space="preserve"> </w:t>
      </w:r>
      <w:r w:rsidR="00FE57FA">
        <w:rPr>
          <w:u w:val="none"/>
        </w:rPr>
        <w:t xml:space="preserve">its decision to </w:t>
      </w:r>
      <w:r>
        <w:rPr>
          <w:u w:val="none"/>
        </w:rPr>
        <w:t>move to</w:t>
      </w:r>
      <w:r w:rsidR="00FE57FA">
        <w:rPr>
          <w:u w:val="none"/>
        </w:rPr>
        <w:t>wards</w:t>
      </w:r>
      <w:r>
        <w:rPr>
          <w:u w:val="none"/>
        </w:rPr>
        <w:t xml:space="preserve"> a </w:t>
      </w:r>
      <w:r w:rsidRPr="0006620C">
        <w:rPr>
          <w:u w:val="none"/>
        </w:rPr>
        <w:t xml:space="preserve">regional </w:t>
      </w:r>
      <w:r w:rsidRPr="0006620C">
        <w:rPr>
          <w:u w:val="none"/>
          <w:lang w:val="en-US"/>
        </w:rPr>
        <w:t xml:space="preserve">cycle of national </w:t>
      </w:r>
      <w:r w:rsidRPr="0006620C">
        <w:rPr>
          <w:u w:val="none"/>
        </w:rPr>
        <w:t>reporting;</w:t>
      </w:r>
    </w:p>
    <w:p w14:paraId="0BD0E217" w14:textId="77777777" w:rsidR="003F0713" w:rsidRDefault="00331AB0" w:rsidP="00A94FE1">
      <w:pPr>
        <w:pStyle w:val="COMParaDecision"/>
        <w:ind w:left="1134" w:hanging="567"/>
        <w:rPr>
          <w:u w:val="none"/>
        </w:rPr>
      </w:pPr>
      <w:r w:rsidRPr="00605129">
        <w:t>Approves</w:t>
      </w:r>
      <w:r w:rsidRPr="00605129">
        <w:rPr>
          <w:u w:val="none"/>
        </w:rPr>
        <w:t xml:space="preserve"> the amendments to the Operational Directives as annexed to this resolution.</w:t>
      </w:r>
    </w:p>
    <w:p w14:paraId="3B8AFABD" w14:textId="7A00CB46" w:rsidR="003942C4" w:rsidRDefault="003942C4" w:rsidP="007E0DEF">
      <w:pPr>
        <w:pStyle w:val="COMParaDecision"/>
        <w:numPr>
          <w:ilvl w:val="0"/>
          <w:numId w:val="0"/>
        </w:numPr>
        <w:ind w:left="1134"/>
        <w:rPr>
          <w:u w:val="none"/>
        </w:rPr>
        <w:sectPr w:rsidR="003942C4" w:rsidSect="00655736">
          <w:headerReference w:type="even" r:id="rId13"/>
          <w:headerReference w:type="default" r:id="rId14"/>
          <w:headerReference w:type="first" r:id="rId15"/>
          <w:pgSz w:w="11906" w:h="16838" w:code="9"/>
          <w:pgMar w:top="1418" w:right="1134" w:bottom="1134" w:left="1134" w:header="397" w:footer="284" w:gutter="0"/>
          <w:cols w:space="708"/>
          <w:titlePg/>
          <w:docGrid w:linePitch="360"/>
        </w:sectPr>
      </w:pPr>
    </w:p>
    <w:p w14:paraId="147BB56C" w14:textId="77777777" w:rsidR="003942C4" w:rsidRPr="00EB77E6" w:rsidRDefault="003942C4" w:rsidP="003942C4">
      <w:pPr>
        <w:pStyle w:val="Marge"/>
        <w:jc w:val="center"/>
        <w:rPr>
          <w:b/>
          <w:bCs/>
          <w:lang w:val="en-GB"/>
        </w:rPr>
      </w:pPr>
      <w:r w:rsidRPr="00EB77E6">
        <w:rPr>
          <w:b/>
          <w:bCs/>
          <w:lang w:val="en-GB"/>
        </w:rPr>
        <w:lastRenderedPageBreak/>
        <w:t>ANNEX</w:t>
      </w:r>
    </w:p>
    <w:tbl>
      <w:tblPr>
        <w:tblW w:w="14742" w:type="dxa"/>
        <w:tblLayout w:type="fixed"/>
        <w:tblCellMar>
          <w:top w:w="57" w:type="dxa"/>
          <w:bottom w:w="57" w:type="dxa"/>
        </w:tblCellMar>
        <w:tblLook w:val="04A0" w:firstRow="1" w:lastRow="0" w:firstColumn="1" w:lastColumn="0" w:noHBand="0" w:noVBand="1"/>
      </w:tblPr>
      <w:tblGrid>
        <w:gridCol w:w="271"/>
        <w:gridCol w:w="466"/>
        <w:gridCol w:w="271"/>
        <w:gridCol w:w="6634"/>
        <w:gridCol w:w="737"/>
        <w:gridCol w:w="6363"/>
      </w:tblGrid>
      <w:tr w:rsidR="003942C4" w:rsidRPr="00EB77E6" w14:paraId="1374FA9E" w14:textId="77777777" w:rsidTr="007E0DEF">
        <w:trPr>
          <w:gridBefore w:val="1"/>
          <w:wBefore w:w="92" w:type="pct"/>
          <w:cantSplit/>
        </w:trPr>
        <w:tc>
          <w:tcPr>
            <w:tcW w:w="250" w:type="pct"/>
            <w:gridSpan w:val="2"/>
            <w:shd w:val="clear" w:color="auto" w:fill="auto"/>
          </w:tcPr>
          <w:p w14:paraId="68EBA5DD" w14:textId="77777777" w:rsidR="003942C4" w:rsidRPr="009D2FCA" w:rsidRDefault="003942C4" w:rsidP="00196F2F">
            <w:pPr>
              <w:spacing w:before="120" w:after="120"/>
              <w:jc w:val="right"/>
              <w:rPr>
                <w:rFonts w:ascii="Arial" w:hAnsi="Arial" w:cs="Arial"/>
                <w:b/>
                <w:bCs/>
                <w:sz w:val="22"/>
                <w:szCs w:val="22"/>
                <w:lang w:val="en-GB"/>
              </w:rPr>
            </w:pPr>
          </w:p>
        </w:tc>
        <w:tc>
          <w:tcPr>
            <w:tcW w:w="2250" w:type="pct"/>
            <w:shd w:val="clear" w:color="auto" w:fill="auto"/>
          </w:tcPr>
          <w:p w14:paraId="3346F312" w14:textId="59FEECF5" w:rsidR="003942C4" w:rsidRPr="009D2FCA" w:rsidRDefault="003942C4" w:rsidP="00F50FE4">
            <w:pPr>
              <w:spacing w:before="120" w:after="120"/>
              <w:jc w:val="both"/>
              <w:rPr>
                <w:rFonts w:ascii="Arial" w:hAnsi="Arial" w:cs="Arial"/>
                <w:b/>
                <w:bCs/>
                <w:sz w:val="22"/>
                <w:szCs w:val="22"/>
                <w:lang w:val="en-GB"/>
              </w:rPr>
            </w:pPr>
            <w:r w:rsidRPr="009D2FCA">
              <w:rPr>
                <w:rFonts w:ascii="Arial" w:hAnsi="Arial" w:cs="Arial"/>
                <w:b/>
                <w:bCs/>
                <w:sz w:val="22"/>
                <w:szCs w:val="22"/>
                <w:u w:val="single"/>
                <w:lang w:val="en-GB"/>
              </w:rPr>
              <w:t xml:space="preserve">Operational </w:t>
            </w:r>
            <w:r w:rsidR="00F50FE4">
              <w:rPr>
                <w:rFonts w:ascii="Arial" w:hAnsi="Arial" w:cs="Arial"/>
                <w:b/>
                <w:bCs/>
                <w:sz w:val="22"/>
                <w:szCs w:val="22"/>
                <w:u w:val="single"/>
                <w:lang w:val="en-GB"/>
              </w:rPr>
              <w:t>D</w:t>
            </w:r>
            <w:r w:rsidR="00F50FE4" w:rsidRPr="009D2FCA">
              <w:rPr>
                <w:rFonts w:ascii="Arial" w:hAnsi="Arial" w:cs="Arial"/>
                <w:b/>
                <w:bCs/>
                <w:sz w:val="22"/>
                <w:szCs w:val="22"/>
                <w:u w:val="single"/>
                <w:lang w:val="en-GB"/>
              </w:rPr>
              <w:t>irectives</w:t>
            </w:r>
          </w:p>
        </w:tc>
        <w:tc>
          <w:tcPr>
            <w:tcW w:w="250" w:type="pct"/>
          </w:tcPr>
          <w:p w14:paraId="43E7D926" w14:textId="77777777" w:rsidR="003942C4" w:rsidRPr="009D2FCA" w:rsidRDefault="003942C4" w:rsidP="00196F2F">
            <w:pPr>
              <w:spacing w:before="120" w:after="120"/>
              <w:jc w:val="right"/>
              <w:rPr>
                <w:rFonts w:ascii="Arial" w:hAnsi="Arial" w:cs="Arial"/>
                <w:b/>
                <w:bCs/>
                <w:sz w:val="22"/>
                <w:szCs w:val="22"/>
                <w:lang w:val="en-GB"/>
              </w:rPr>
            </w:pPr>
          </w:p>
        </w:tc>
        <w:tc>
          <w:tcPr>
            <w:tcW w:w="2250" w:type="pct"/>
          </w:tcPr>
          <w:p w14:paraId="308257F4" w14:textId="77777777" w:rsidR="003942C4" w:rsidRPr="00DD7D44" w:rsidRDefault="003942C4" w:rsidP="00196F2F">
            <w:pPr>
              <w:spacing w:before="120" w:after="120"/>
              <w:jc w:val="both"/>
              <w:rPr>
                <w:rFonts w:ascii="Arial" w:hAnsi="Arial" w:cs="Arial"/>
                <w:sz w:val="22"/>
                <w:szCs w:val="22"/>
                <w:lang w:val="en-GB"/>
              </w:rPr>
            </w:pPr>
            <w:r w:rsidRPr="009D2FCA">
              <w:rPr>
                <w:rFonts w:ascii="Arial" w:hAnsi="Arial" w:cs="Arial"/>
                <w:b/>
                <w:bCs/>
                <w:sz w:val="22"/>
                <w:szCs w:val="22"/>
                <w:u w:val="single"/>
                <w:lang w:val="en-GB"/>
              </w:rPr>
              <w:t>Proposed amendments</w:t>
            </w:r>
          </w:p>
        </w:tc>
      </w:tr>
      <w:tr w:rsidR="003942C4" w:rsidRPr="00EB77E6" w14:paraId="43667671" w14:textId="77777777" w:rsidTr="007E0DEF">
        <w:trPr>
          <w:gridBefore w:val="1"/>
          <w:wBefore w:w="92" w:type="pct"/>
          <w:cantSplit/>
        </w:trPr>
        <w:tc>
          <w:tcPr>
            <w:tcW w:w="250" w:type="pct"/>
            <w:gridSpan w:val="2"/>
            <w:shd w:val="clear" w:color="auto" w:fill="auto"/>
          </w:tcPr>
          <w:p w14:paraId="09BF441C" w14:textId="77777777" w:rsidR="003942C4" w:rsidRPr="00B36C17" w:rsidRDefault="003942C4" w:rsidP="00196F2F">
            <w:pPr>
              <w:spacing w:before="120" w:after="120"/>
              <w:jc w:val="right"/>
              <w:rPr>
                <w:rFonts w:ascii="Arial" w:hAnsi="Arial" w:cs="Arial"/>
                <w:sz w:val="22"/>
                <w:szCs w:val="22"/>
                <w:lang w:val="en-GB"/>
              </w:rPr>
            </w:pPr>
            <w:r w:rsidRPr="00B36C17">
              <w:rPr>
                <w:rFonts w:ascii="Arial" w:hAnsi="Arial" w:cs="Arial"/>
                <w:b/>
                <w:bCs/>
                <w:sz w:val="22"/>
                <w:szCs w:val="22"/>
                <w:lang w:val="en-GB"/>
              </w:rPr>
              <w:t>V.1</w:t>
            </w:r>
          </w:p>
        </w:tc>
        <w:tc>
          <w:tcPr>
            <w:tcW w:w="2250" w:type="pct"/>
            <w:shd w:val="clear" w:color="auto" w:fill="auto"/>
          </w:tcPr>
          <w:p w14:paraId="09A4AF4E" w14:textId="77777777" w:rsidR="003942C4" w:rsidRPr="00E717A3" w:rsidRDefault="003942C4" w:rsidP="00196F2F">
            <w:pPr>
              <w:spacing w:before="120" w:after="120"/>
              <w:jc w:val="both"/>
              <w:rPr>
                <w:rFonts w:ascii="Arial" w:hAnsi="Arial" w:cs="Arial"/>
                <w:lang w:val="en-GB"/>
              </w:rPr>
            </w:pPr>
            <w:r w:rsidRPr="00E717A3">
              <w:rPr>
                <w:rFonts w:ascii="Arial" w:hAnsi="Arial" w:cs="Arial"/>
                <w:b/>
                <w:bCs/>
                <w:lang w:val="en-GB"/>
              </w:rPr>
              <w:t>Reports by States Parties on the implementation of the Convention</w:t>
            </w:r>
          </w:p>
        </w:tc>
        <w:tc>
          <w:tcPr>
            <w:tcW w:w="250" w:type="pct"/>
          </w:tcPr>
          <w:p w14:paraId="0DE6019B" w14:textId="77777777" w:rsidR="003942C4" w:rsidRPr="00B36C17" w:rsidRDefault="003942C4" w:rsidP="00196F2F">
            <w:pPr>
              <w:spacing w:before="120" w:after="120"/>
              <w:jc w:val="right"/>
              <w:rPr>
                <w:rFonts w:ascii="Arial" w:hAnsi="Arial" w:cs="Arial"/>
                <w:sz w:val="22"/>
                <w:szCs w:val="22"/>
                <w:lang w:val="en-GB"/>
              </w:rPr>
            </w:pPr>
            <w:r w:rsidRPr="00B36C17">
              <w:rPr>
                <w:rFonts w:ascii="Arial" w:hAnsi="Arial" w:cs="Arial"/>
                <w:b/>
                <w:bCs/>
                <w:sz w:val="22"/>
                <w:szCs w:val="22"/>
                <w:lang w:val="en-GB"/>
              </w:rPr>
              <w:t>V.1</w:t>
            </w:r>
          </w:p>
        </w:tc>
        <w:tc>
          <w:tcPr>
            <w:tcW w:w="2250" w:type="pct"/>
          </w:tcPr>
          <w:p w14:paraId="4BD8489C" w14:textId="77777777" w:rsidR="003942C4" w:rsidRPr="00B36C17" w:rsidRDefault="003942C4" w:rsidP="00196F2F">
            <w:pPr>
              <w:spacing w:before="120" w:after="120"/>
              <w:jc w:val="both"/>
              <w:rPr>
                <w:rFonts w:ascii="Arial" w:hAnsi="Arial" w:cs="Arial"/>
                <w:sz w:val="22"/>
                <w:szCs w:val="22"/>
                <w:lang w:val="en-GB"/>
              </w:rPr>
            </w:pPr>
            <w:r w:rsidRPr="00B36C17">
              <w:rPr>
                <w:rFonts w:ascii="Arial" w:hAnsi="Arial" w:cs="Arial"/>
                <w:sz w:val="22"/>
                <w:szCs w:val="22"/>
                <w:lang w:val="en-GB"/>
              </w:rPr>
              <w:t>No change.</w:t>
            </w:r>
          </w:p>
        </w:tc>
      </w:tr>
      <w:tr w:rsidR="00BE4D6B" w:rsidRPr="00EB77E6" w14:paraId="65CEA122" w14:textId="77777777" w:rsidTr="007E0DEF">
        <w:trPr>
          <w:gridBefore w:val="1"/>
          <w:wBefore w:w="92" w:type="pct"/>
          <w:cantSplit/>
        </w:trPr>
        <w:tc>
          <w:tcPr>
            <w:tcW w:w="250" w:type="pct"/>
            <w:gridSpan w:val="2"/>
            <w:shd w:val="clear" w:color="auto" w:fill="auto"/>
          </w:tcPr>
          <w:p w14:paraId="4CDAAADC" w14:textId="77777777" w:rsidR="00BE4D6B" w:rsidRPr="00A1056C" w:rsidRDefault="00BE4D6B" w:rsidP="00BE4D6B">
            <w:pPr>
              <w:spacing w:before="120" w:after="120"/>
              <w:jc w:val="right"/>
              <w:rPr>
                <w:rFonts w:ascii="Arial" w:hAnsi="Arial" w:cs="Arial"/>
                <w:sz w:val="22"/>
                <w:szCs w:val="22"/>
                <w:lang w:val="en-GB"/>
              </w:rPr>
            </w:pPr>
            <w:r>
              <w:rPr>
                <w:rFonts w:ascii="Arial" w:hAnsi="Arial" w:cs="Arial"/>
                <w:sz w:val="22"/>
                <w:szCs w:val="22"/>
                <w:lang w:val="en-GB"/>
              </w:rPr>
              <w:t>151</w:t>
            </w:r>
            <w:r w:rsidRPr="00A1056C">
              <w:rPr>
                <w:rFonts w:ascii="Arial" w:hAnsi="Arial" w:cs="Arial"/>
                <w:sz w:val="22"/>
                <w:szCs w:val="22"/>
                <w:lang w:val="en-GB"/>
              </w:rPr>
              <w:t>.</w:t>
            </w:r>
          </w:p>
        </w:tc>
        <w:tc>
          <w:tcPr>
            <w:tcW w:w="2250" w:type="pct"/>
            <w:shd w:val="clear" w:color="auto" w:fill="auto"/>
          </w:tcPr>
          <w:p w14:paraId="7BD9A3A4" w14:textId="7598EEC8" w:rsidR="00BE4D6B" w:rsidRPr="00710CE9" w:rsidRDefault="00BE4D6B" w:rsidP="00BE4D6B">
            <w:pPr>
              <w:spacing w:before="120" w:after="120"/>
              <w:jc w:val="both"/>
              <w:rPr>
                <w:rFonts w:ascii="Arial" w:hAnsi="Arial" w:cs="Arial"/>
                <w:sz w:val="22"/>
                <w:szCs w:val="22"/>
                <w:lang w:val="en-GB"/>
              </w:rPr>
            </w:pPr>
            <w:r w:rsidRPr="003942C4">
              <w:rPr>
                <w:rFonts w:ascii="Arial" w:hAnsi="Arial" w:cs="Arial"/>
                <w:sz w:val="22"/>
                <w:szCs w:val="22"/>
                <w:lang w:val="en-GB"/>
              </w:rPr>
              <w:t>Each State Party to the Convention periodically submits to the Committee reports on the legislative, regulatory and other measures taken for the implementation of the Convention. States Parties are encouraged to complement the data gathered on the implementation of the Convention with information provided by relevant non-governmental organizations.</w:t>
            </w:r>
          </w:p>
        </w:tc>
        <w:tc>
          <w:tcPr>
            <w:tcW w:w="250" w:type="pct"/>
          </w:tcPr>
          <w:p w14:paraId="6767D618" w14:textId="77777777" w:rsidR="00BE4D6B" w:rsidRPr="00BA4171" w:rsidRDefault="00BE4D6B" w:rsidP="00BE4D6B">
            <w:pPr>
              <w:spacing w:before="120" w:after="120"/>
              <w:jc w:val="right"/>
              <w:rPr>
                <w:rFonts w:ascii="Arial" w:hAnsi="Arial" w:cs="Arial"/>
                <w:sz w:val="22"/>
                <w:szCs w:val="22"/>
                <w:lang w:val="en-GB"/>
              </w:rPr>
            </w:pPr>
            <w:r>
              <w:rPr>
                <w:rFonts w:ascii="Arial" w:hAnsi="Arial" w:cs="Arial"/>
                <w:sz w:val="22"/>
                <w:szCs w:val="22"/>
                <w:lang w:val="en-GB"/>
              </w:rPr>
              <w:t>151</w:t>
            </w:r>
            <w:r w:rsidRPr="00BA4171">
              <w:rPr>
                <w:rFonts w:ascii="Arial" w:hAnsi="Arial" w:cs="Arial"/>
                <w:sz w:val="22"/>
                <w:szCs w:val="22"/>
                <w:lang w:val="en-GB"/>
              </w:rPr>
              <w:t>.</w:t>
            </w:r>
          </w:p>
        </w:tc>
        <w:tc>
          <w:tcPr>
            <w:tcW w:w="2250" w:type="pct"/>
          </w:tcPr>
          <w:p w14:paraId="158D38F4" w14:textId="534E2695" w:rsidR="00BE4D6B" w:rsidRPr="004815DD" w:rsidRDefault="00BE4D6B" w:rsidP="00BE4D6B">
            <w:pPr>
              <w:spacing w:before="120" w:after="120"/>
              <w:ind w:right="175"/>
              <w:jc w:val="both"/>
              <w:rPr>
                <w:rFonts w:ascii="Arial" w:hAnsi="Arial" w:cs="Arial"/>
                <w:sz w:val="22"/>
                <w:szCs w:val="22"/>
                <w:lang w:val="en-US"/>
              </w:rPr>
            </w:pPr>
            <w:r>
              <w:rPr>
                <w:rFonts w:ascii="Arial" w:hAnsi="Arial" w:cs="Arial"/>
                <w:sz w:val="22"/>
                <w:szCs w:val="22"/>
                <w:lang w:val="en-GB"/>
              </w:rPr>
              <w:t>No change.</w:t>
            </w:r>
          </w:p>
        </w:tc>
      </w:tr>
      <w:tr w:rsidR="00BE4D6B" w:rsidRPr="00ED791F" w14:paraId="05700783" w14:textId="77777777" w:rsidTr="007E0DEF">
        <w:trPr>
          <w:gridBefore w:val="1"/>
          <w:wBefore w:w="92" w:type="pct"/>
          <w:cantSplit/>
        </w:trPr>
        <w:tc>
          <w:tcPr>
            <w:tcW w:w="250" w:type="pct"/>
            <w:gridSpan w:val="2"/>
            <w:shd w:val="clear" w:color="auto" w:fill="auto"/>
          </w:tcPr>
          <w:p w14:paraId="430893E8" w14:textId="77777777" w:rsidR="00BE4D6B" w:rsidRPr="00A1056C" w:rsidRDefault="00BE4D6B" w:rsidP="00BE4D6B">
            <w:pPr>
              <w:spacing w:before="120" w:after="120"/>
              <w:jc w:val="right"/>
              <w:rPr>
                <w:rFonts w:ascii="Arial" w:hAnsi="Arial" w:cs="Arial"/>
                <w:sz w:val="22"/>
                <w:szCs w:val="22"/>
                <w:lang w:val="en-GB"/>
              </w:rPr>
            </w:pPr>
            <w:r>
              <w:rPr>
                <w:rFonts w:ascii="Arial" w:hAnsi="Arial" w:cs="Arial"/>
                <w:sz w:val="22"/>
                <w:szCs w:val="22"/>
                <w:lang w:val="en-GB"/>
              </w:rPr>
              <w:t>152</w:t>
            </w:r>
            <w:r w:rsidRPr="00A1056C">
              <w:rPr>
                <w:rFonts w:ascii="Arial" w:hAnsi="Arial" w:cs="Arial"/>
                <w:sz w:val="22"/>
                <w:szCs w:val="22"/>
                <w:lang w:val="en-GB"/>
              </w:rPr>
              <w:t>.</w:t>
            </w:r>
          </w:p>
        </w:tc>
        <w:tc>
          <w:tcPr>
            <w:tcW w:w="2250" w:type="pct"/>
            <w:shd w:val="clear" w:color="auto" w:fill="auto"/>
          </w:tcPr>
          <w:p w14:paraId="3B1EFD1B" w14:textId="2BF9D44D" w:rsidR="00BE4D6B" w:rsidRPr="00E336A1" w:rsidRDefault="00BE4D6B" w:rsidP="00F96432">
            <w:pPr>
              <w:spacing w:before="120" w:after="120"/>
              <w:jc w:val="both"/>
              <w:rPr>
                <w:rFonts w:ascii="Arial" w:hAnsi="Arial" w:cs="Arial"/>
                <w:color w:val="000000"/>
                <w:sz w:val="22"/>
                <w:szCs w:val="22"/>
                <w:lang w:val="en-GB"/>
              </w:rPr>
            </w:pPr>
            <w:r w:rsidRPr="003942C4">
              <w:rPr>
                <w:rFonts w:ascii="Arial" w:hAnsi="Arial" w:cs="Arial"/>
                <w:color w:val="000000"/>
                <w:sz w:val="22"/>
                <w:szCs w:val="22"/>
                <w:lang w:val="en-GB"/>
              </w:rPr>
              <w:t xml:space="preserve">The State Party submits its periodic report to the Committee by 15 December of the sixth year following the year in which it deposited its instrument of ratification, acceptance or approval, and every sixth year thereafter. Form ICH-10 </w:t>
            </w:r>
            <w:proofErr w:type="gramStart"/>
            <w:r w:rsidRPr="003942C4">
              <w:rPr>
                <w:rFonts w:ascii="Arial" w:hAnsi="Arial" w:cs="Arial"/>
                <w:color w:val="000000"/>
                <w:sz w:val="22"/>
                <w:szCs w:val="22"/>
                <w:lang w:val="en-GB"/>
              </w:rPr>
              <w:t>is used</w:t>
            </w:r>
            <w:proofErr w:type="gramEnd"/>
            <w:r w:rsidRPr="003942C4">
              <w:rPr>
                <w:rFonts w:ascii="Arial" w:hAnsi="Arial" w:cs="Arial"/>
                <w:color w:val="000000"/>
                <w:sz w:val="22"/>
                <w:szCs w:val="22"/>
                <w:lang w:val="en-GB"/>
              </w:rPr>
              <w:t xml:space="preserve"> for such reports, available at </w:t>
            </w:r>
            <w:hyperlink r:id="rId16" w:history="1">
              <w:r w:rsidR="00F96432" w:rsidRPr="00FB2BF4">
                <w:rPr>
                  <w:rStyle w:val="Hyperlink"/>
                  <w:rFonts w:ascii="Arial" w:hAnsi="Arial" w:cs="Arial"/>
                  <w:sz w:val="22"/>
                  <w:szCs w:val="22"/>
                  <w:lang w:val="en-GB"/>
                </w:rPr>
                <w:t>www.unesco.org/culture/ich</w:t>
              </w:r>
            </w:hyperlink>
            <w:r w:rsidR="00F96432">
              <w:rPr>
                <w:rFonts w:ascii="Arial" w:hAnsi="Arial" w:cs="Arial"/>
                <w:color w:val="000000"/>
                <w:sz w:val="22"/>
                <w:szCs w:val="22"/>
                <w:lang w:val="en-GB"/>
              </w:rPr>
              <w:t xml:space="preserve"> </w:t>
            </w:r>
            <w:r w:rsidRPr="003942C4">
              <w:rPr>
                <w:rFonts w:ascii="Arial" w:hAnsi="Arial" w:cs="Arial"/>
                <w:color w:val="000000"/>
                <w:sz w:val="22"/>
                <w:szCs w:val="22"/>
                <w:lang w:val="en-GB"/>
              </w:rPr>
              <w:t>or on request from the Secretariat. The reports shall include only the information requested in the form.</w:t>
            </w:r>
          </w:p>
        </w:tc>
        <w:tc>
          <w:tcPr>
            <w:tcW w:w="250" w:type="pct"/>
          </w:tcPr>
          <w:p w14:paraId="2EE0B5C6" w14:textId="77777777" w:rsidR="00BE4D6B" w:rsidRPr="00DB7B2C" w:rsidRDefault="00BE4D6B" w:rsidP="00BE4D6B">
            <w:pPr>
              <w:spacing w:before="120" w:after="120"/>
              <w:jc w:val="right"/>
              <w:rPr>
                <w:rFonts w:ascii="Arial" w:hAnsi="Arial" w:cs="Arial"/>
                <w:sz w:val="22"/>
                <w:szCs w:val="22"/>
                <w:lang w:val="en-GB"/>
              </w:rPr>
            </w:pPr>
            <w:r w:rsidRPr="00DB7B2C">
              <w:rPr>
                <w:rFonts w:ascii="Arial" w:hAnsi="Arial" w:cs="Arial"/>
                <w:sz w:val="22"/>
                <w:szCs w:val="22"/>
                <w:lang w:val="en-GB"/>
              </w:rPr>
              <w:t>152.</w:t>
            </w:r>
          </w:p>
        </w:tc>
        <w:tc>
          <w:tcPr>
            <w:tcW w:w="2250" w:type="pct"/>
          </w:tcPr>
          <w:p w14:paraId="7DAA32E9" w14:textId="41032092" w:rsidR="00BE4D6B" w:rsidRPr="006865E2" w:rsidRDefault="0069105E" w:rsidP="0069105E">
            <w:pPr>
              <w:spacing w:before="120" w:after="120"/>
              <w:jc w:val="both"/>
              <w:rPr>
                <w:rFonts w:ascii="Arial" w:hAnsi="Arial" w:cs="Arial"/>
                <w:strike/>
                <w:color w:val="000000"/>
                <w:sz w:val="22"/>
                <w:szCs w:val="22"/>
                <w:lang w:val="en-GB"/>
              </w:rPr>
            </w:pPr>
            <w:r w:rsidRPr="00C12E01">
              <w:rPr>
                <w:rFonts w:ascii="Arial" w:hAnsi="Arial" w:cs="Arial"/>
                <w:strike/>
                <w:color w:val="000000"/>
                <w:sz w:val="22"/>
                <w:szCs w:val="22"/>
                <w:lang w:val="en-GB"/>
              </w:rPr>
              <w:t xml:space="preserve">The State Party submits its periodic report </w:t>
            </w:r>
            <w:r w:rsidRPr="0069105E">
              <w:rPr>
                <w:rFonts w:ascii="Arial" w:hAnsi="Arial" w:cs="Arial"/>
                <w:b/>
                <w:color w:val="000000"/>
                <w:sz w:val="22"/>
                <w:szCs w:val="22"/>
                <w:u w:val="single"/>
                <w:lang w:val="en-GB"/>
              </w:rPr>
              <w:t xml:space="preserve">States Parties submit </w:t>
            </w:r>
            <w:r w:rsidRPr="006865E2">
              <w:rPr>
                <w:rFonts w:ascii="Arial" w:hAnsi="Arial" w:cs="Arial"/>
                <w:b/>
                <w:color w:val="000000"/>
                <w:sz w:val="22"/>
                <w:szCs w:val="22"/>
                <w:u w:val="single"/>
                <w:lang w:val="en-GB"/>
              </w:rPr>
              <w:t xml:space="preserve">their </w:t>
            </w:r>
            <w:r w:rsidR="006865E2" w:rsidRPr="006865E2">
              <w:rPr>
                <w:rFonts w:ascii="Arial" w:hAnsi="Arial" w:cs="Arial"/>
                <w:b/>
                <w:color w:val="000000"/>
                <w:sz w:val="22"/>
                <w:szCs w:val="22"/>
                <w:u w:val="single"/>
                <w:lang w:val="en-GB"/>
              </w:rPr>
              <w:t xml:space="preserve">national </w:t>
            </w:r>
            <w:r w:rsidRPr="006865E2">
              <w:rPr>
                <w:rFonts w:ascii="Arial" w:hAnsi="Arial" w:cs="Arial"/>
                <w:b/>
                <w:color w:val="000000"/>
                <w:sz w:val="22"/>
                <w:szCs w:val="22"/>
                <w:u w:val="single"/>
                <w:lang w:val="en-GB"/>
              </w:rPr>
              <w:t>periodic report</w:t>
            </w:r>
            <w:r w:rsidR="006865E2" w:rsidRPr="006865E2">
              <w:rPr>
                <w:rFonts w:ascii="Arial" w:hAnsi="Arial" w:cs="Arial"/>
                <w:b/>
                <w:color w:val="000000"/>
                <w:sz w:val="22"/>
                <w:szCs w:val="22"/>
                <w:u w:val="single"/>
                <w:lang w:val="en-GB"/>
              </w:rPr>
              <w:t>s</w:t>
            </w:r>
            <w:r w:rsidRPr="003942C4">
              <w:rPr>
                <w:rFonts w:ascii="Arial" w:hAnsi="Arial" w:cs="Arial"/>
                <w:color w:val="000000"/>
                <w:sz w:val="22"/>
                <w:szCs w:val="22"/>
                <w:lang w:val="en-GB"/>
              </w:rPr>
              <w:t xml:space="preserve"> to the Committee by 15 December </w:t>
            </w:r>
            <w:r w:rsidRPr="0069105E">
              <w:rPr>
                <w:rFonts w:ascii="Arial" w:hAnsi="Arial" w:cs="Arial"/>
                <w:b/>
                <w:color w:val="000000"/>
                <w:sz w:val="22"/>
                <w:szCs w:val="22"/>
                <w:u w:val="single"/>
                <w:lang w:val="en-GB"/>
              </w:rPr>
              <w:t>ever</w:t>
            </w:r>
            <w:r>
              <w:rPr>
                <w:rFonts w:ascii="Arial" w:hAnsi="Arial" w:cs="Arial"/>
                <w:b/>
                <w:color w:val="000000"/>
                <w:sz w:val="22"/>
                <w:szCs w:val="22"/>
                <w:u w:val="single"/>
                <w:lang w:val="en-GB"/>
              </w:rPr>
              <w:t xml:space="preserve">y six years </w:t>
            </w:r>
            <w:proofErr w:type="gramStart"/>
            <w:r w:rsidR="006865E2">
              <w:rPr>
                <w:rFonts w:ascii="Arial" w:hAnsi="Arial" w:cs="Arial"/>
                <w:b/>
                <w:color w:val="000000"/>
                <w:sz w:val="22"/>
                <w:szCs w:val="22"/>
                <w:u w:val="single"/>
                <w:lang w:val="en-GB"/>
              </w:rPr>
              <w:t>on the basis of</w:t>
            </w:r>
            <w:proofErr w:type="gramEnd"/>
            <w:r w:rsidR="006865E2">
              <w:rPr>
                <w:rFonts w:ascii="Arial" w:hAnsi="Arial" w:cs="Arial"/>
                <w:b/>
                <w:color w:val="000000"/>
                <w:sz w:val="22"/>
                <w:szCs w:val="22"/>
                <w:u w:val="single"/>
                <w:lang w:val="en-GB"/>
              </w:rPr>
              <w:t xml:space="preserve"> a rotation region by region</w:t>
            </w:r>
            <w:r>
              <w:rPr>
                <w:rFonts w:ascii="Arial" w:hAnsi="Arial" w:cs="Arial"/>
                <w:b/>
                <w:color w:val="000000"/>
                <w:sz w:val="22"/>
                <w:szCs w:val="22"/>
                <w:u w:val="single"/>
                <w:lang w:val="en-GB"/>
              </w:rPr>
              <w:t>. T</w:t>
            </w:r>
            <w:r w:rsidRPr="00C12E01">
              <w:rPr>
                <w:rFonts w:ascii="Arial" w:hAnsi="Arial" w:cs="Arial"/>
                <w:b/>
                <w:color w:val="000000"/>
                <w:sz w:val="22"/>
                <w:szCs w:val="22"/>
                <w:u w:val="single"/>
                <w:lang w:val="en-GB"/>
              </w:rPr>
              <w:t xml:space="preserve">he </w:t>
            </w:r>
            <w:proofErr w:type="gramStart"/>
            <w:r w:rsidRPr="00C12E01">
              <w:rPr>
                <w:rFonts w:ascii="Arial" w:hAnsi="Arial" w:cs="Arial"/>
                <w:b/>
                <w:color w:val="000000"/>
                <w:sz w:val="22"/>
                <w:szCs w:val="22"/>
                <w:u w:val="single"/>
                <w:lang w:val="en-GB"/>
              </w:rPr>
              <w:t xml:space="preserve">order of </w:t>
            </w:r>
            <w:r w:rsidR="006865E2">
              <w:rPr>
                <w:rFonts w:ascii="Arial" w:hAnsi="Arial" w:cs="Arial"/>
                <w:b/>
                <w:color w:val="000000"/>
                <w:sz w:val="22"/>
                <w:szCs w:val="22"/>
                <w:u w:val="single"/>
                <w:lang w:val="en-GB"/>
              </w:rPr>
              <w:t xml:space="preserve">such </w:t>
            </w:r>
            <w:r w:rsidRPr="00C12E01">
              <w:rPr>
                <w:rFonts w:ascii="Arial" w:hAnsi="Arial" w:cs="Arial"/>
                <w:b/>
                <w:color w:val="000000"/>
                <w:sz w:val="22"/>
                <w:szCs w:val="22"/>
                <w:u w:val="single"/>
                <w:lang w:val="en-GB"/>
              </w:rPr>
              <w:t>rotation is established by the Committee</w:t>
            </w:r>
            <w:proofErr w:type="gramEnd"/>
            <w:r>
              <w:rPr>
                <w:rFonts w:ascii="Arial" w:hAnsi="Arial" w:cs="Arial"/>
                <w:b/>
                <w:color w:val="000000"/>
                <w:sz w:val="22"/>
                <w:szCs w:val="22"/>
                <w:u w:val="single"/>
                <w:lang w:val="en-GB"/>
              </w:rPr>
              <w:t xml:space="preserve"> at the beginning of the six-year p</w:t>
            </w:r>
            <w:r w:rsidRPr="00C12E01">
              <w:rPr>
                <w:rFonts w:ascii="Arial" w:hAnsi="Arial" w:cs="Arial"/>
                <w:b/>
                <w:color w:val="000000"/>
                <w:sz w:val="22"/>
                <w:szCs w:val="22"/>
                <w:u w:val="single"/>
                <w:lang w:val="en-GB"/>
              </w:rPr>
              <w:t xml:space="preserve">eriodic </w:t>
            </w:r>
            <w:r>
              <w:rPr>
                <w:rFonts w:ascii="Arial" w:hAnsi="Arial" w:cs="Arial"/>
                <w:b/>
                <w:color w:val="000000"/>
                <w:sz w:val="22"/>
                <w:szCs w:val="22"/>
                <w:u w:val="single"/>
                <w:lang w:val="en-GB"/>
              </w:rPr>
              <w:t>r</w:t>
            </w:r>
            <w:r w:rsidRPr="00C12E01">
              <w:rPr>
                <w:rFonts w:ascii="Arial" w:hAnsi="Arial" w:cs="Arial"/>
                <w:b/>
                <w:color w:val="000000"/>
                <w:sz w:val="22"/>
                <w:szCs w:val="22"/>
                <w:u w:val="single"/>
                <w:lang w:val="en-GB"/>
              </w:rPr>
              <w:t>eporting cycle</w:t>
            </w:r>
            <w:r>
              <w:rPr>
                <w:rFonts w:ascii="Arial" w:hAnsi="Arial" w:cs="Arial"/>
                <w:b/>
                <w:color w:val="000000"/>
                <w:sz w:val="22"/>
                <w:szCs w:val="22"/>
                <w:u w:val="single"/>
                <w:lang w:val="en-GB"/>
              </w:rPr>
              <w:t>.</w:t>
            </w:r>
            <w:r w:rsidRPr="0069105E">
              <w:rPr>
                <w:rFonts w:ascii="Arial" w:hAnsi="Arial" w:cs="Arial"/>
                <w:strike/>
                <w:color w:val="000000"/>
                <w:sz w:val="22"/>
                <w:szCs w:val="22"/>
                <w:lang w:val="en-GB"/>
              </w:rPr>
              <w:t xml:space="preserve"> </w:t>
            </w:r>
            <w:proofErr w:type="gramStart"/>
            <w:r w:rsidRPr="0069105E">
              <w:rPr>
                <w:rFonts w:ascii="Arial" w:hAnsi="Arial" w:cs="Arial"/>
                <w:strike/>
                <w:color w:val="000000"/>
                <w:sz w:val="22"/>
                <w:szCs w:val="22"/>
                <w:lang w:val="en-GB"/>
              </w:rPr>
              <w:t>of</w:t>
            </w:r>
            <w:proofErr w:type="gramEnd"/>
            <w:r w:rsidRPr="0069105E">
              <w:rPr>
                <w:rFonts w:ascii="Arial" w:hAnsi="Arial" w:cs="Arial"/>
                <w:strike/>
                <w:color w:val="000000"/>
                <w:sz w:val="22"/>
                <w:szCs w:val="22"/>
                <w:lang w:val="en-GB"/>
              </w:rPr>
              <w:t xml:space="preserve"> the sixth year following the year in which it deposited its instrument of ratification, acceptance or approval, and every sixth year thereafter</w:t>
            </w:r>
            <w:r w:rsidRPr="003942C4">
              <w:rPr>
                <w:rFonts w:ascii="Arial" w:hAnsi="Arial" w:cs="Arial"/>
                <w:color w:val="000000"/>
                <w:sz w:val="22"/>
                <w:szCs w:val="22"/>
                <w:lang w:val="en-GB"/>
              </w:rPr>
              <w:t>.</w:t>
            </w:r>
            <w:r w:rsidR="006865E2">
              <w:rPr>
                <w:rFonts w:ascii="Arial" w:hAnsi="Arial" w:cs="Arial"/>
                <w:strike/>
                <w:color w:val="000000"/>
                <w:sz w:val="22"/>
                <w:szCs w:val="22"/>
                <w:lang w:val="en-GB"/>
              </w:rPr>
              <w:t xml:space="preserve"> </w:t>
            </w:r>
            <w:r w:rsidR="000A2E3E" w:rsidRPr="00AC76DD">
              <w:rPr>
                <w:rFonts w:ascii="Arial" w:hAnsi="Arial" w:cs="Arial"/>
                <w:b/>
                <w:sz w:val="22"/>
                <w:szCs w:val="22"/>
                <w:u w:val="single"/>
                <w:lang w:val="en-GB"/>
              </w:rPr>
              <w:t xml:space="preserve">States Parties </w:t>
            </w:r>
            <w:r w:rsidR="000A2E3E" w:rsidRPr="000A2E3E">
              <w:rPr>
                <w:rFonts w:ascii="Arial" w:hAnsi="Arial" w:cs="Arial"/>
                <w:b/>
                <w:sz w:val="22"/>
                <w:szCs w:val="22"/>
                <w:u w:val="single"/>
                <w:lang w:val="en-GB"/>
              </w:rPr>
              <w:t xml:space="preserve">use the periodic reporting process </w:t>
            </w:r>
            <w:r w:rsidR="00112A4A">
              <w:rPr>
                <w:rFonts w:ascii="Arial" w:hAnsi="Arial" w:cs="Arial"/>
                <w:b/>
                <w:sz w:val="22"/>
                <w:szCs w:val="22"/>
                <w:u w:val="single"/>
                <w:lang w:val="en-GB"/>
              </w:rPr>
              <w:t xml:space="preserve">to enhance active </w:t>
            </w:r>
            <w:r w:rsidR="000A2E3E" w:rsidRPr="000A2E3E">
              <w:rPr>
                <w:rFonts w:ascii="Arial" w:hAnsi="Arial" w:cs="Arial"/>
                <w:b/>
                <w:sz w:val="22"/>
                <w:szCs w:val="22"/>
                <w:u w:val="single"/>
                <w:lang w:val="en-GB"/>
              </w:rPr>
              <w:t>regional exchange and cooperation.</w:t>
            </w:r>
            <w:r w:rsidR="000A2E3E" w:rsidRPr="000A2E3E">
              <w:rPr>
                <w:rFonts w:ascii="Arial" w:hAnsi="Arial" w:cs="Arial"/>
                <w:strike/>
                <w:color w:val="000000"/>
                <w:sz w:val="22"/>
                <w:szCs w:val="22"/>
                <w:lang w:val="en-GB"/>
              </w:rPr>
              <w:t xml:space="preserve"> </w:t>
            </w:r>
            <w:r w:rsidR="00BE4D6B" w:rsidRPr="000A2E3E">
              <w:rPr>
                <w:rFonts w:ascii="Arial" w:hAnsi="Arial" w:cs="Arial"/>
                <w:color w:val="000000"/>
                <w:sz w:val="22"/>
                <w:szCs w:val="22"/>
                <w:lang w:val="en-GB"/>
              </w:rPr>
              <w:t>Form ICH-1</w:t>
            </w:r>
            <w:r w:rsidR="000A2E3E">
              <w:rPr>
                <w:rFonts w:ascii="Arial" w:hAnsi="Arial" w:cs="Arial"/>
                <w:color w:val="000000"/>
                <w:sz w:val="22"/>
                <w:szCs w:val="22"/>
                <w:lang w:val="en-GB"/>
              </w:rPr>
              <w:t>0</w:t>
            </w:r>
            <w:r w:rsidR="000A2E3E" w:rsidRPr="000A2E3E">
              <w:rPr>
                <w:rFonts w:ascii="Arial" w:hAnsi="Arial" w:cs="Arial"/>
                <w:strike/>
                <w:color w:val="000000"/>
                <w:sz w:val="22"/>
                <w:szCs w:val="22"/>
                <w:lang w:val="en-GB"/>
              </w:rPr>
              <w:t xml:space="preserve">is used for such reports, available at </w:t>
            </w:r>
            <w:hyperlink r:id="rId17" w:history="1">
              <w:r w:rsidR="000A2E3E" w:rsidRPr="000A2E3E">
                <w:rPr>
                  <w:rStyle w:val="Hyperlink"/>
                  <w:rFonts w:ascii="Arial" w:hAnsi="Arial" w:cs="Arial"/>
                  <w:strike/>
                  <w:sz w:val="22"/>
                  <w:szCs w:val="22"/>
                  <w:lang w:val="en-GB"/>
                </w:rPr>
                <w:t>www.unesco.org/culture/ich</w:t>
              </w:r>
            </w:hyperlink>
            <w:r w:rsidR="000A2E3E" w:rsidRPr="000A2E3E">
              <w:rPr>
                <w:rFonts w:ascii="Arial" w:hAnsi="Arial" w:cs="Arial"/>
                <w:strike/>
                <w:color w:val="000000"/>
                <w:sz w:val="22"/>
                <w:szCs w:val="22"/>
                <w:lang w:val="en-GB"/>
              </w:rPr>
              <w:t xml:space="preserve"> or on request from the Secretariat. The reports shall include only the information requested in the form.</w:t>
            </w:r>
            <w:r w:rsidR="000A2E3E">
              <w:rPr>
                <w:rFonts w:ascii="Arial" w:hAnsi="Arial" w:cs="Arial"/>
                <w:color w:val="000000"/>
                <w:sz w:val="22"/>
                <w:szCs w:val="22"/>
                <w:lang w:val="en-GB"/>
              </w:rPr>
              <w:t xml:space="preserve"> </w:t>
            </w:r>
            <w:proofErr w:type="gramStart"/>
            <w:r w:rsidR="00284E34" w:rsidRPr="000A2E3E">
              <w:rPr>
                <w:rFonts w:ascii="Arial" w:hAnsi="Arial" w:cs="Arial"/>
                <w:b/>
                <w:color w:val="000000"/>
                <w:sz w:val="22"/>
                <w:szCs w:val="22"/>
                <w:u w:val="single"/>
                <w:lang w:val="en-GB"/>
              </w:rPr>
              <w:t>has</w:t>
            </w:r>
            <w:proofErr w:type="gramEnd"/>
            <w:r w:rsidR="00284E34" w:rsidRPr="000A2E3E">
              <w:rPr>
                <w:rFonts w:ascii="Arial" w:hAnsi="Arial" w:cs="Arial"/>
                <w:b/>
                <w:color w:val="000000"/>
                <w:sz w:val="22"/>
                <w:szCs w:val="22"/>
                <w:u w:val="single"/>
                <w:lang w:val="en-GB"/>
              </w:rPr>
              <w:t xml:space="preserve"> to be completed </w:t>
            </w:r>
            <w:r w:rsidR="00AC76DD" w:rsidRPr="000A2E3E">
              <w:rPr>
                <w:rFonts w:ascii="Arial" w:hAnsi="Arial" w:cs="Arial"/>
                <w:b/>
                <w:color w:val="000000"/>
                <w:sz w:val="22"/>
                <w:szCs w:val="22"/>
                <w:u w:val="single"/>
                <w:lang w:val="en-GB"/>
              </w:rPr>
              <w:t xml:space="preserve">online by each State Party </w:t>
            </w:r>
            <w:r w:rsidR="00284E34" w:rsidRPr="000A2E3E">
              <w:rPr>
                <w:rFonts w:ascii="Arial" w:hAnsi="Arial" w:cs="Arial"/>
                <w:b/>
                <w:color w:val="000000"/>
                <w:sz w:val="22"/>
                <w:szCs w:val="22"/>
                <w:u w:val="single"/>
                <w:lang w:val="en-GB"/>
              </w:rPr>
              <w:t>(</w:t>
            </w:r>
            <w:hyperlink r:id="rId18" w:history="1">
              <w:r w:rsidR="00AC76DD" w:rsidRPr="000A2E3E">
                <w:rPr>
                  <w:rStyle w:val="Hyperlink"/>
                  <w:rFonts w:ascii="Arial" w:hAnsi="Arial" w:cs="Arial"/>
                  <w:b/>
                  <w:sz w:val="22"/>
                  <w:szCs w:val="22"/>
                  <w:lang w:val="en-GB"/>
                </w:rPr>
                <w:t>https://ich.unesco.org/</w:t>
              </w:r>
            </w:hyperlink>
            <w:r w:rsidR="000A2E3E">
              <w:rPr>
                <w:rFonts w:ascii="Arial" w:hAnsi="Arial" w:cs="Arial"/>
                <w:b/>
                <w:color w:val="000000"/>
                <w:sz w:val="22"/>
                <w:szCs w:val="22"/>
                <w:u w:val="single"/>
                <w:lang w:val="en-GB"/>
              </w:rPr>
              <w:t>) and</w:t>
            </w:r>
            <w:r w:rsidR="002B69B1" w:rsidRPr="000A2E3E">
              <w:rPr>
                <w:rFonts w:ascii="Arial" w:hAnsi="Arial" w:cs="Arial"/>
                <w:b/>
                <w:color w:val="000000"/>
                <w:sz w:val="22"/>
                <w:szCs w:val="22"/>
                <w:u w:val="single"/>
                <w:lang w:val="en-GB"/>
              </w:rPr>
              <w:t xml:space="preserve"> is </w:t>
            </w:r>
            <w:r w:rsidR="00AC76DD" w:rsidRPr="000A2E3E">
              <w:rPr>
                <w:rFonts w:ascii="Arial" w:hAnsi="Arial" w:cs="Arial"/>
                <w:b/>
                <w:color w:val="000000"/>
                <w:sz w:val="22"/>
                <w:szCs w:val="22"/>
                <w:u w:val="single"/>
                <w:lang w:val="en-GB"/>
              </w:rPr>
              <w:t>revised at appropriate intervals</w:t>
            </w:r>
            <w:r w:rsidR="000A2E3E">
              <w:rPr>
                <w:rFonts w:ascii="Arial" w:hAnsi="Arial" w:cs="Arial"/>
                <w:b/>
                <w:color w:val="000000"/>
                <w:sz w:val="22"/>
                <w:szCs w:val="22"/>
                <w:u w:val="single"/>
                <w:lang w:val="en-GB"/>
              </w:rPr>
              <w:t xml:space="preserve"> </w:t>
            </w:r>
            <w:r w:rsidR="000A2E3E" w:rsidRPr="000A2E3E">
              <w:rPr>
                <w:rFonts w:ascii="Arial" w:hAnsi="Arial" w:cs="Arial"/>
                <w:b/>
                <w:color w:val="000000"/>
                <w:sz w:val="22"/>
                <w:szCs w:val="22"/>
                <w:u w:val="single"/>
                <w:lang w:val="en-GB"/>
              </w:rPr>
              <w:t>by the Secretariat</w:t>
            </w:r>
            <w:r w:rsidR="00BE4D6B" w:rsidRPr="000A2E3E">
              <w:rPr>
                <w:rFonts w:ascii="Arial" w:hAnsi="Arial" w:cs="Arial"/>
                <w:b/>
                <w:color w:val="000000"/>
                <w:sz w:val="22"/>
                <w:szCs w:val="22"/>
                <w:u w:val="single"/>
                <w:lang w:val="en-GB"/>
              </w:rPr>
              <w:t>.</w:t>
            </w:r>
          </w:p>
        </w:tc>
      </w:tr>
      <w:tr w:rsidR="003942C4" w:rsidRPr="00EB77E6" w14:paraId="52681E51" w14:textId="77777777" w:rsidTr="007E0DEF">
        <w:trPr>
          <w:cantSplit/>
        </w:trPr>
        <w:tc>
          <w:tcPr>
            <w:tcW w:w="250" w:type="pct"/>
            <w:gridSpan w:val="2"/>
            <w:shd w:val="clear" w:color="auto" w:fill="auto"/>
          </w:tcPr>
          <w:p w14:paraId="35DCF19A" w14:textId="77777777" w:rsidR="003942C4" w:rsidRPr="00A1056C" w:rsidRDefault="003942C4" w:rsidP="00196F2F">
            <w:pPr>
              <w:spacing w:before="120" w:after="120"/>
              <w:jc w:val="right"/>
              <w:rPr>
                <w:rFonts w:ascii="Arial" w:hAnsi="Arial" w:cs="Arial"/>
                <w:sz w:val="22"/>
                <w:szCs w:val="22"/>
                <w:lang w:val="en-GB"/>
              </w:rPr>
            </w:pPr>
            <w:r>
              <w:rPr>
                <w:rFonts w:ascii="Arial" w:hAnsi="Arial" w:cs="Arial"/>
                <w:sz w:val="22"/>
                <w:szCs w:val="22"/>
                <w:lang w:val="en-GB"/>
              </w:rPr>
              <w:lastRenderedPageBreak/>
              <w:t>153</w:t>
            </w:r>
            <w:r w:rsidRPr="00A1056C">
              <w:rPr>
                <w:rFonts w:ascii="Arial" w:hAnsi="Arial" w:cs="Arial"/>
                <w:sz w:val="22"/>
                <w:szCs w:val="22"/>
                <w:lang w:val="en-GB"/>
              </w:rPr>
              <w:t>.</w:t>
            </w:r>
          </w:p>
        </w:tc>
        <w:tc>
          <w:tcPr>
            <w:tcW w:w="2250" w:type="pct"/>
            <w:gridSpan w:val="2"/>
            <w:shd w:val="clear" w:color="auto" w:fill="auto"/>
          </w:tcPr>
          <w:p w14:paraId="782D5F95" w14:textId="7EA2CA52" w:rsidR="003942C4" w:rsidRDefault="006610D9" w:rsidP="00196F2F">
            <w:pPr>
              <w:spacing w:before="120" w:after="120"/>
              <w:jc w:val="both"/>
              <w:rPr>
                <w:rFonts w:ascii="Arial" w:hAnsi="Arial" w:cs="Arial"/>
                <w:color w:val="000000"/>
                <w:sz w:val="22"/>
                <w:szCs w:val="22"/>
                <w:lang w:val="en-GB"/>
              </w:rPr>
            </w:pPr>
            <w:r w:rsidRPr="006610D9">
              <w:rPr>
                <w:rFonts w:ascii="Arial" w:hAnsi="Arial" w:cs="Arial"/>
                <w:color w:val="000000"/>
                <w:sz w:val="22"/>
                <w:szCs w:val="22"/>
                <w:lang w:val="en-GB"/>
              </w:rPr>
              <w:t>The State Party reports on the legislative, regulatory and other measures taken for implementation of the Convention at the national level, including:</w:t>
            </w:r>
          </w:p>
          <w:p w14:paraId="7FB8D1A2" w14:textId="77777777" w:rsidR="003942C4" w:rsidRPr="008D7946" w:rsidRDefault="003942C4" w:rsidP="006610D9">
            <w:pPr>
              <w:pStyle w:val="U1"/>
              <w:widowControl/>
              <w:numPr>
                <w:ilvl w:val="0"/>
                <w:numId w:val="7"/>
              </w:numPr>
              <w:tabs>
                <w:tab w:val="clear" w:pos="1701"/>
              </w:tabs>
              <w:ind w:left="656" w:hanging="656"/>
              <w:jc w:val="both"/>
              <w:rPr>
                <w:lang w:val="en-GB"/>
              </w:rPr>
            </w:pPr>
            <w:r w:rsidRPr="008D7946">
              <w:rPr>
                <w:lang w:val="en-GB"/>
              </w:rPr>
              <w:t>drawing up of inventories of the intangible cultural heritage present in its territory, as described in Articles 11 and 12 of the Convention;</w:t>
            </w:r>
          </w:p>
          <w:p w14:paraId="704F3374" w14:textId="77777777" w:rsidR="003942C4" w:rsidRPr="008D7946" w:rsidRDefault="003942C4" w:rsidP="006610D9">
            <w:pPr>
              <w:pStyle w:val="U1"/>
              <w:widowControl/>
              <w:numPr>
                <w:ilvl w:val="0"/>
                <w:numId w:val="7"/>
              </w:numPr>
              <w:tabs>
                <w:tab w:val="clear" w:pos="1701"/>
              </w:tabs>
              <w:ind w:left="656" w:hanging="656"/>
              <w:jc w:val="both"/>
              <w:rPr>
                <w:lang w:val="en-GB"/>
              </w:rPr>
            </w:pPr>
            <w:r w:rsidRPr="008D7946">
              <w:rPr>
                <w:lang w:val="en-GB"/>
              </w:rPr>
              <w:t>other safeguarding measures as referred to in Articles 11 and 13 of the Convention, including:</w:t>
            </w:r>
          </w:p>
          <w:p w14:paraId="2975CFDE" w14:textId="24E70CC9" w:rsidR="003942C4" w:rsidRPr="00F3280F" w:rsidRDefault="006610D9" w:rsidP="006610D9">
            <w:pPr>
              <w:pStyle w:val="i"/>
              <w:numPr>
                <w:ilvl w:val="0"/>
                <w:numId w:val="9"/>
              </w:numPr>
              <w:tabs>
                <w:tab w:val="left" w:pos="1223"/>
              </w:tabs>
              <w:ind w:left="1223" w:hanging="567"/>
              <w:rPr>
                <w:w w:val="100"/>
              </w:rPr>
            </w:pPr>
            <w:r w:rsidRPr="006610D9">
              <w:rPr>
                <w:w w:val="100"/>
                <w:lang w:val="en-GB"/>
              </w:rPr>
              <w:t>adopting a general policy aimed at promoting the function of intangible cultural heritage in society and integrating its safeguarding into planning programmes;</w:t>
            </w:r>
          </w:p>
          <w:p w14:paraId="27B452B0" w14:textId="77777777" w:rsidR="003942C4" w:rsidRPr="00F3280F" w:rsidRDefault="003942C4" w:rsidP="006610D9">
            <w:pPr>
              <w:pStyle w:val="i"/>
              <w:numPr>
                <w:ilvl w:val="0"/>
                <w:numId w:val="9"/>
              </w:numPr>
              <w:tabs>
                <w:tab w:val="left" w:pos="1223"/>
              </w:tabs>
              <w:ind w:left="1223" w:hanging="567"/>
              <w:rPr>
                <w:w w:val="100"/>
              </w:rPr>
            </w:pPr>
            <w:r w:rsidRPr="00F3280F">
              <w:rPr>
                <w:w w:val="100"/>
              </w:rPr>
              <w:t>fostering scientific, technical and artistic studies with a view to effective safeguarding;</w:t>
            </w:r>
          </w:p>
          <w:p w14:paraId="4BD4F803" w14:textId="77777777" w:rsidR="003942C4" w:rsidRPr="00F3280F" w:rsidRDefault="003942C4" w:rsidP="006610D9">
            <w:pPr>
              <w:pStyle w:val="i"/>
              <w:numPr>
                <w:ilvl w:val="0"/>
                <w:numId w:val="9"/>
              </w:numPr>
              <w:tabs>
                <w:tab w:val="left" w:pos="1223"/>
              </w:tabs>
              <w:ind w:left="1223" w:hanging="567"/>
              <w:rPr>
                <w:color w:val="000000"/>
              </w:rPr>
            </w:pPr>
            <w:proofErr w:type="gramStart"/>
            <w:r w:rsidRPr="00F3280F">
              <w:rPr>
                <w:w w:val="100"/>
              </w:rPr>
              <w:t>facilitating</w:t>
            </w:r>
            <w:proofErr w:type="gramEnd"/>
            <w:r w:rsidRPr="00F3280F">
              <w:rPr>
                <w:w w:val="100"/>
              </w:rPr>
              <w:t>, to the extent possible, access to information relating to intangible cultural heritage while respecting customary practices governing access to specific aspects of it.</w:t>
            </w:r>
          </w:p>
        </w:tc>
        <w:tc>
          <w:tcPr>
            <w:tcW w:w="250" w:type="pct"/>
          </w:tcPr>
          <w:p w14:paraId="443B6F45" w14:textId="77777777" w:rsidR="003942C4" w:rsidRPr="003B7AFE" w:rsidRDefault="003942C4" w:rsidP="00196F2F">
            <w:pPr>
              <w:spacing w:before="120" w:after="120"/>
              <w:jc w:val="right"/>
              <w:rPr>
                <w:rFonts w:ascii="Arial" w:hAnsi="Arial" w:cs="Arial"/>
                <w:sz w:val="22"/>
                <w:szCs w:val="22"/>
                <w:lang w:val="en-GB"/>
              </w:rPr>
            </w:pPr>
            <w:r w:rsidRPr="003B7AFE">
              <w:rPr>
                <w:rFonts w:ascii="Arial" w:hAnsi="Arial" w:cs="Arial"/>
                <w:sz w:val="22"/>
                <w:szCs w:val="22"/>
                <w:lang w:val="en-GB"/>
              </w:rPr>
              <w:t>153.</w:t>
            </w:r>
          </w:p>
        </w:tc>
        <w:tc>
          <w:tcPr>
            <w:tcW w:w="2250" w:type="pct"/>
          </w:tcPr>
          <w:p w14:paraId="0876D8CE" w14:textId="64531D01" w:rsidR="003942C4" w:rsidRPr="00F3280F" w:rsidRDefault="00AC76DD" w:rsidP="00AC76DD">
            <w:pPr>
              <w:spacing w:before="120" w:after="120"/>
              <w:jc w:val="both"/>
            </w:pPr>
            <w:r>
              <w:rPr>
                <w:rFonts w:ascii="Arial" w:hAnsi="Arial" w:cs="Arial"/>
                <w:sz w:val="22"/>
                <w:szCs w:val="22"/>
                <w:lang w:val="en-GB"/>
              </w:rPr>
              <w:t>No change.</w:t>
            </w:r>
          </w:p>
        </w:tc>
      </w:tr>
      <w:tr w:rsidR="003942C4" w:rsidRPr="00EB77E6" w14:paraId="7D8350EE" w14:textId="77777777" w:rsidTr="007E0DEF">
        <w:trPr>
          <w:cantSplit/>
        </w:trPr>
        <w:tc>
          <w:tcPr>
            <w:tcW w:w="250" w:type="pct"/>
            <w:gridSpan w:val="2"/>
            <w:shd w:val="clear" w:color="auto" w:fill="auto"/>
          </w:tcPr>
          <w:p w14:paraId="7F5FEE33" w14:textId="77777777" w:rsidR="003942C4" w:rsidRPr="00A1056C" w:rsidRDefault="003942C4" w:rsidP="00196F2F">
            <w:pPr>
              <w:spacing w:before="120" w:after="120"/>
              <w:jc w:val="right"/>
              <w:rPr>
                <w:rFonts w:ascii="Arial" w:hAnsi="Arial" w:cs="Arial"/>
                <w:sz w:val="22"/>
                <w:szCs w:val="22"/>
                <w:lang w:val="en-GB"/>
              </w:rPr>
            </w:pPr>
            <w:r>
              <w:rPr>
                <w:rFonts w:ascii="Arial" w:hAnsi="Arial" w:cs="Arial"/>
                <w:sz w:val="22"/>
                <w:szCs w:val="22"/>
                <w:lang w:val="en-GB"/>
              </w:rPr>
              <w:t>154.</w:t>
            </w:r>
          </w:p>
        </w:tc>
        <w:tc>
          <w:tcPr>
            <w:tcW w:w="2250" w:type="pct"/>
            <w:gridSpan w:val="2"/>
            <w:shd w:val="clear" w:color="auto" w:fill="auto"/>
          </w:tcPr>
          <w:p w14:paraId="1E42267F" w14:textId="1BF2CCB1" w:rsidR="003942C4" w:rsidRPr="00E8549D" w:rsidRDefault="006610D9" w:rsidP="00196F2F">
            <w:pPr>
              <w:spacing w:before="120" w:after="120"/>
              <w:jc w:val="both"/>
              <w:rPr>
                <w:rFonts w:ascii="Arial" w:hAnsi="Arial" w:cs="Arial"/>
                <w:sz w:val="22"/>
                <w:szCs w:val="22"/>
                <w:lang w:val="en-GB"/>
              </w:rPr>
            </w:pPr>
            <w:r w:rsidRPr="006610D9">
              <w:rPr>
                <w:rFonts w:ascii="Arial" w:hAnsi="Arial" w:cs="Arial"/>
                <w:sz w:val="22"/>
                <w:szCs w:val="22"/>
                <w:lang w:val="en-GB"/>
              </w:rPr>
              <w:t>The State Party reports on the legislative, regulatory and other measures taken at the national level to strengthen institutional capacities for safeguarding intangible cultural heritage, as described in Article 13 of the Convention, including:</w:t>
            </w:r>
          </w:p>
          <w:p w14:paraId="6ACB954D" w14:textId="77777777" w:rsidR="003942C4" w:rsidRPr="008D7946" w:rsidRDefault="003942C4" w:rsidP="006610D9">
            <w:pPr>
              <w:pStyle w:val="U1"/>
              <w:widowControl/>
              <w:numPr>
                <w:ilvl w:val="0"/>
                <w:numId w:val="13"/>
              </w:numPr>
              <w:tabs>
                <w:tab w:val="clear" w:pos="1701"/>
              </w:tabs>
              <w:ind w:left="656" w:hanging="656"/>
              <w:jc w:val="both"/>
              <w:rPr>
                <w:lang w:val="en-GB"/>
              </w:rPr>
            </w:pPr>
            <w:r w:rsidRPr="008D7946">
              <w:rPr>
                <w:lang w:val="en-GB"/>
              </w:rPr>
              <w:t>designating or establishing one or more competent bodies for safeguarding its intangible cultural heritage;</w:t>
            </w:r>
          </w:p>
          <w:p w14:paraId="1F2B8989" w14:textId="77777777" w:rsidR="003942C4" w:rsidRPr="008D7946" w:rsidRDefault="003942C4" w:rsidP="006610D9">
            <w:pPr>
              <w:pStyle w:val="U1"/>
              <w:widowControl/>
              <w:numPr>
                <w:ilvl w:val="0"/>
                <w:numId w:val="13"/>
              </w:numPr>
              <w:tabs>
                <w:tab w:val="clear" w:pos="1701"/>
              </w:tabs>
              <w:ind w:left="656" w:hanging="656"/>
              <w:jc w:val="both"/>
              <w:rPr>
                <w:lang w:val="en-GB"/>
              </w:rPr>
            </w:pPr>
            <w:r w:rsidRPr="008D7946">
              <w:rPr>
                <w:lang w:val="en-GB"/>
              </w:rPr>
              <w:t>strengthening institutions for training in intangible cultural heritage management and transmission of this heritage;</w:t>
            </w:r>
          </w:p>
          <w:p w14:paraId="6448093C" w14:textId="77777777" w:rsidR="003942C4" w:rsidRPr="00334D1B" w:rsidRDefault="003942C4" w:rsidP="006610D9">
            <w:pPr>
              <w:pStyle w:val="U1"/>
              <w:widowControl/>
              <w:numPr>
                <w:ilvl w:val="0"/>
                <w:numId w:val="13"/>
              </w:numPr>
              <w:tabs>
                <w:tab w:val="clear" w:pos="1701"/>
              </w:tabs>
              <w:ind w:left="656" w:hanging="656"/>
              <w:jc w:val="both"/>
              <w:rPr>
                <w:lang w:val="en-GB"/>
              </w:rPr>
            </w:pPr>
            <w:proofErr w:type="gramStart"/>
            <w:r w:rsidRPr="008D7946">
              <w:rPr>
                <w:lang w:val="en-GB"/>
              </w:rPr>
              <w:t>establishing</w:t>
            </w:r>
            <w:proofErr w:type="gramEnd"/>
            <w:r w:rsidRPr="008D7946">
              <w:rPr>
                <w:lang w:val="en-GB"/>
              </w:rPr>
              <w:t xml:space="preserve"> documentation institutions for intangible cultural heritage and, to the extent possible, facilitating access to them.</w:t>
            </w:r>
          </w:p>
        </w:tc>
        <w:tc>
          <w:tcPr>
            <w:tcW w:w="250" w:type="pct"/>
          </w:tcPr>
          <w:p w14:paraId="3A97330A" w14:textId="77777777" w:rsidR="003942C4" w:rsidRPr="00BA4171" w:rsidRDefault="003942C4" w:rsidP="00196F2F">
            <w:pPr>
              <w:spacing w:before="120" w:after="120"/>
              <w:jc w:val="right"/>
              <w:rPr>
                <w:rFonts w:ascii="Arial" w:hAnsi="Arial" w:cs="Arial"/>
                <w:sz w:val="22"/>
                <w:szCs w:val="22"/>
                <w:lang w:val="en-GB"/>
              </w:rPr>
            </w:pPr>
            <w:r w:rsidRPr="00710CE9">
              <w:rPr>
                <w:rFonts w:ascii="Arial" w:hAnsi="Arial" w:cs="Arial"/>
                <w:sz w:val="22"/>
                <w:szCs w:val="22"/>
                <w:lang w:val="en-GB"/>
              </w:rPr>
              <w:t>15</w:t>
            </w:r>
            <w:r>
              <w:rPr>
                <w:rFonts w:ascii="Arial" w:hAnsi="Arial" w:cs="Arial"/>
                <w:sz w:val="22"/>
                <w:szCs w:val="22"/>
                <w:lang w:val="en-GB"/>
              </w:rPr>
              <w:t>4</w:t>
            </w:r>
            <w:r w:rsidRPr="00710CE9">
              <w:rPr>
                <w:rFonts w:ascii="Arial" w:hAnsi="Arial" w:cs="Arial"/>
                <w:sz w:val="22"/>
                <w:szCs w:val="22"/>
                <w:lang w:val="en-GB"/>
              </w:rPr>
              <w:t>.</w:t>
            </w:r>
          </w:p>
        </w:tc>
        <w:tc>
          <w:tcPr>
            <w:tcW w:w="2250" w:type="pct"/>
          </w:tcPr>
          <w:p w14:paraId="2DF3D01A" w14:textId="46B9C919" w:rsidR="003942C4" w:rsidRPr="00D47CFC" w:rsidRDefault="00AC76DD" w:rsidP="00AC76DD">
            <w:pPr>
              <w:spacing w:before="120" w:after="120"/>
              <w:jc w:val="both"/>
              <w:rPr>
                <w:u w:val="single"/>
                <w:lang w:val="en-GB"/>
              </w:rPr>
            </w:pPr>
            <w:r>
              <w:rPr>
                <w:rFonts w:ascii="Arial" w:hAnsi="Arial" w:cs="Arial"/>
                <w:sz w:val="22"/>
                <w:szCs w:val="22"/>
                <w:lang w:val="en-GB"/>
              </w:rPr>
              <w:t>No change.</w:t>
            </w:r>
          </w:p>
        </w:tc>
      </w:tr>
      <w:tr w:rsidR="003942C4" w:rsidRPr="00EB77E6" w14:paraId="593F8DC9" w14:textId="77777777" w:rsidTr="007E0DEF">
        <w:trPr>
          <w:cantSplit/>
        </w:trPr>
        <w:tc>
          <w:tcPr>
            <w:tcW w:w="250" w:type="pct"/>
            <w:gridSpan w:val="2"/>
            <w:shd w:val="clear" w:color="auto" w:fill="auto"/>
          </w:tcPr>
          <w:p w14:paraId="31C4B259" w14:textId="77777777" w:rsidR="003942C4" w:rsidRPr="00A1056C" w:rsidRDefault="003942C4" w:rsidP="00196F2F">
            <w:pPr>
              <w:spacing w:before="120" w:after="120"/>
              <w:jc w:val="right"/>
              <w:rPr>
                <w:rFonts w:ascii="Arial" w:hAnsi="Arial" w:cs="Arial"/>
                <w:sz w:val="22"/>
                <w:szCs w:val="22"/>
                <w:lang w:val="en-GB"/>
              </w:rPr>
            </w:pPr>
            <w:r>
              <w:rPr>
                <w:rFonts w:ascii="Arial" w:hAnsi="Arial" w:cs="Arial"/>
                <w:sz w:val="22"/>
                <w:szCs w:val="22"/>
                <w:lang w:val="en-GB"/>
              </w:rPr>
              <w:lastRenderedPageBreak/>
              <w:t>155</w:t>
            </w:r>
            <w:r w:rsidRPr="00A1056C">
              <w:rPr>
                <w:rFonts w:ascii="Arial" w:hAnsi="Arial" w:cs="Arial"/>
                <w:sz w:val="22"/>
                <w:szCs w:val="22"/>
                <w:lang w:val="en-GB"/>
              </w:rPr>
              <w:t>.</w:t>
            </w:r>
          </w:p>
        </w:tc>
        <w:tc>
          <w:tcPr>
            <w:tcW w:w="2250" w:type="pct"/>
            <w:gridSpan w:val="2"/>
            <w:shd w:val="clear" w:color="auto" w:fill="auto"/>
          </w:tcPr>
          <w:p w14:paraId="61FACBC8" w14:textId="41F6BC37" w:rsidR="003942C4" w:rsidRPr="0096363C" w:rsidRDefault="006610D9" w:rsidP="00196F2F">
            <w:pPr>
              <w:spacing w:before="120" w:after="120"/>
              <w:jc w:val="both"/>
              <w:rPr>
                <w:rFonts w:ascii="Arial" w:hAnsi="Arial" w:cs="Arial"/>
                <w:sz w:val="22"/>
                <w:szCs w:val="22"/>
                <w:lang w:val="en-GB"/>
              </w:rPr>
            </w:pPr>
            <w:r w:rsidRPr="006610D9">
              <w:rPr>
                <w:rFonts w:ascii="Arial" w:hAnsi="Arial" w:cs="Arial"/>
                <w:sz w:val="22"/>
                <w:szCs w:val="22"/>
                <w:lang w:val="en-GB"/>
              </w:rPr>
              <w:t>The State Party reports on the legislative, regulatory and other measures taken at the national level to ensure greater recognition of, respect for and enhancement of intangible cultural heritage, in particular those referred to in Article 14 of the Convention:</w:t>
            </w:r>
          </w:p>
          <w:p w14:paraId="6D68B47C" w14:textId="77777777" w:rsidR="003942C4" w:rsidRDefault="003942C4" w:rsidP="006610D9">
            <w:pPr>
              <w:pStyle w:val="U1"/>
              <w:widowControl/>
              <w:numPr>
                <w:ilvl w:val="0"/>
                <w:numId w:val="15"/>
              </w:numPr>
              <w:tabs>
                <w:tab w:val="clear" w:pos="1701"/>
              </w:tabs>
              <w:ind w:left="656" w:hanging="656"/>
              <w:jc w:val="both"/>
              <w:rPr>
                <w:lang w:val="en-GB"/>
              </w:rPr>
            </w:pPr>
            <w:r w:rsidRPr="00C16210">
              <w:rPr>
                <w:lang w:val="en-GB"/>
              </w:rPr>
              <w:t>educational, awareness-raising and information programmes;</w:t>
            </w:r>
          </w:p>
          <w:p w14:paraId="64E0EA69" w14:textId="77777777" w:rsidR="003942C4" w:rsidRPr="00C16210" w:rsidRDefault="003942C4" w:rsidP="006610D9">
            <w:pPr>
              <w:pStyle w:val="U1"/>
              <w:widowControl/>
              <w:numPr>
                <w:ilvl w:val="0"/>
                <w:numId w:val="15"/>
              </w:numPr>
              <w:tabs>
                <w:tab w:val="clear" w:pos="1701"/>
              </w:tabs>
              <w:ind w:left="656" w:hanging="656"/>
              <w:jc w:val="both"/>
              <w:rPr>
                <w:lang w:val="en-GB"/>
              </w:rPr>
            </w:pPr>
            <w:r w:rsidRPr="00C16210">
              <w:rPr>
                <w:lang w:val="en-GB"/>
              </w:rPr>
              <w:t>educational and training programmes within the communities and groups concerned;</w:t>
            </w:r>
          </w:p>
          <w:p w14:paraId="238DB79B" w14:textId="77777777" w:rsidR="003942C4" w:rsidRPr="0096363C" w:rsidRDefault="003942C4" w:rsidP="006610D9">
            <w:pPr>
              <w:pStyle w:val="U1"/>
              <w:widowControl/>
              <w:numPr>
                <w:ilvl w:val="0"/>
                <w:numId w:val="15"/>
              </w:numPr>
              <w:tabs>
                <w:tab w:val="clear" w:pos="1701"/>
              </w:tabs>
              <w:ind w:left="656" w:hanging="656"/>
              <w:jc w:val="both"/>
              <w:rPr>
                <w:lang w:val="en-GB"/>
              </w:rPr>
            </w:pPr>
            <w:r w:rsidRPr="0096363C">
              <w:rPr>
                <w:lang w:val="en-GB"/>
              </w:rPr>
              <w:t>capacity-building activities for the safeguarding of the intangible cultural heritage;</w:t>
            </w:r>
          </w:p>
          <w:p w14:paraId="0EC979A6" w14:textId="77777777" w:rsidR="003942C4" w:rsidRDefault="003942C4" w:rsidP="006610D9">
            <w:pPr>
              <w:pStyle w:val="U1"/>
              <w:widowControl/>
              <w:numPr>
                <w:ilvl w:val="0"/>
                <w:numId w:val="15"/>
              </w:numPr>
              <w:tabs>
                <w:tab w:val="clear" w:pos="1701"/>
              </w:tabs>
              <w:ind w:left="656" w:hanging="656"/>
              <w:jc w:val="both"/>
              <w:rPr>
                <w:lang w:val="en-GB"/>
              </w:rPr>
            </w:pPr>
            <w:r w:rsidRPr="0096363C">
              <w:rPr>
                <w:lang w:val="en-GB"/>
              </w:rPr>
              <w:t>non-formal means of transmitting knowledge;</w:t>
            </w:r>
          </w:p>
          <w:p w14:paraId="624C7B97" w14:textId="77777777" w:rsidR="003942C4" w:rsidRPr="00334D1B" w:rsidRDefault="003942C4" w:rsidP="006610D9">
            <w:pPr>
              <w:pStyle w:val="U1"/>
              <w:widowControl/>
              <w:numPr>
                <w:ilvl w:val="0"/>
                <w:numId w:val="15"/>
              </w:numPr>
              <w:tabs>
                <w:tab w:val="clear" w:pos="1701"/>
              </w:tabs>
              <w:ind w:left="656" w:hanging="656"/>
              <w:jc w:val="both"/>
              <w:rPr>
                <w:lang w:val="en-GB"/>
              </w:rPr>
            </w:pPr>
            <w:proofErr w:type="gramStart"/>
            <w:r w:rsidRPr="00334D1B">
              <w:rPr>
                <w:lang w:val="en-GB"/>
              </w:rPr>
              <w:t>education</w:t>
            </w:r>
            <w:proofErr w:type="gramEnd"/>
            <w:r w:rsidRPr="00334D1B">
              <w:rPr>
                <w:lang w:val="en-GB"/>
              </w:rPr>
              <w:t xml:space="preserve"> for the protection of natural spaces and places of memory.</w:t>
            </w:r>
          </w:p>
        </w:tc>
        <w:tc>
          <w:tcPr>
            <w:tcW w:w="250" w:type="pct"/>
          </w:tcPr>
          <w:p w14:paraId="2B2E4917" w14:textId="77777777" w:rsidR="003942C4" w:rsidRPr="00BA4171" w:rsidRDefault="003942C4" w:rsidP="00196F2F">
            <w:pPr>
              <w:spacing w:before="120" w:after="120"/>
              <w:jc w:val="right"/>
              <w:rPr>
                <w:rFonts w:ascii="Arial" w:hAnsi="Arial" w:cs="Arial"/>
                <w:sz w:val="22"/>
                <w:szCs w:val="22"/>
                <w:lang w:val="en-GB"/>
              </w:rPr>
            </w:pPr>
            <w:r>
              <w:rPr>
                <w:rFonts w:ascii="Arial" w:hAnsi="Arial" w:cs="Arial"/>
                <w:sz w:val="22"/>
                <w:szCs w:val="22"/>
                <w:lang w:val="en-GB"/>
              </w:rPr>
              <w:t>155</w:t>
            </w:r>
            <w:r w:rsidRPr="00BA4171">
              <w:rPr>
                <w:rFonts w:ascii="Arial" w:hAnsi="Arial" w:cs="Arial"/>
                <w:sz w:val="22"/>
                <w:szCs w:val="22"/>
                <w:lang w:val="en-GB"/>
              </w:rPr>
              <w:t>.</w:t>
            </w:r>
          </w:p>
        </w:tc>
        <w:tc>
          <w:tcPr>
            <w:tcW w:w="2250" w:type="pct"/>
          </w:tcPr>
          <w:p w14:paraId="59A63B58" w14:textId="249F88EE" w:rsidR="003942C4" w:rsidRPr="00BA4171" w:rsidRDefault="00AC76DD" w:rsidP="00AC76DD">
            <w:pPr>
              <w:spacing w:before="120" w:after="120"/>
              <w:jc w:val="both"/>
              <w:rPr>
                <w:lang w:val="en-GB"/>
              </w:rPr>
            </w:pPr>
            <w:r>
              <w:rPr>
                <w:rFonts w:ascii="Arial" w:hAnsi="Arial" w:cs="Arial"/>
                <w:sz w:val="22"/>
                <w:szCs w:val="22"/>
                <w:lang w:val="en-GB"/>
              </w:rPr>
              <w:t>No change.</w:t>
            </w:r>
          </w:p>
        </w:tc>
      </w:tr>
      <w:tr w:rsidR="003942C4" w:rsidRPr="000536A2" w14:paraId="63A86855" w14:textId="77777777" w:rsidTr="007E0DEF">
        <w:trPr>
          <w:cantSplit/>
        </w:trPr>
        <w:tc>
          <w:tcPr>
            <w:tcW w:w="250" w:type="pct"/>
            <w:gridSpan w:val="2"/>
            <w:shd w:val="clear" w:color="auto" w:fill="auto"/>
          </w:tcPr>
          <w:p w14:paraId="762F4AA8" w14:textId="77777777" w:rsidR="003942C4" w:rsidRPr="00A1056C" w:rsidRDefault="003942C4" w:rsidP="00196F2F">
            <w:pPr>
              <w:spacing w:before="120" w:after="120"/>
              <w:jc w:val="right"/>
              <w:rPr>
                <w:rFonts w:ascii="Arial" w:hAnsi="Arial" w:cs="Arial"/>
                <w:sz w:val="22"/>
                <w:szCs w:val="22"/>
                <w:lang w:val="en-GB"/>
              </w:rPr>
            </w:pPr>
            <w:r>
              <w:rPr>
                <w:rFonts w:ascii="Arial" w:hAnsi="Arial" w:cs="Arial"/>
                <w:sz w:val="22"/>
                <w:szCs w:val="22"/>
                <w:lang w:val="en-GB"/>
              </w:rPr>
              <w:t>156</w:t>
            </w:r>
            <w:r w:rsidRPr="00A1056C">
              <w:rPr>
                <w:rFonts w:ascii="Arial" w:hAnsi="Arial" w:cs="Arial"/>
                <w:sz w:val="22"/>
                <w:szCs w:val="22"/>
                <w:lang w:val="en-GB"/>
              </w:rPr>
              <w:t>.</w:t>
            </w:r>
          </w:p>
        </w:tc>
        <w:tc>
          <w:tcPr>
            <w:tcW w:w="2250" w:type="pct"/>
            <w:gridSpan w:val="2"/>
            <w:shd w:val="clear" w:color="auto" w:fill="auto"/>
          </w:tcPr>
          <w:p w14:paraId="0F500BCA" w14:textId="77777777" w:rsidR="003942C4" w:rsidRPr="00710CE9" w:rsidRDefault="003942C4" w:rsidP="00196F2F">
            <w:pPr>
              <w:spacing w:before="120" w:after="120"/>
              <w:jc w:val="both"/>
              <w:rPr>
                <w:rFonts w:ascii="Arial" w:hAnsi="Arial" w:cs="Arial"/>
                <w:sz w:val="22"/>
                <w:szCs w:val="22"/>
                <w:lang w:val="en-GB"/>
              </w:rPr>
            </w:pPr>
            <w:r w:rsidRPr="0096363C">
              <w:rPr>
                <w:rFonts w:ascii="Arial" w:hAnsi="Arial" w:cs="Arial"/>
                <w:sz w:val="22"/>
                <w:szCs w:val="22"/>
                <w:lang w:val="en-GB"/>
              </w:rPr>
              <w:t xml:space="preserve">The State Party reports on the measures taken by it at the bilateral, </w:t>
            </w:r>
            <w:proofErr w:type="spellStart"/>
            <w:r w:rsidRPr="0096363C">
              <w:rPr>
                <w:rFonts w:ascii="Arial" w:hAnsi="Arial" w:cs="Arial"/>
                <w:sz w:val="22"/>
                <w:szCs w:val="22"/>
                <w:lang w:val="en-GB"/>
              </w:rPr>
              <w:t>subregional</w:t>
            </w:r>
            <w:proofErr w:type="spellEnd"/>
            <w:r w:rsidRPr="0096363C">
              <w:rPr>
                <w:rFonts w:ascii="Arial" w:hAnsi="Arial" w:cs="Arial"/>
                <w:sz w:val="22"/>
                <w:szCs w:val="22"/>
                <w:lang w:val="en-GB"/>
              </w:rPr>
              <w:t>, regional and international levels for the implementation of the Convention, including measures of international cooperation such as the exchange of information and experience, and other joint initiatives, as referred to in Article 19 of the Convention.</w:t>
            </w:r>
          </w:p>
        </w:tc>
        <w:tc>
          <w:tcPr>
            <w:tcW w:w="250" w:type="pct"/>
          </w:tcPr>
          <w:p w14:paraId="0CE1087F" w14:textId="77777777" w:rsidR="003942C4" w:rsidRPr="00BA4171" w:rsidRDefault="003942C4" w:rsidP="00196F2F">
            <w:pPr>
              <w:spacing w:before="120" w:after="120"/>
              <w:jc w:val="right"/>
              <w:rPr>
                <w:rFonts w:ascii="Arial" w:hAnsi="Arial" w:cs="Arial"/>
                <w:sz w:val="22"/>
                <w:szCs w:val="22"/>
                <w:lang w:val="en-GB"/>
              </w:rPr>
            </w:pPr>
            <w:r>
              <w:rPr>
                <w:rFonts w:ascii="Arial" w:hAnsi="Arial" w:cs="Arial"/>
                <w:sz w:val="22"/>
                <w:szCs w:val="22"/>
                <w:lang w:val="en-GB"/>
              </w:rPr>
              <w:t>156</w:t>
            </w:r>
            <w:r w:rsidRPr="00BA4171">
              <w:rPr>
                <w:rFonts w:ascii="Arial" w:hAnsi="Arial" w:cs="Arial"/>
                <w:sz w:val="22"/>
                <w:szCs w:val="22"/>
                <w:lang w:val="en-GB"/>
              </w:rPr>
              <w:t>.</w:t>
            </w:r>
          </w:p>
        </w:tc>
        <w:tc>
          <w:tcPr>
            <w:tcW w:w="2250" w:type="pct"/>
          </w:tcPr>
          <w:p w14:paraId="300FA7E2" w14:textId="2E7DDEE6" w:rsidR="003942C4" w:rsidRPr="00BA4171" w:rsidRDefault="00713B9D" w:rsidP="00713B9D">
            <w:pPr>
              <w:spacing w:before="120" w:after="120"/>
              <w:jc w:val="both"/>
              <w:rPr>
                <w:rFonts w:ascii="Arial" w:hAnsi="Arial" w:cs="Arial"/>
                <w:sz w:val="22"/>
                <w:szCs w:val="22"/>
                <w:lang w:val="en-GB"/>
              </w:rPr>
            </w:pPr>
            <w:r>
              <w:rPr>
                <w:rFonts w:ascii="Arial" w:hAnsi="Arial" w:cs="Arial"/>
                <w:sz w:val="22"/>
                <w:szCs w:val="22"/>
                <w:lang w:val="en-GB"/>
              </w:rPr>
              <w:t>No change.</w:t>
            </w:r>
          </w:p>
        </w:tc>
      </w:tr>
      <w:tr w:rsidR="003942C4" w:rsidRPr="00EB77E6" w14:paraId="48B4DAA3" w14:textId="77777777" w:rsidTr="007E0DEF">
        <w:trPr>
          <w:cantSplit/>
        </w:trPr>
        <w:tc>
          <w:tcPr>
            <w:tcW w:w="250" w:type="pct"/>
            <w:gridSpan w:val="2"/>
            <w:shd w:val="clear" w:color="auto" w:fill="auto"/>
          </w:tcPr>
          <w:p w14:paraId="4EB77FE9" w14:textId="77777777" w:rsidR="003942C4" w:rsidRPr="00A1056C" w:rsidRDefault="003942C4" w:rsidP="00196F2F">
            <w:pPr>
              <w:spacing w:before="120" w:after="120"/>
              <w:jc w:val="right"/>
              <w:rPr>
                <w:rFonts w:ascii="Arial" w:hAnsi="Arial" w:cs="Arial"/>
                <w:sz w:val="22"/>
                <w:szCs w:val="22"/>
                <w:lang w:val="en-GB"/>
              </w:rPr>
            </w:pPr>
            <w:r>
              <w:rPr>
                <w:rFonts w:ascii="Arial" w:hAnsi="Arial" w:cs="Arial"/>
                <w:sz w:val="22"/>
                <w:szCs w:val="22"/>
                <w:lang w:val="en-GB"/>
              </w:rPr>
              <w:lastRenderedPageBreak/>
              <w:t>157</w:t>
            </w:r>
            <w:r w:rsidRPr="00A1056C">
              <w:rPr>
                <w:rFonts w:ascii="Arial" w:hAnsi="Arial" w:cs="Arial"/>
                <w:sz w:val="22"/>
                <w:szCs w:val="22"/>
                <w:lang w:val="en-GB"/>
              </w:rPr>
              <w:t>.</w:t>
            </w:r>
          </w:p>
        </w:tc>
        <w:tc>
          <w:tcPr>
            <w:tcW w:w="2250" w:type="pct"/>
            <w:gridSpan w:val="2"/>
            <w:shd w:val="clear" w:color="auto" w:fill="auto"/>
          </w:tcPr>
          <w:p w14:paraId="70B2F139" w14:textId="00C0FB9B" w:rsidR="003942C4" w:rsidRPr="0096363C" w:rsidRDefault="006610D9" w:rsidP="00196F2F">
            <w:pPr>
              <w:spacing w:before="120" w:after="120"/>
              <w:jc w:val="both"/>
              <w:rPr>
                <w:rFonts w:ascii="Arial" w:hAnsi="Arial" w:cs="Arial"/>
                <w:sz w:val="22"/>
                <w:szCs w:val="22"/>
                <w:lang w:val="en-GB"/>
              </w:rPr>
            </w:pPr>
            <w:r w:rsidRPr="006610D9">
              <w:rPr>
                <w:rFonts w:ascii="Arial" w:hAnsi="Arial" w:cs="Arial"/>
                <w:sz w:val="22"/>
                <w:szCs w:val="22"/>
                <w:lang w:val="en-GB"/>
              </w:rPr>
              <w:t xml:space="preserve">The State Party reports on the </w:t>
            </w:r>
            <w:proofErr w:type="gramStart"/>
            <w:r w:rsidRPr="006610D9">
              <w:rPr>
                <w:rFonts w:ascii="Arial" w:hAnsi="Arial" w:cs="Arial"/>
                <w:sz w:val="22"/>
                <w:szCs w:val="22"/>
                <w:lang w:val="en-GB"/>
              </w:rPr>
              <w:t>current status</w:t>
            </w:r>
            <w:proofErr w:type="gramEnd"/>
            <w:r w:rsidRPr="006610D9">
              <w:rPr>
                <w:rFonts w:ascii="Arial" w:hAnsi="Arial" w:cs="Arial"/>
                <w:sz w:val="22"/>
                <w:szCs w:val="22"/>
                <w:lang w:val="en-GB"/>
              </w:rPr>
              <w:t xml:space="preserve"> of all elements of intangible cultural heritage present in its territory that have been inscribed on the Representative List of the Intangible Cultural Heritage of Humanity. The State Party shall pay special attention to the role of gender and shall endeavour to ensure the widest possible participation of the communities, groups, and, where applicable, individuals concerned as well as relevant non-governmental organizations during the process of preparation of such reports, which shall address, for each element concerned:</w:t>
            </w:r>
          </w:p>
          <w:p w14:paraId="1BDD00E9" w14:textId="77777777" w:rsidR="003942C4" w:rsidRPr="0096363C" w:rsidRDefault="003942C4" w:rsidP="006610D9">
            <w:pPr>
              <w:numPr>
                <w:ilvl w:val="0"/>
                <w:numId w:val="10"/>
              </w:numPr>
              <w:spacing w:before="120" w:after="120"/>
              <w:ind w:left="656" w:hanging="656"/>
              <w:jc w:val="both"/>
              <w:rPr>
                <w:rFonts w:ascii="Arial" w:hAnsi="Arial" w:cs="Arial"/>
                <w:sz w:val="22"/>
                <w:szCs w:val="22"/>
                <w:lang w:val="en-GB"/>
              </w:rPr>
            </w:pPr>
            <w:r w:rsidRPr="0096363C">
              <w:rPr>
                <w:rFonts w:ascii="Arial" w:hAnsi="Arial" w:cs="Arial"/>
                <w:sz w:val="22"/>
                <w:szCs w:val="22"/>
                <w:lang w:val="en-GB"/>
              </w:rPr>
              <w:t>the element’s social and cultural functions;</w:t>
            </w:r>
          </w:p>
          <w:p w14:paraId="08789F06" w14:textId="77777777" w:rsidR="003942C4" w:rsidRPr="0096363C" w:rsidRDefault="003942C4" w:rsidP="006610D9">
            <w:pPr>
              <w:numPr>
                <w:ilvl w:val="0"/>
                <w:numId w:val="10"/>
              </w:numPr>
              <w:spacing w:before="120" w:after="120"/>
              <w:ind w:left="656" w:hanging="656"/>
              <w:jc w:val="both"/>
              <w:rPr>
                <w:rFonts w:ascii="Arial" w:hAnsi="Arial" w:cs="Arial"/>
                <w:sz w:val="22"/>
                <w:szCs w:val="22"/>
                <w:lang w:val="en-GB"/>
              </w:rPr>
            </w:pPr>
            <w:r w:rsidRPr="0096363C">
              <w:rPr>
                <w:rFonts w:ascii="Arial" w:hAnsi="Arial" w:cs="Arial"/>
                <w:sz w:val="22"/>
                <w:szCs w:val="22"/>
                <w:lang w:val="en-GB"/>
              </w:rPr>
              <w:t>an assessment of its viability and the current risks it faces, if any;</w:t>
            </w:r>
          </w:p>
          <w:p w14:paraId="16795B62" w14:textId="77777777" w:rsidR="003942C4" w:rsidRPr="0096363C" w:rsidRDefault="003942C4" w:rsidP="006610D9">
            <w:pPr>
              <w:numPr>
                <w:ilvl w:val="0"/>
                <w:numId w:val="10"/>
              </w:numPr>
              <w:spacing w:before="120" w:after="120"/>
              <w:ind w:left="656" w:hanging="656"/>
              <w:jc w:val="both"/>
              <w:rPr>
                <w:rFonts w:ascii="Arial" w:hAnsi="Arial" w:cs="Arial"/>
                <w:sz w:val="22"/>
                <w:szCs w:val="22"/>
                <w:lang w:val="en-GB"/>
              </w:rPr>
            </w:pPr>
            <w:r w:rsidRPr="0096363C">
              <w:rPr>
                <w:rFonts w:ascii="Arial" w:hAnsi="Arial" w:cs="Arial"/>
                <w:sz w:val="22"/>
                <w:szCs w:val="22"/>
                <w:lang w:val="en-GB"/>
              </w:rPr>
              <w:t>its contribution to the goals of the List;</w:t>
            </w:r>
          </w:p>
          <w:p w14:paraId="48B38CE7" w14:textId="77777777" w:rsidR="003942C4" w:rsidRDefault="003942C4" w:rsidP="006610D9">
            <w:pPr>
              <w:numPr>
                <w:ilvl w:val="0"/>
                <w:numId w:val="10"/>
              </w:numPr>
              <w:spacing w:before="120" w:after="120"/>
              <w:ind w:left="656" w:hanging="656"/>
              <w:jc w:val="both"/>
              <w:rPr>
                <w:rFonts w:ascii="Arial" w:hAnsi="Arial" w:cs="Arial"/>
                <w:sz w:val="22"/>
                <w:szCs w:val="22"/>
                <w:lang w:val="en-GB"/>
              </w:rPr>
            </w:pPr>
            <w:r w:rsidRPr="0096363C">
              <w:rPr>
                <w:rFonts w:ascii="Arial" w:hAnsi="Arial" w:cs="Arial"/>
                <w:sz w:val="22"/>
                <w:szCs w:val="22"/>
                <w:lang w:val="en-GB"/>
              </w:rPr>
              <w:t>the efforts to promote or reinforce the element, particularly the implementation of any measures that might have been necessary as a consequence of its inscription;</w:t>
            </w:r>
          </w:p>
          <w:p w14:paraId="2B314CA4" w14:textId="6E9AC389" w:rsidR="003942C4" w:rsidRPr="00710CE9" w:rsidRDefault="006610D9" w:rsidP="006610D9">
            <w:pPr>
              <w:numPr>
                <w:ilvl w:val="0"/>
                <w:numId w:val="10"/>
              </w:numPr>
              <w:spacing w:before="120" w:after="120"/>
              <w:ind w:left="656" w:hanging="656"/>
              <w:jc w:val="both"/>
              <w:rPr>
                <w:rFonts w:ascii="Arial" w:hAnsi="Arial" w:cs="Arial"/>
                <w:sz w:val="22"/>
                <w:szCs w:val="22"/>
                <w:lang w:val="en-GB"/>
              </w:rPr>
            </w:pPr>
            <w:proofErr w:type="gramStart"/>
            <w:r w:rsidRPr="006610D9">
              <w:rPr>
                <w:rFonts w:ascii="Arial" w:hAnsi="Arial" w:cs="Arial"/>
                <w:sz w:val="22"/>
                <w:szCs w:val="22"/>
                <w:lang w:val="en-GB"/>
              </w:rPr>
              <w:t>the</w:t>
            </w:r>
            <w:proofErr w:type="gramEnd"/>
            <w:r w:rsidRPr="006610D9">
              <w:rPr>
                <w:rFonts w:ascii="Arial" w:hAnsi="Arial" w:cs="Arial"/>
                <w:sz w:val="22"/>
                <w:szCs w:val="22"/>
                <w:lang w:val="en-GB"/>
              </w:rPr>
              <w:t xml:space="preserve"> participation of communities, groups and individuals as well as relevant non-governmental organizations in safeguarding the element and their continued commitment to its further safeguarding.</w:t>
            </w:r>
          </w:p>
        </w:tc>
        <w:tc>
          <w:tcPr>
            <w:tcW w:w="250" w:type="pct"/>
          </w:tcPr>
          <w:p w14:paraId="1D55F770" w14:textId="77777777" w:rsidR="003942C4" w:rsidRPr="00BA4171" w:rsidRDefault="003942C4" w:rsidP="00196F2F">
            <w:pPr>
              <w:spacing w:before="120" w:after="120"/>
              <w:jc w:val="right"/>
              <w:rPr>
                <w:rFonts w:ascii="Arial" w:hAnsi="Arial" w:cs="Arial"/>
                <w:sz w:val="22"/>
                <w:szCs w:val="22"/>
                <w:lang w:val="en-GB"/>
              </w:rPr>
            </w:pPr>
            <w:r>
              <w:rPr>
                <w:rFonts w:ascii="Arial" w:hAnsi="Arial" w:cs="Arial"/>
                <w:sz w:val="22"/>
                <w:szCs w:val="22"/>
                <w:lang w:val="en-GB"/>
              </w:rPr>
              <w:t>157</w:t>
            </w:r>
            <w:r w:rsidRPr="00BA4171">
              <w:rPr>
                <w:rFonts w:ascii="Arial" w:hAnsi="Arial" w:cs="Arial"/>
                <w:sz w:val="22"/>
                <w:szCs w:val="22"/>
                <w:lang w:val="en-GB"/>
              </w:rPr>
              <w:t>.</w:t>
            </w:r>
          </w:p>
        </w:tc>
        <w:tc>
          <w:tcPr>
            <w:tcW w:w="2250" w:type="pct"/>
          </w:tcPr>
          <w:p w14:paraId="3603BEA0" w14:textId="2AF5E848" w:rsidR="003942C4" w:rsidRPr="00BA4171" w:rsidRDefault="00AC76DD" w:rsidP="00AC76DD">
            <w:pPr>
              <w:spacing w:before="120" w:after="120"/>
              <w:jc w:val="both"/>
              <w:rPr>
                <w:rFonts w:ascii="Arial" w:hAnsi="Arial" w:cs="Arial"/>
                <w:sz w:val="22"/>
                <w:szCs w:val="22"/>
                <w:lang w:val="en-GB"/>
              </w:rPr>
            </w:pPr>
            <w:r>
              <w:rPr>
                <w:rFonts w:ascii="Arial" w:hAnsi="Arial" w:cs="Arial"/>
                <w:sz w:val="22"/>
                <w:szCs w:val="22"/>
                <w:lang w:val="en-GB"/>
              </w:rPr>
              <w:t>No change.</w:t>
            </w:r>
          </w:p>
        </w:tc>
      </w:tr>
      <w:tr w:rsidR="003942C4" w:rsidRPr="00BA4171" w14:paraId="4E165BFA" w14:textId="77777777" w:rsidTr="007E0DEF">
        <w:trPr>
          <w:cantSplit/>
        </w:trPr>
        <w:tc>
          <w:tcPr>
            <w:tcW w:w="250" w:type="pct"/>
            <w:gridSpan w:val="2"/>
            <w:shd w:val="clear" w:color="auto" w:fill="auto"/>
          </w:tcPr>
          <w:p w14:paraId="5D34893D" w14:textId="77777777" w:rsidR="003942C4" w:rsidRPr="00A1056C" w:rsidRDefault="003942C4" w:rsidP="00196F2F">
            <w:pPr>
              <w:spacing w:before="120" w:after="120"/>
              <w:jc w:val="right"/>
              <w:rPr>
                <w:rFonts w:ascii="Arial" w:hAnsi="Arial" w:cs="Arial"/>
                <w:sz w:val="22"/>
                <w:szCs w:val="22"/>
                <w:lang w:val="en-GB"/>
              </w:rPr>
            </w:pPr>
            <w:r>
              <w:rPr>
                <w:rFonts w:ascii="Arial" w:hAnsi="Arial" w:cs="Arial"/>
                <w:sz w:val="22"/>
                <w:szCs w:val="22"/>
                <w:lang w:val="en-GB"/>
              </w:rPr>
              <w:t>158</w:t>
            </w:r>
            <w:r w:rsidRPr="00A1056C">
              <w:rPr>
                <w:rFonts w:ascii="Arial" w:hAnsi="Arial" w:cs="Arial"/>
                <w:sz w:val="22"/>
                <w:szCs w:val="22"/>
                <w:lang w:val="en-GB"/>
              </w:rPr>
              <w:t>.</w:t>
            </w:r>
          </w:p>
        </w:tc>
        <w:tc>
          <w:tcPr>
            <w:tcW w:w="2250" w:type="pct"/>
            <w:gridSpan w:val="2"/>
            <w:shd w:val="clear" w:color="auto" w:fill="auto"/>
          </w:tcPr>
          <w:p w14:paraId="4381C3D3" w14:textId="77777777" w:rsidR="003942C4" w:rsidRPr="0096363C" w:rsidRDefault="003942C4" w:rsidP="00196F2F">
            <w:pPr>
              <w:spacing w:before="120" w:after="120"/>
              <w:jc w:val="both"/>
              <w:rPr>
                <w:rFonts w:ascii="Arial" w:hAnsi="Arial" w:cs="Arial"/>
                <w:sz w:val="22"/>
                <w:szCs w:val="22"/>
                <w:lang w:val="en-GB"/>
              </w:rPr>
            </w:pPr>
            <w:r w:rsidRPr="0096363C">
              <w:rPr>
                <w:rFonts w:ascii="Arial" w:hAnsi="Arial" w:cs="Arial"/>
                <w:sz w:val="22"/>
                <w:szCs w:val="22"/>
                <w:lang w:val="en-GB"/>
              </w:rPr>
              <w:t>The State Party reports on the institutional context for the element inscribed on the Representative List of the Intangible Cultural Heritage of Humanity, including:</w:t>
            </w:r>
          </w:p>
          <w:p w14:paraId="6442473F" w14:textId="77777777" w:rsidR="003942C4" w:rsidRDefault="003942C4" w:rsidP="006610D9">
            <w:pPr>
              <w:numPr>
                <w:ilvl w:val="0"/>
                <w:numId w:val="18"/>
              </w:numPr>
              <w:spacing w:before="120" w:after="120"/>
              <w:ind w:left="656" w:hanging="656"/>
              <w:jc w:val="both"/>
              <w:rPr>
                <w:rFonts w:ascii="Arial" w:hAnsi="Arial" w:cs="Arial"/>
                <w:sz w:val="22"/>
                <w:szCs w:val="22"/>
                <w:lang w:val="en-GB"/>
              </w:rPr>
            </w:pPr>
            <w:r w:rsidRPr="0096363C">
              <w:rPr>
                <w:rFonts w:ascii="Arial" w:hAnsi="Arial" w:cs="Arial"/>
                <w:sz w:val="22"/>
                <w:szCs w:val="22"/>
                <w:lang w:val="en-GB"/>
              </w:rPr>
              <w:t>the competent body(</w:t>
            </w:r>
            <w:proofErr w:type="spellStart"/>
            <w:r w:rsidRPr="0096363C">
              <w:rPr>
                <w:rFonts w:ascii="Arial" w:hAnsi="Arial" w:cs="Arial"/>
                <w:sz w:val="22"/>
                <w:szCs w:val="22"/>
                <w:lang w:val="en-GB"/>
              </w:rPr>
              <w:t>ies</w:t>
            </w:r>
            <w:proofErr w:type="spellEnd"/>
            <w:r w:rsidRPr="0096363C">
              <w:rPr>
                <w:rFonts w:ascii="Arial" w:hAnsi="Arial" w:cs="Arial"/>
                <w:sz w:val="22"/>
                <w:szCs w:val="22"/>
                <w:lang w:val="en-GB"/>
              </w:rPr>
              <w:t>) involved in its management and/or safeguarding;</w:t>
            </w:r>
          </w:p>
          <w:p w14:paraId="5DB434AB" w14:textId="77777777" w:rsidR="003942C4" w:rsidRPr="00710CE9" w:rsidRDefault="003942C4" w:rsidP="006610D9">
            <w:pPr>
              <w:numPr>
                <w:ilvl w:val="0"/>
                <w:numId w:val="18"/>
              </w:numPr>
              <w:spacing w:before="120" w:after="120"/>
              <w:ind w:left="656" w:hanging="656"/>
              <w:jc w:val="both"/>
              <w:rPr>
                <w:rFonts w:ascii="Arial" w:hAnsi="Arial" w:cs="Arial"/>
                <w:sz w:val="22"/>
                <w:szCs w:val="22"/>
                <w:lang w:val="en-GB"/>
              </w:rPr>
            </w:pPr>
            <w:proofErr w:type="gramStart"/>
            <w:r w:rsidRPr="0096363C">
              <w:rPr>
                <w:rFonts w:ascii="Arial" w:hAnsi="Arial" w:cs="Arial"/>
                <w:sz w:val="22"/>
                <w:szCs w:val="22"/>
                <w:lang w:val="en-GB"/>
              </w:rPr>
              <w:t>the</w:t>
            </w:r>
            <w:proofErr w:type="gramEnd"/>
            <w:r w:rsidRPr="0096363C">
              <w:rPr>
                <w:rFonts w:ascii="Arial" w:hAnsi="Arial" w:cs="Arial"/>
                <w:sz w:val="22"/>
                <w:szCs w:val="22"/>
                <w:lang w:val="en-GB"/>
              </w:rPr>
              <w:t xml:space="preserve"> organization(s) of the community or group concerned with the element and its safeguarding.</w:t>
            </w:r>
          </w:p>
        </w:tc>
        <w:tc>
          <w:tcPr>
            <w:tcW w:w="250" w:type="pct"/>
          </w:tcPr>
          <w:p w14:paraId="65557CD4" w14:textId="77777777" w:rsidR="003942C4" w:rsidRPr="00BA4171" w:rsidRDefault="003942C4" w:rsidP="00196F2F">
            <w:pPr>
              <w:spacing w:before="120" w:after="120"/>
              <w:jc w:val="right"/>
              <w:rPr>
                <w:rFonts w:ascii="Arial" w:hAnsi="Arial" w:cs="Arial"/>
                <w:sz w:val="22"/>
                <w:szCs w:val="22"/>
                <w:lang w:val="en-GB"/>
              </w:rPr>
            </w:pPr>
            <w:r>
              <w:rPr>
                <w:rFonts w:ascii="Arial" w:hAnsi="Arial" w:cs="Arial"/>
                <w:sz w:val="22"/>
                <w:szCs w:val="22"/>
                <w:lang w:val="en-GB"/>
              </w:rPr>
              <w:t>158</w:t>
            </w:r>
            <w:r w:rsidRPr="00BA4171">
              <w:rPr>
                <w:rFonts w:ascii="Arial" w:hAnsi="Arial" w:cs="Arial"/>
                <w:sz w:val="22"/>
                <w:szCs w:val="22"/>
                <w:lang w:val="en-GB"/>
              </w:rPr>
              <w:t>.</w:t>
            </w:r>
          </w:p>
        </w:tc>
        <w:tc>
          <w:tcPr>
            <w:tcW w:w="2250" w:type="pct"/>
          </w:tcPr>
          <w:p w14:paraId="1BA2C2C2" w14:textId="77777777" w:rsidR="003942C4" w:rsidRPr="00BA4171" w:rsidRDefault="003942C4" w:rsidP="00196F2F">
            <w:pPr>
              <w:spacing w:before="120" w:after="120"/>
              <w:jc w:val="both"/>
              <w:rPr>
                <w:rFonts w:ascii="Arial" w:hAnsi="Arial" w:cs="Arial"/>
                <w:sz w:val="22"/>
                <w:szCs w:val="22"/>
                <w:lang w:val="en-GB"/>
              </w:rPr>
            </w:pPr>
            <w:r w:rsidRPr="00BA4171">
              <w:rPr>
                <w:rFonts w:ascii="Arial" w:hAnsi="Arial" w:cs="Arial"/>
                <w:sz w:val="22"/>
                <w:szCs w:val="22"/>
                <w:lang w:val="en-GB"/>
              </w:rPr>
              <w:t>No change.</w:t>
            </w:r>
          </w:p>
        </w:tc>
      </w:tr>
      <w:tr w:rsidR="003942C4" w:rsidRPr="00ED791F" w14:paraId="302A18E8" w14:textId="77777777" w:rsidTr="007E0DEF">
        <w:trPr>
          <w:cantSplit/>
        </w:trPr>
        <w:tc>
          <w:tcPr>
            <w:tcW w:w="250" w:type="pct"/>
            <w:gridSpan w:val="2"/>
            <w:shd w:val="clear" w:color="auto" w:fill="auto"/>
          </w:tcPr>
          <w:p w14:paraId="4AD354F2" w14:textId="77777777" w:rsidR="003942C4" w:rsidRPr="00A1056C" w:rsidRDefault="003942C4" w:rsidP="00196F2F">
            <w:pPr>
              <w:spacing w:before="120" w:after="120"/>
              <w:jc w:val="right"/>
              <w:rPr>
                <w:rFonts w:ascii="Arial" w:hAnsi="Arial" w:cs="Arial"/>
                <w:sz w:val="22"/>
                <w:szCs w:val="22"/>
                <w:lang w:val="en-GB"/>
              </w:rPr>
            </w:pPr>
            <w:r>
              <w:rPr>
                <w:rFonts w:ascii="Arial" w:hAnsi="Arial" w:cs="Arial"/>
                <w:sz w:val="22"/>
                <w:szCs w:val="22"/>
                <w:lang w:val="en-GB"/>
              </w:rPr>
              <w:lastRenderedPageBreak/>
              <w:t>159</w:t>
            </w:r>
            <w:r w:rsidRPr="00A1056C">
              <w:rPr>
                <w:rFonts w:ascii="Arial" w:hAnsi="Arial" w:cs="Arial"/>
                <w:sz w:val="22"/>
                <w:szCs w:val="22"/>
                <w:lang w:val="en-GB"/>
              </w:rPr>
              <w:t>.</w:t>
            </w:r>
          </w:p>
        </w:tc>
        <w:tc>
          <w:tcPr>
            <w:tcW w:w="2250" w:type="pct"/>
            <w:gridSpan w:val="2"/>
            <w:shd w:val="clear" w:color="auto" w:fill="auto"/>
          </w:tcPr>
          <w:p w14:paraId="286E9A90" w14:textId="77777777" w:rsidR="003942C4" w:rsidRPr="00710CE9" w:rsidRDefault="003942C4" w:rsidP="00196F2F">
            <w:pPr>
              <w:spacing w:before="120" w:after="120"/>
              <w:jc w:val="both"/>
              <w:rPr>
                <w:rFonts w:ascii="Arial" w:hAnsi="Arial" w:cs="Arial"/>
                <w:sz w:val="22"/>
                <w:szCs w:val="22"/>
                <w:lang w:val="en-GB"/>
              </w:rPr>
            </w:pPr>
            <w:r w:rsidRPr="0096363C">
              <w:rPr>
                <w:rFonts w:ascii="Arial" w:hAnsi="Arial" w:cs="Arial"/>
                <w:sz w:val="22"/>
                <w:szCs w:val="22"/>
                <w:lang w:val="en-GB"/>
              </w:rPr>
              <w:t>States Parties shall respond, in a timely manner, to specific requests addressed to them by the Committee for additional information, if needed between the deadlines set out in paragraph 152 above.</w:t>
            </w:r>
          </w:p>
        </w:tc>
        <w:tc>
          <w:tcPr>
            <w:tcW w:w="250" w:type="pct"/>
          </w:tcPr>
          <w:p w14:paraId="362C4734" w14:textId="77777777" w:rsidR="003942C4" w:rsidRPr="00BA4171" w:rsidRDefault="003942C4" w:rsidP="00196F2F">
            <w:pPr>
              <w:spacing w:before="120" w:after="120"/>
              <w:jc w:val="right"/>
              <w:rPr>
                <w:rFonts w:ascii="Arial" w:hAnsi="Arial" w:cs="Arial"/>
                <w:sz w:val="22"/>
                <w:szCs w:val="22"/>
                <w:lang w:val="en-GB"/>
              </w:rPr>
            </w:pPr>
            <w:r>
              <w:rPr>
                <w:rFonts w:ascii="Arial" w:hAnsi="Arial" w:cs="Arial"/>
                <w:sz w:val="22"/>
                <w:szCs w:val="22"/>
                <w:lang w:val="en-GB"/>
              </w:rPr>
              <w:t>159</w:t>
            </w:r>
            <w:r w:rsidRPr="00BA4171">
              <w:rPr>
                <w:rFonts w:ascii="Arial" w:hAnsi="Arial" w:cs="Arial"/>
                <w:sz w:val="22"/>
                <w:szCs w:val="22"/>
                <w:lang w:val="en-GB"/>
              </w:rPr>
              <w:t>.</w:t>
            </w:r>
          </w:p>
        </w:tc>
        <w:tc>
          <w:tcPr>
            <w:tcW w:w="2250" w:type="pct"/>
          </w:tcPr>
          <w:p w14:paraId="5BB454E7" w14:textId="23D56007" w:rsidR="003942C4" w:rsidRPr="00BA4171" w:rsidRDefault="00266661" w:rsidP="00126174">
            <w:pPr>
              <w:spacing w:before="120" w:after="120"/>
              <w:jc w:val="both"/>
              <w:rPr>
                <w:rFonts w:ascii="Arial" w:hAnsi="Arial" w:cs="Arial"/>
                <w:sz w:val="22"/>
                <w:szCs w:val="22"/>
                <w:lang w:val="en-GB"/>
              </w:rPr>
            </w:pPr>
            <w:r w:rsidRPr="0096363C">
              <w:rPr>
                <w:rFonts w:ascii="Arial" w:hAnsi="Arial" w:cs="Arial"/>
                <w:sz w:val="22"/>
                <w:szCs w:val="22"/>
                <w:lang w:val="en-GB"/>
              </w:rPr>
              <w:t xml:space="preserve">States Parties shall respond, in a timely manner, to specific requests addressed to them by the Committee for additional information, if needed </w:t>
            </w:r>
            <w:r w:rsidRPr="00266661">
              <w:rPr>
                <w:rFonts w:ascii="Arial" w:hAnsi="Arial" w:cs="Arial"/>
                <w:b/>
                <w:sz w:val="22"/>
                <w:szCs w:val="22"/>
                <w:u w:val="single"/>
                <w:lang w:val="en-GB"/>
              </w:rPr>
              <w:t xml:space="preserve">and independently </w:t>
            </w:r>
            <w:r w:rsidR="00126174">
              <w:rPr>
                <w:rFonts w:ascii="Arial" w:hAnsi="Arial" w:cs="Arial"/>
                <w:b/>
                <w:sz w:val="22"/>
                <w:szCs w:val="22"/>
                <w:u w:val="single"/>
                <w:lang w:val="en-GB"/>
              </w:rPr>
              <w:t>of</w:t>
            </w:r>
            <w:r w:rsidR="00126174" w:rsidRPr="00266661">
              <w:rPr>
                <w:rFonts w:ascii="Arial" w:hAnsi="Arial" w:cs="Arial"/>
                <w:b/>
                <w:sz w:val="22"/>
                <w:szCs w:val="22"/>
                <w:u w:val="single"/>
                <w:lang w:val="en-GB"/>
              </w:rPr>
              <w:t xml:space="preserve"> </w:t>
            </w:r>
            <w:r w:rsidRPr="00266661">
              <w:rPr>
                <w:rFonts w:ascii="Arial" w:hAnsi="Arial" w:cs="Arial"/>
                <w:b/>
                <w:sz w:val="22"/>
                <w:szCs w:val="22"/>
                <w:u w:val="single"/>
                <w:lang w:val="en-GB"/>
              </w:rPr>
              <w:t>the regional cycle set out by the Committee</w:t>
            </w:r>
            <w:r w:rsidR="00126174">
              <w:rPr>
                <w:rFonts w:ascii="Arial" w:hAnsi="Arial" w:cs="Arial"/>
                <w:b/>
                <w:sz w:val="22"/>
                <w:szCs w:val="22"/>
                <w:u w:val="single"/>
                <w:lang w:val="en-GB"/>
              </w:rPr>
              <w:t>,</w:t>
            </w:r>
            <w:r>
              <w:rPr>
                <w:rFonts w:ascii="Arial" w:hAnsi="Arial" w:cs="Arial"/>
                <w:sz w:val="22"/>
                <w:szCs w:val="22"/>
                <w:lang w:val="en-GB"/>
              </w:rPr>
              <w:t xml:space="preserve"> </w:t>
            </w:r>
            <w:r w:rsidRPr="00266661">
              <w:rPr>
                <w:rFonts w:ascii="Arial" w:hAnsi="Arial" w:cs="Arial"/>
                <w:strike/>
                <w:sz w:val="22"/>
                <w:szCs w:val="22"/>
                <w:lang w:val="en-GB"/>
              </w:rPr>
              <w:t>between the deadlines</w:t>
            </w:r>
            <w:r w:rsidRPr="0096363C">
              <w:rPr>
                <w:rFonts w:ascii="Arial" w:hAnsi="Arial" w:cs="Arial"/>
                <w:sz w:val="22"/>
                <w:szCs w:val="22"/>
                <w:lang w:val="en-GB"/>
              </w:rPr>
              <w:t xml:space="preserve"> </w:t>
            </w:r>
            <w:r w:rsidRPr="00266661">
              <w:rPr>
                <w:rFonts w:ascii="Arial" w:hAnsi="Arial" w:cs="Arial"/>
                <w:b/>
                <w:sz w:val="22"/>
                <w:szCs w:val="22"/>
                <w:u w:val="single"/>
                <w:lang w:val="en-GB"/>
              </w:rPr>
              <w:t>in compliance with</w:t>
            </w:r>
            <w:r>
              <w:rPr>
                <w:rFonts w:ascii="Arial" w:hAnsi="Arial" w:cs="Arial"/>
                <w:sz w:val="22"/>
                <w:szCs w:val="22"/>
                <w:lang w:val="en-GB"/>
              </w:rPr>
              <w:t xml:space="preserve"> </w:t>
            </w:r>
            <w:r w:rsidRPr="0096363C">
              <w:rPr>
                <w:rFonts w:ascii="Arial" w:hAnsi="Arial" w:cs="Arial"/>
                <w:sz w:val="22"/>
                <w:szCs w:val="22"/>
                <w:lang w:val="en-GB"/>
              </w:rPr>
              <w:t>paragraph 152 above.</w:t>
            </w:r>
          </w:p>
        </w:tc>
      </w:tr>
      <w:tr w:rsidR="003942C4" w:rsidRPr="00BA4171" w14:paraId="2C5C2A37" w14:textId="77777777" w:rsidTr="007E0DEF">
        <w:trPr>
          <w:cantSplit/>
        </w:trPr>
        <w:tc>
          <w:tcPr>
            <w:tcW w:w="250" w:type="pct"/>
            <w:gridSpan w:val="2"/>
            <w:shd w:val="clear" w:color="auto" w:fill="auto"/>
          </w:tcPr>
          <w:p w14:paraId="5A0A40D7" w14:textId="77777777" w:rsidR="003942C4" w:rsidRPr="00B36C17" w:rsidRDefault="003942C4" w:rsidP="00196F2F">
            <w:pPr>
              <w:spacing w:before="120" w:after="120"/>
              <w:jc w:val="right"/>
              <w:rPr>
                <w:rFonts w:ascii="Arial" w:hAnsi="Arial" w:cs="Arial"/>
                <w:sz w:val="22"/>
                <w:szCs w:val="22"/>
                <w:lang w:val="en-GB"/>
              </w:rPr>
            </w:pPr>
            <w:r>
              <w:rPr>
                <w:rFonts w:ascii="Arial" w:hAnsi="Arial" w:cs="Arial"/>
                <w:b/>
                <w:bCs/>
                <w:sz w:val="22"/>
                <w:szCs w:val="22"/>
                <w:lang w:val="en-GB"/>
              </w:rPr>
              <w:t>V.2</w:t>
            </w:r>
          </w:p>
        </w:tc>
        <w:tc>
          <w:tcPr>
            <w:tcW w:w="2250" w:type="pct"/>
            <w:gridSpan w:val="2"/>
            <w:shd w:val="clear" w:color="auto" w:fill="auto"/>
          </w:tcPr>
          <w:p w14:paraId="566659A9" w14:textId="77777777" w:rsidR="003942C4" w:rsidRPr="00E717A3" w:rsidRDefault="003942C4" w:rsidP="00196F2F">
            <w:pPr>
              <w:spacing w:before="120" w:after="120"/>
              <w:jc w:val="both"/>
              <w:rPr>
                <w:rFonts w:ascii="Arial" w:hAnsi="Arial" w:cs="Arial"/>
                <w:lang w:val="en-GB"/>
              </w:rPr>
            </w:pPr>
            <w:r w:rsidRPr="0096363C">
              <w:rPr>
                <w:rFonts w:ascii="Arial" w:hAnsi="Arial" w:cs="Arial"/>
                <w:b/>
                <w:bCs/>
                <w:lang w:val="en-GB"/>
              </w:rPr>
              <w:t>Reports by States Parties on elements inscribed on the List of Intangible Cultural Heritage in Need of Urgent Safeguarding</w:t>
            </w:r>
          </w:p>
        </w:tc>
        <w:tc>
          <w:tcPr>
            <w:tcW w:w="250" w:type="pct"/>
          </w:tcPr>
          <w:p w14:paraId="2F8A9544" w14:textId="77777777" w:rsidR="003942C4" w:rsidRPr="00B36C17" w:rsidRDefault="003942C4" w:rsidP="00196F2F">
            <w:pPr>
              <w:spacing w:before="120" w:after="120"/>
              <w:jc w:val="right"/>
              <w:rPr>
                <w:rFonts w:ascii="Arial" w:hAnsi="Arial" w:cs="Arial"/>
                <w:sz w:val="22"/>
                <w:szCs w:val="22"/>
                <w:lang w:val="en-GB"/>
              </w:rPr>
            </w:pPr>
            <w:r>
              <w:rPr>
                <w:rFonts w:ascii="Arial" w:hAnsi="Arial" w:cs="Arial"/>
                <w:b/>
                <w:bCs/>
                <w:sz w:val="22"/>
                <w:szCs w:val="22"/>
                <w:lang w:val="en-GB"/>
              </w:rPr>
              <w:t>V.2</w:t>
            </w:r>
          </w:p>
        </w:tc>
        <w:tc>
          <w:tcPr>
            <w:tcW w:w="2250" w:type="pct"/>
          </w:tcPr>
          <w:p w14:paraId="728D289E" w14:textId="77777777" w:rsidR="003942C4" w:rsidRPr="00B36C17" w:rsidRDefault="003942C4" w:rsidP="00196F2F">
            <w:pPr>
              <w:spacing w:before="120" w:after="120"/>
              <w:jc w:val="both"/>
              <w:rPr>
                <w:rFonts w:ascii="Arial" w:hAnsi="Arial" w:cs="Arial"/>
                <w:sz w:val="22"/>
                <w:szCs w:val="22"/>
                <w:lang w:val="en-GB"/>
              </w:rPr>
            </w:pPr>
            <w:r w:rsidRPr="00B36C17">
              <w:rPr>
                <w:rFonts w:ascii="Arial" w:hAnsi="Arial" w:cs="Arial"/>
                <w:sz w:val="22"/>
                <w:szCs w:val="22"/>
                <w:lang w:val="en-GB"/>
              </w:rPr>
              <w:t>No change.</w:t>
            </w:r>
          </w:p>
        </w:tc>
      </w:tr>
      <w:tr w:rsidR="003942C4" w:rsidRPr="00BA4171" w14:paraId="38ABCA2A" w14:textId="77777777" w:rsidTr="007E0DEF">
        <w:trPr>
          <w:cantSplit/>
        </w:trPr>
        <w:tc>
          <w:tcPr>
            <w:tcW w:w="250" w:type="pct"/>
            <w:gridSpan w:val="2"/>
            <w:shd w:val="clear" w:color="auto" w:fill="auto"/>
          </w:tcPr>
          <w:p w14:paraId="66CC3A59" w14:textId="77777777" w:rsidR="003942C4" w:rsidRPr="00A1056C" w:rsidRDefault="003942C4" w:rsidP="00196F2F">
            <w:pPr>
              <w:spacing w:before="120" w:after="120"/>
              <w:jc w:val="right"/>
              <w:rPr>
                <w:rFonts w:ascii="Arial" w:hAnsi="Arial" w:cs="Arial"/>
                <w:sz w:val="22"/>
                <w:szCs w:val="22"/>
                <w:lang w:val="en-GB"/>
              </w:rPr>
            </w:pPr>
            <w:r>
              <w:rPr>
                <w:rFonts w:ascii="Arial" w:hAnsi="Arial" w:cs="Arial"/>
                <w:sz w:val="22"/>
                <w:szCs w:val="22"/>
                <w:lang w:val="en-GB"/>
              </w:rPr>
              <w:t>160</w:t>
            </w:r>
            <w:r w:rsidRPr="00A1056C">
              <w:rPr>
                <w:rFonts w:ascii="Arial" w:hAnsi="Arial" w:cs="Arial"/>
                <w:sz w:val="22"/>
                <w:szCs w:val="22"/>
                <w:lang w:val="en-GB"/>
              </w:rPr>
              <w:t>.</w:t>
            </w:r>
          </w:p>
        </w:tc>
        <w:tc>
          <w:tcPr>
            <w:tcW w:w="2250" w:type="pct"/>
            <w:gridSpan w:val="2"/>
            <w:shd w:val="clear" w:color="auto" w:fill="auto"/>
          </w:tcPr>
          <w:p w14:paraId="43E75547" w14:textId="7C304B20" w:rsidR="003942C4" w:rsidRPr="00710CE9" w:rsidRDefault="006610D9" w:rsidP="00196F2F">
            <w:pPr>
              <w:spacing w:before="120" w:after="120"/>
              <w:jc w:val="both"/>
              <w:rPr>
                <w:rFonts w:ascii="Arial" w:hAnsi="Arial" w:cs="Arial"/>
                <w:sz w:val="22"/>
                <w:szCs w:val="22"/>
                <w:lang w:val="en-GB"/>
              </w:rPr>
            </w:pPr>
            <w:r w:rsidRPr="006610D9">
              <w:rPr>
                <w:rFonts w:ascii="Arial" w:hAnsi="Arial" w:cs="Arial"/>
                <w:sz w:val="22"/>
                <w:szCs w:val="22"/>
                <w:lang w:val="en-GB"/>
              </w:rPr>
              <w:t>Each State Party shall submit to the Committee reports on the status of elements of intangible cultural heritage present in its territory that have been inscribed on the List of Intangible Cultural Heritage in Need of Urgent Safeguarding at its request or, in cases of extreme urgency, after consultation with it. The State Party shall endeavour to involve as broadly as possible the communities, groups and, where applicable, individuals concerned as well as relevant non-governmental organizations during the process of preparation of such reports.</w:t>
            </w:r>
          </w:p>
        </w:tc>
        <w:tc>
          <w:tcPr>
            <w:tcW w:w="250" w:type="pct"/>
          </w:tcPr>
          <w:p w14:paraId="1CBF62AE" w14:textId="77777777" w:rsidR="003942C4" w:rsidRPr="00BA4171" w:rsidRDefault="003942C4" w:rsidP="00196F2F">
            <w:pPr>
              <w:spacing w:before="120" w:after="120"/>
              <w:jc w:val="right"/>
              <w:rPr>
                <w:rFonts w:ascii="Arial" w:hAnsi="Arial" w:cs="Arial"/>
                <w:sz w:val="22"/>
                <w:szCs w:val="22"/>
                <w:lang w:val="en-GB"/>
              </w:rPr>
            </w:pPr>
            <w:r>
              <w:rPr>
                <w:rFonts w:ascii="Arial" w:hAnsi="Arial" w:cs="Arial"/>
                <w:sz w:val="22"/>
                <w:szCs w:val="22"/>
                <w:lang w:val="en-GB"/>
              </w:rPr>
              <w:t>160</w:t>
            </w:r>
            <w:r w:rsidRPr="00BA4171">
              <w:rPr>
                <w:rFonts w:ascii="Arial" w:hAnsi="Arial" w:cs="Arial"/>
                <w:sz w:val="22"/>
                <w:szCs w:val="22"/>
                <w:lang w:val="en-GB"/>
              </w:rPr>
              <w:t>.</w:t>
            </w:r>
          </w:p>
        </w:tc>
        <w:tc>
          <w:tcPr>
            <w:tcW w:w="2250" w:type="pct"/>
          </w:tcPr>
          <w:p w14:paraId="75397789" w14:textId="23BD49AB" w:rsidR="003942C4" w:rsidRPr="00BA4171" w:rsidRDefault="00266661" w:rsidP="00266661">
            <w:pPr>
              <w:spacing w:before="120" w:after="120"/>
              <w:jc w:val="both"/>
              <w:rPr>
                <w:rFonts w:ascii="Arial" w:hAnsi="Arial" w:cs="Arial"/>
                <w:sz w:val="22"/>
                <w:szCs w:val="22"/>
                <w:lang w:val="en-GB"/>
              </w:rPr>
            </w:pPr>
            <w:r>
              <w:rPr>
                <w:rFonts w:ascii="Arial" w:hAnsi="Arial" w:cs="Arial"/>
                <w:sz w:val="22"/>
                <w:szCs w:val="22"/>
                <w:lang w:val="en-GB"/>
              </w:rPr>
              <w:t>No change.</w:t>
            </w:r>
          </w:p>
        </w:tc>
      </w:tr>
      <w:tr w:rsidR="003942C4" w:rsidRPr="00ED791F" w14:paraId="62C63FE9" w14:textId="77777777" w:rsidTr="007E0DEF">
        <w:trPr>
          <w:cantSplit/>
        </w:trPr>
        <w:tc>
          <w:tcPr>
            <w:tcW w:w="250" w:type="pct"/>
            <w:gridSpan w:val="2"/>
            <w:shd w:val="clear" w:color="auto" w:fill="auto"/>
          </w:tcPr>
          <w:p w14:paraId="31778FCA" w14:textId="77777777" w:rsidR="003942C4" w:rsidRPr="00A1056C" w:rsidRDefault="003942C4" w:rsidP="00196F2F">
            <w:pPr>
              <w:spacing w:before="120" w:after="120"/>
              <w:jc w:val="right"/>
              <w:rPr>
                <w:rFonts w:ascii="Arial" w:hAnsi="Arial" w:cs="Arial"/>
                <w:sz w:val="22"/>
                <w:szCs w:val="22"/>
                <w:lang w:val="en-GB"/>
              </w:rPr>
            </w:pPr>
            <w:r>
              <w:rPr>
                <w:rFonts w:ascii="Arial" w:hAnsi="Arial" w:cs="Arial"/>
                <w:sz w:val="22"/>
                <w:szCs w:val="22"/>
                <w:lang w:val="en-GB"/>
              </w:rPr>
              <w:t>161</w:t>
            </w:r>
            <w:r w:rsidRPr="00A1056C">
              <w:rPr>
                <w:rFonts w:ascii="Arial" w:hAnsi="Arial" w:cs="Arial"/>
                <w:sz w:val="22"/>
                <w:szCs w:val="22"/>
                <w:lang w:val="en-GB"/>
              </w:rPr>
              <w:t>.</w:t>
            </w:r>
          </w:p>
        </w:tc>
        <w:tc>
          <w:tcPr>
            <w:tcW w:w="2250" w:type="pct"/>
            <w:gridSpan w:val="2"/>
            <w:shd w:val="clear" w:color="auto" w:fill="auto"/>
          </w:tcPr>
          <w:p w14:paraId="52D40CC0" w14:textId="256F8AB6" w:rsidR="003942C4" w:rsidRPr="00710CE9" w:rsidRDefault="006610D9" w:rsidP="00480371">
            <w:pPr>
              <w:spacing w:before="120" w:after="120"/>
              <w:jc w:val="both"/>
              <w:rPr>
                <w:rFonts w:ascii="Arial" w:hAnsi="Arial" w:cs="Arial"/>
                <w:sz w:val="22"/>
                <w:szCs w:val="22"/>
                <w:lang w:val="en-GB"/>
              </w:rPr>
            </w:pPr>
            <w:r w:rsidRPr="006610D9">
              <w:rPr>
                <w:rFonts w:ascii="Arial" w:hAnsi="Arial" w:cs="Arial"/>
                <w:sz w:val="22"/>
                <w:szCs w:val="22"/>
                <w:lang w:val="en-GB"/>
              </w:rPr>
              <w:t xml:space="preserve">Such reports </w:t>
            </w:r>
            <w:proofErr w:type="gramStart"/>
            <w:r w:rsidRPr="006610D9">
              <w:rPr>
                <w:rFonts w:ascii="Arial" w:hAnsi="Arial" w:cs="Arial"/>
                <w:sz w:val="22"/>
                <w:szCs w:val="22"/>
                <w:lang w:val="en-GB"/>
              </w:rPr>
              <w:t>shall normally be submitted</w:t>
            </w:r>
            <w:proofErr w:type="gramEnd"/>
            <w:r w:rsidRPr="006610D9">
              <w:rPr>
                <w:rFonts w:ascii="Arial" w:hAnsi="Arial" w:cs="Arial"/>
                <w:sz w:val="22"/>
                <w:szCs w:val="22"/>
                <w:lang w:val="en-GB"/>
              </w:rPr>
              <w:t xml:space="preserve"> to the Committee by 15</w:t>
            </w:r>
            <w:r w:rsidR="00480371">
              <w:rPr>
                <w:rFonts w:ascii="Arial" w:hAnsi="Arial" w:cs="Arial"/>
                <w:sz w:val="22"/>
                <w:szCs w:val="22"/>
                <w:lang w:val="en-GB"/>
              </w:rPr>
              <w:t> </w:t>
            </w:r>
            <w:r w:rsidRPr="006610D9">
              <w:rPr>
                <w:rFonts w:ascii="Arial" w:hAnsi="Arial" w:cs="Arial"/>
                <w:sz w:val="22"/>
                <w:szCs w:val="22"/>
                <w:lang w:val="en-GB"/>
              </w:rPr>
              <w:t xml:space="preserve">December of the fourth year following the year in which the element was inscribed, and every fourth year thereafter. Form ICH-11 </w:t>
            </w:r>
            <w:proofErr w:type="gramStart"/>
            <w:r w:rsidRPr="006610D9">
              <w:rPr>
                <w:rFonts w:ascii="Arial" w:hAnsi="Arial" w:cs="Arial"/>
                <w:sz w:val="22"/>
                <w:szCs w:val="22"/>
                <w:lang w:val="en-GB"/>
              </w:rPr>
              <w:t>is used</w:t>
            </w:r>
            <w:proofErr w:type="gramEnd"/>
            <w:r w:rsidRPr="006610D9">
              <w:rPr>
                <w:rFonts w:ascii="Arial" w:hAnsi="Arial" w:cs="Arial"/>
                <w:sz w:val="22"/>
                <w:szCs w:val="22"/>
                <w:lang w:val="en-GB"/>
              </w:rPr>
              <w:t xml:space="preserve"> for such reports, available at </w:t>
            </w:r>
            <w:hyperlink r:id="rId19" w:history="1">
              <w:r w:rsidR="00480371" w:rsidRPr="0005136F">
                <w:rPr>
                  <w:rStyle w:val="Hyperlink"/>
                  <w:rFonts w:ascii="Arial" w:hAnsi="Arial" w:cs="Arial"/>
                  <w:sz w:val="22"/>
                  <w:szCs w:val="22"/>
                  <w:lang w:val="en-GB"/>
                </w:rPr>
                <w:t>www.unesco.org/culture/ich</w:t>
              </w:r>
            </w:hyperlink>
            <w:r w:rsidR="00480371">
              <w:rPr>
                <w:rFonts w:ascii="Arial" w:hAnsi="Arial" w:cs="Arial"/>
                <w:sz w:val="22"/>
                <w:szCs w:val="22"/>
                <w:lang w:val="en-GB"/>
              </w:rPr>
              <w:t xml:space="preserve"> </w:t>
            </w:r>
            <w:r w:rsidRPr="006610D9">
              <w:rPr>
                <w:rFonts w:ascii="Arial" w:hAnsi="Arial" w:cs="Arial"/>
                <w:sz w:val="22"/>
                <w:szCs w:val="22"/>
                <w:lang w:val="en-GB"/>
              </w:rPr>
              <w:t xml:space="preserve">or on request from the Secretariat. The reports shall include only the information requested in the form. At the time of </w:t>
            </w:r>
            <w:proofErr w:type="gramStart"/>
            <w:r w:rsidRPr="006610D9">
              <w:rPr>
                <w:rFonts w:ascii="Arial" w:hAnsi="Arial" w:cs="Arial"/>
                <w:sz w:val="22"/>
                <w:szCs w:val="22"/>
                <w:lang w:val="en-GB"/>
              </w:rPr>
              <w:t>inscription</w:t>
            </w:r>
            <w:proofErr w:type="gramEnd"/>
            <w:r w:rsidRPr="006610D9">
              <w:rPr>
                <w:rFonts w:ascii="Arial" w:hAnsi="Arial" w:cs="Arial"/>
                <w:sz w:val="22"/>
                <w:szCs w:val="22"/>
                <w:lang w:val="en-GB"/>
              </w:rPr>
              <w:t xml:space="preserve"> the Committee may on a case-by-case basis establish a specific timetable for reporting that will take precedence over the normal four-year cycle.</w:t>
            </w:r>
          </w:p>
        </w:tc>
        <w:tc>
          <w:tcPr>
            <w:tcW w:w="250" w:type="pct"/>
          </w:tcPr>
          <w:p w14:paraId="2BFA0FD2" w14:textId="77777777" w:rsidR="003942C4" w:rsidRPr="00BA4171" w:rsidRDefault="003942C4" w:rsidP="00196F2F">
            <w:pPr>
              <w:spacing w:before="120" w:after="120"/>
              <w:jc w:val="right"/>
              <w:rPr>
                <w:rFonts w:ascii="Arial" w:hAnsi="Arial" w:cs="Arial"/>
                <w:sz w:val="22"/>
                <w:szCs w:val="22"/>
                <w:lang w:val="en-GB"/>
              </w:rPr>
            </w:pPr>
            <w:r>
              <w:rPr>
                <w:rFonts w:ascii="Arial" w:hAnsi="Arial" w:cs="Arial"/>
                <w:sz w:val="22"/>
                <w:szCs w:val="22"/>
                <w:lang w:val="en-GB"/>
              </w:rPr>
              <w:t>161</w:t>
            </w:r>
            <w:r w:rsidRPr="00BA4171">
              <w:rPr>
                <w:rFonts w:ascii="Arial" w:hAnsi="Arial" w:cs="Arial"/>
                <w:sz w:val="22"/>
                <w:szCs w:val="22"/>
                <w:lang w:val="en-GB"/>
              </w:rPr>
              <w:t>.</w:t>
            </w:r>
          </w:p>
        </w:tc>
        <w:tc>
          <w:tcPr>
            <w:tcW w:w="2250" w:type="pct"/>
          </w:tcPr>
          <w:p w14:paraId="333DBE9C" w14:textId="6FB8AFB9" w:rsidR="003942C4" w:rsidRPr="00BA4171" w:rsidRDefault="00480371" w:rsidP="00126174">
            <w:pPr>
              <w:spacing w:before="120" w:after="120"/>
              <w:jc w:val="both"/>
              <w:rPr>
                <w:rFonts w:ascii="Arial" w:hAnsi="Arial" w:cs="Arial"/>
                <w:sz w:val="22"/>
                <w:szCs w:val="22"/>
                <w:lang w:val="en-GB"/>
              </w:rPr>
            </w:pPr>
            <w:r w:rsidRPr="006610D9">
              <w:rPr>
                <w:rFonts w:ascii="Arial" w:hAnsi="Arial" w:cs="Arial"/>
                <w:sz w:val="22"/>
                <w:szCs w:val="22"/>
                <w:lang w:val="en-GB"/>
              </w:rPr>
              <w:t xml:space="preserve">Such reports </w:t>
            </w:r>
            <w:proofErr w:type="gramStart"/>
            <w:r w:rsidRPr="006610D9">
              <w:rPr>
                <w:rFonts w:ascii="Arial" w:hAnsi="Arial" w:cs="Arial"/>
                <w:sz w:val="22"/>
                <w:szCs w:val="22"/>
                <w:lang w:val="en-GB"/>
              </w:rPr>
              <w:t>shall normally be submitted</w:t>
            </w:r>
            <w:proofErr w:type="gramEnd"/>
            <w:r w:rsidRPr="006610D9">
              <w:rPr>
                <w:rFonts w:ascii="Arial" w:hAnsi="Arial" w:cs="Arial"/>
                <w:sz w:val="22"/>
                <w:szCs w:val="22"/>
                <w:lang w:val="en-GB"/>
              </w:rPr>
              <w:t xml:space="preserve"> to the Committee by 15</w:t>
            </w:r>
            <w:r>
              <w:rPr>
                <w:rFonts w:ascii="Arial" w:hAnsi="Arial" w:cs="Arial"/>
                <w:sz w:val="22"/>
                <w:szCs w:val="22"/>
                <w:lang w:val="en-GB"/>
              </w:rPr>
              <w:t xml:space="preserve"> </w:t>
            </w:r>
            <w:r w:rsidRPr="006610D9">
              <w:rPr>
                <w:rFonts w:ascii="Arial" w:hAnsi="Arial" w:cs="Arial"/>
                <w:sz w:val="22"/>
                <w:szCs w:val="22"/>
                <w:lang w:val="en-GB"/>
              </w:rPr>
              <w:t xml:space="preserve">December of the fourth year following the year in which the element was inscribed, and every fourth year thereafter. </w:t>
            </w:r>
            <w:r w:rsidRPr="000A2E3E">
              <w:rPr>
                <w:rFonts w:ascii="Arial" w:hAnsi="Arial" w:cs="Arial"/>
                <w:sz w:val="22"/>
                <w:szCs w:val="22"/>
                <w:lang w:val="en-GB"/>
              </w:rPr>
              <w:t xml:space="preserve">Form ICH-11 </w:t>
            </w:r>
            <w:proofErr w:type="gramStart"/>
            <w:r w:rsidRPr="000A2E3E">
              <w:rPr>
                <w:rFonts w:ascii="Arial" w:hAnsi="Arial" w:cs="Arial"/>
                <w:strike/>
                <w:sz w:val="22"/>
                <w:szCs w:val="22"/>
                <w:lang w:val="en-GB"/>
              </w:rPr>
              <w:t>is used</w:t>
            </w:r>
            <w:proofErr w:type="gramEnd"/>
            <w:r w:rsidRPr="000A2E3E">
              <w:rPr>
                <w:rFonts w:ascii="Arial" w:hAnsi="Arial" w:cs="Arial"/>
                <w:strike/>
                <w:sz w:val="22"/>
                <w:szCs w:val="22"/>
                <w:lang w:val="en-GB"/>
              </w:rPr>
              <w:t xml:space="preserve"> for such reports, available at </w:t>
            </w:r>
            <w:hyperlink r:id="rId20" w:history="1">
              <w:r w:rsidR="000A2E3E" w:rsidRPr="000A2E3E">
                <w:rPr>
                  <w:rStyle w:val="Hyperlink"/>
                  <w:rFonts w:ascii="Arial" w:hAnsi="Arial" w:cs="Arial"/>
                  <w:strike/>
                  <w:sz w:val="22"/>
                  <w:szCs w:val="22"/>
                  <w:lang w:val="en-GB"/>
                </w:rPr>
                <w:t>www.unesco.org/culture/ich</w:t>
              </w:r>
            </w:hyperlink>
            <w:r w:rsidRPr="000A2E3E">
              <w:rPr>
                <w:rFonts w:ascii="Arial" w:hAnsi="Arial" w:cs="Arial"/>
                <w:strike/>
                <w:sz w:val="22"/>
                <w:szCs w:val="22"/>
                <w:lang w:val="en-GB"/>
              </w:rPr>
              <w:t xml:space="preserve"> or on request from the Secretariat. The reports shall include only the information requested in the form.</w:t>
            </w:r>
            <w:r w:rsidR="000A2E3E">
              <w:rPr>
                <w:rFonts w:ascii="Arial" w:hAnsi="Arial" w:cs="Arial"/>
                <w:sz w:val="22"/>
                <w:szCs w:val="22"/>
                <w:lang w:val="en-GB"/>
              </w:rPr>
              <w:t xml:space="preserve"> </w:t>
            </w:r>
            <w:proofErr w:type="gramStart"/>
            <w:r w:rsidR="00126174">
              <w:rPr>
                <w:rFonts w:ascii="Arial" w:hAnsi="Arial" w:cs="Arial"/>
                <w:b/>
                <w:color w:val="000000"/>
                <w:sz w:val="22"/>
                <w:szCs w:val="22"/>
                <w:u w:val="single"/>
                <w:lang w:val="en-GB"/>
              </w:rPr>
              <w:t>must</w:t>
            </w:r>
            <w:proofErr w:type="gramEnd"/>
            <w:r w:rsidR="000A2E3E" w:rsidRPr="000A2E3E">
              <w:rPr>
                <w:rFonts w:ascii="Arial" w:hAnsi="Arial" w:cs="Arial"/>
                <w:b/>
                <w:color w:val="000000"/>
                <w:sz w:val="22"/>
                <w:szCs w:val="22"/>
                <w:u w:val="single"/>
                <w:lang w:val="en-GB"/>
              </w:rPr>
              <w:t xml:space="preserve"> be completed online by each State Party (</w:t>
            </w:r>
            <w:hyperlink r:id="rId21" w:history="1">
              <w:r w:rsidR="000A2E3E" w:rsidRPr="000A2E3E">
                <w:rPr>
                  <w:rStyle w:val="Hyperlink"/>
                  <w:rFonts w:ascii="Arial" w:hAnsi="Arial" w:cs="Arial"/>
                  <w:b/>
                  <w:sz w:val="22"/>
                  <w:szCs w:val="22"/>
                  <w:lang w:val="en-GB"/>
                </w:rPr>
                <w:t>https://ich.unesco.org/</w:t>
              </w:r>
            </w:hyperlink>
            <w:r w:rsidR="000A2E3E">
              <w:rPr>
                <w:rFonts w:ascii="Arial" w:hAnsi="Arial" w:cs="Arial"/>
                <w:b/>
                <w:color w:val="000000"/>
                <w:sz w:val="22"/>
                <w:szCs w:val="22"/>
                <w:u w:val="single"/>
                <w:lang w:val="en-GB"/>
              </w:rPr>
              <w:t>) and</w:t>
            </w:r>
            <w:r w:rsidR="000A2E3E" w:rsidRPr="000A2E3E">
              <w:rPr>
                <w:rFonts w:ascii="Arial" w:hAnsi="Arial" w:cs="Arial"/>
                <w:b/>
                <w:color w:val="000000"/>
                <w:sz w:val="22"/>
                <w:szCs w:val="22"/>
                <w:u w:val="single"/>
                <w:lang w:val="en-GB"/>
              </w:rPr>
              <w:t xml:space="preserve"> is revised at appropriate intervals</w:t>
            </w:r>
            <w:r w:rsidR="000A2E3E">
              <w:rPr>
                <w:rFonts w:ascii="Arial" w:hAnsi="Arial" w:cs="Arial"/>
                <w:b/>
                <w:color w:val="000000"/>
                <w:sz w:val="22"/>
                <w:szCs w:val="22"/>
                <w:u w:val="single"/>
                <w:lang w:val="en-GB"/>
              </w:rPr>
              <w:t xml:space="preserve"> </w:t>
            </w:r>
            <w:r w:rsidR="000A2E3E" w:rsidRPr="000A2E3E">
              <w:rPr>
                <w:rFonts w:ascii="Arial" w:hAnsi="Arial" w:cs="Arial"/>
                <w:b/>
                <w:color w:val="000000"/>
                <w:sz w:val="22"/>
                <w:szCs w:val="22"/>
                <w:u w:val="single"/>
                <w:lang w:val="en-GB"/>
              </w:rPr>
              <w:t>by the Secretariat.</w:t>
            </w:r>
            <w:r w:rsidRPr="000A2E3E">
              <w:rPr>
                <w:rFonts w:ascii="Arial" w:hAnsi="Arial" w:cs="Arial"/>
                <w:sz w:val="22"/>
                <w:szCs w:val="22"/>
                <w:lang w:val="en-GB"/>
              </w:rPr>
              <w:t xml:space="preserve"> At the time of inscription</w:t>
            </w:r>
            <w:r w:rsidR="00126174">
              <w:rPr>
                <w:rFonts w:ascii="Arial" w:hAnsi="Arial" w:cs="Arial"/>
                <w:sz w:val="22"/>
                <w:szCs w:val="22"/>
                <w:lang w:val="en-GB"/>
              </w:rPr>
              <w:t>,</w:t>
            </w:r>
            <w:r w:rsidRPr="000A2E3E">
              <w:rPr>
                <w:rFonts w:ascii="Arial" w:hAnsi="Arial" w:cs="Arial"/>
                <w:sz w:val="22"/>
                <w:szCs w:val="22"/>
                <w:lang w:val="en-GB"/>
              </w:rPr>
              <w:t xml:space="preserve"> the Committee may establish a specific timetable for reporting </w:t>
            </w:r>
            <w:r w:rsidR="00126174" w:rsidRPr="000A2E3E">
              <w:rPr>
                <w:rFonts w:ascii="Arial" w:hAnsi="Arial" w:cs="Arial"/>
                <w:sz w:val="22"/>
                <w:szCs w:val="22"/>
                <w:lang w:val="en-GB"/>
              </w:rPr>
              <w:t>on a case-by-case basis</w:t>
            </w:r>
            <w:r w:rsidR="00126174">
              <w:rPr>
                <w:rFonts w:ascii="Arial" w:hAnsi="Arial" w:cs="Arial"/>
                <w:sz w:val="22"/>
                <w:szCs w:val="22"/>
                <w:lang w:val="en-GB"/>
              </w:rPr>
              <w:t>,</w:t>
            </w:r>
            <w:r w:rsidR="00126174" w:rsidRPr="000A2E3E">
              <w:rPr>
                <w:rFonts w:ascii="Arial" w:hAnsi="Arial" w:cs="Arial"/>
                <w:sz w:val="22"/>
                <w:szCs w:val="22"/>
                <w:lang w:val="en-GB"/>
              </w:rPr>
              <w:t xml:space="preserve"> </w:t>
            </w:r>
            <w:r w:rsidR="00126174">
              <w:rPr>
                <w:rFonts w:ascii="Arial" w:hAnsi="Arial" w:cs="Arial"/>
                <w:sz w:val="22"/>
                <w:szCs w:val="22"/>
                <w:lang w:val="en-GB"/>
              </w:rPr>
              <w:t>which</w:t>
            </w:r>
            <w:r w:rsidR="00126174" w:rsidRPr="000A2E3E">
              <w:rPr>
                <w:rFonts w:ascii="Arial" w:hAnsi="Arial" w:cs="Arial"/>
                <w:sz w:val="22"/>
                <w:szCs w:val="22"/>
                <w:lang w:val="en-GB"/>
              </w:rPr>
              <w:t xml:space="preserve"> </w:t>
            </w:r>
            <w:r w:rsidRPr="000A2E3E">
              <w:rPr>
                <w:rFonts w:ascii="Arial" w:hAnsi="Arial" w:cs="Arial"/>
                <w:sz w:val="22"/>
                <w:szCs w:val="22"/>
                <w:lang w:val="en-GB"/>
              </w:rPr>
              <w:t>will take precedence over the normal four-year cycle.</w:t>
            </w:r>
          </w:p>
        </w:tc>
      </w:tr>
      <w:tr w:rsidR="003942C4" w:rsidRPr="00ED791F" w14:paraId="58F91AE2" w14:textId="77777777" w:rsidTr="007E0DEF">
        <w:trPr>
          <w:cantSplit/>
        </w:trPr>
        <w:tc>
          <w:tcPr>
            <w:tcW w:w="250" w:type="pct"/>
            <w:gridSpan w:val="2"/>
            <w:shd w:val="clear" w:color="auto" w:fill="auto"/>
          </w:tcPr>
          <w:p w14:paraId="6A8EB44B" w14:textId="77777777" w:rsidR="003942C4" w:rsidRPr="00A1056C" w:rsidRDefault="003942C4" w:rsidP="00196F2F">
            <w:pPr>
              <w:spacing w:before="120" w:after="120"/>
              <w:jc w:val="right"/>
              <w:rPr>
                <w:rFonts w:ascii="Arial" w:hAnsi="Arial" w:cs="Arial"/>
                <w:sz w:val="22"/>
                <w:szCs w:val="22"/>
                <w:lang w:val="en-GB"/>
              </w:rPr>
            </w:pPr>
            <w:r>
              <w:rPr>
                <w:rFonts w:ascii="Arial" w:hAnsi="Arial" w:cs="Arial"/>
                <w:sz w:val="22"/>
                <w:szCs w:val="22"/>
                <w:lang w:val="en-GB"/>
              </w:rPr>
              <w:lastRenderedPageBreak/>
              <w:t>162</w:t>
            </w:r>
            <w:r w:rsidRPr="00A1056C">
              <w:rPr>
                <w:rFonts w:ascii="Arial" w:hAnsi="Arial" w:cs="Arial"/>
                <w:sz w:val="22"/>
                <w:szCs w:val="22"/>
                <w:lang w:val="en-GB"/>
              </w:rPr>
              <w:t>.</w:t>
            </w:r>
          </w:p>
        </w:tc>
        <w:tc>
          <w:tcPr>
            <w:tcW w:w="2250" w:type="pct"/>
            <w:gridSpan w:val="2"/>
            <w:shd w:val="clear" w:color="auto" w:fill="auto"/>
          </w:tcPr>
          <w:p w14:paraId="7FA79B9A" w14:textId="46CC54C0" w:rsidR="003942C4" w:rsidRPr="0096363C" w:rsidRDefault="003942C4" w:rsidP="00196F2F">
            <w:pPr>
              <w:spacing w:before="120" w:after="120"/>
              <w:jc w:val="both"/>
              <w:rPr>
                <w:rFonts w:ascii="Arial" w:hAnsi="Arial" w:cs="Arial"/>
                <w:sz w:val="22"/>
                <w:szCs w:val="22"/>
                <w:lang w:val="en-GB"/>
              </w:rPr>
            </w:pPr>
            <w:r w:rsidRPr="0096363C">
              <w:rPr>
                <w:rFonts w:ascii="Arial" w:hAnsi="Arial" w:cs="Arial"/>
                <w:sz w:val="22"/>
                <w:szCs w:val="22"/>
                <w:lang w:val="en-GB"/>
              </w:rPr>
              <w:t xml:space="preserve">The State Party </w:t>
            </w:r>
            <w:r w:rsidR="00D166F8">
              <w:rPr>
                <w:rFonts w:ascii="Arial" w:hAnsi="Arial" w:cs="Arial"/>
                <w:sz w:val="22"/>
                <w:szCs w:val="22"/>
                <w:lang w:val="en-GB"/>
              </w:rPr>
              <w:t xml:space="preserve">shall pay special attention to the role of gender and shall </w:t>
            </w:r>
            <w:r w:rsidRPr="0096363C">
              <w:rPr>
                <w:rFonts w:ascii="Arial" w:hAnsi="Arial" w:cs="Arial"/>
                <w:sz w:val="22"/>
                <w:szCs w:val="22"/>
                <w:lang w:val="en-GB"/>
              </w:rPr>
              <w:t>report on the current status of the element, including:</w:t>
            </w:r>
          </w:p>
          <w:p w14:paraId="5C095489" w14:textId="77777777" w:rsidR="003942C4" w:rsidRPr="0096363C" w:rsidRDefault="003942C4" w:rsidP="00555C73">
            <w:pPr>
              <w:numPr>
                <w:ilvl w:val="0"/>
                <w:numId w:val="19"/>
              </w:numPr>
              <w:spacing w:before="120" w:after="120"/>
              <w:ind w:left="493" w:hanging="493"/>
              <w:jc w:val="both"/>
              <w:rPr>
                <w:rFonts w:ascii="Arial" w:hAnsi="Arial" w:cs="Arial"/>
                <w:sz w:val="22"/>
                <w:szCs w:val="22"/>
                <w:lang w:val="en-GB"/>
              </w:rPr>
            </w:pPr>
            <w:r w:rsidRPr="0096363C">
              <w:rPr>
                <w:rFonts w:ascii="Arial" w:hAnsi="Arial" w:cs="Arial"/>
                <w:sz w:val="22"/>
                <w:szCs w:val="22"/>
                <w:lang w:val="en-GB"/>
              </w:rPr>
              <w:t>its social and cultural functions;</w:t>
            </w:r>
          </w:p>
          <w:p w14:paraId="6CFCF3B1" w14:textId="77777777" w:rsidR="003942C4" w:rsidRPr="0096363C" w:rsidRDefault="003942C4" w:rsidP="00555C73">
            <w:pPr>
              <w:numPr>
                <w:ilvl w:val="0"/>
                <w:numId w:val="19"/>
              </w:numPr>
              <w:spacing w:before="120" w:after="120"/>
              <w:ind w:left="493" w:hanging="493"/>
              <w:jc w:val="both"/>
              <w:rPr>
                <w:rFonts w:ascii="Arial" w:hAnsi="Arial" w:cs="Arial"/>
                <w:sz w:val="22"/>
                <w:szCs w:val="22"/>
                <w:lang w:val="en-GB"/>
              </w:rPr>
            </w:pPr>
            <w:r w:rsidRPr="0096363C">
              <w:rPr>
                <w:rFonts w:ascii="Arial" w:hAnsi="Arial" w:cs="Arial"/>
                <w:sz w:val="22"/>
                <w:szCs w:val="22"/>
                <w:lang w:val="en-GB"/>
              </w:rPr>
              <w:t>an assessment of its viability and the current risks it faces;</w:t>
            </w:r>
          </w:p>
          <w:p w14:paraId="3F1DCB08" w14:textId="77777777" w:rsidR="003942C4" w:rsidRDefault="003942C4" w:rsidP="00555C73">
            <w:pPr>
              <w:numPr>
                <w:ilvl w:val="0"/>
                <w:numId w:val="19"/>
              </w:numPr>
              <w:spacing w:before="120" w:after="120"/>
              <w:ind w:left="493" w:hanging="493"/>
              <w:jc w:val="both"/>
              <w:rPr>
                <w:rFonts w:ascii="Arial" w:hAnsi="Arial" w:cs="Arial"/>
                <w:sz w:val="22"/>
                <w:szCs w:val="22"/>
                <w:lang w:val="en-GB"/>
              </w:rPr>
            </w:pPr>
            <w:r w:rsidRPr="0096363C">
              <w:rPr>
                <w:rFonts w:ascii="Arial" w:hAnsi="Arial" w:cs="Arial"/>
                <w:sz w:val="22"/>
                <w:szCs w:val="22"/>
                <w:lang w:val="en-GB"/>
              </w:rPr>
              <w:t>the impacts of the efforts to safeguard the element, particularly the implementation of the safeguarding plan that was submitted at the time of nomination;</w:t>
            </w:r>
          </w:p>
          <w:p w14:paraId="7502C3F3" w14:textId="77B2112B" w:rsidR="003942C4" w:rsidRPr="00710CE9" w:rsidRDefault="006610D9" w:rsidP="00555C73">
            <w:pPr>
              <w:numPr>
                <w:ilvl w:val="0"/>
                <w:numId w:val="19"/>
              </w:numPr>
              <w:spacing w:before="120" w:after="120"/>
              <w:ind w:left="493" w:hanging="493"/>
              <w:jc w:val="both"/>
              <w:rPr>
                <w:rFonts w:ascii="Arial" w:hAnsi="Arial" w:cs="Arial"/>
                <w:sz w:val="22"/>
                <w:szCs w:val="22"/>
                <w:lang w:val="en-GB"/>
              </w:rPr>
            </w:pPr>
            <w:proofErr w:type="gramStart"/>
            <w:r w:rsidRPr="006610D9">
              <w:rPr>
                <w:rFonts w:ascii="Arial" w:hAnsi="Arial" w:cs="Arial"/>
                <w:sz w:val="22"/>
                <w:szCs w:val="22"/>
                <w:lang w:val="en-GB"/>
              </w:rPr>
              <w:t>the</w:t>
            </w:r>
            <w:proofErr w:type="gramEnd"/>
            <w:r w:rsidRPr="006610D9">
              <w:rPr>
                <w:rFonts w:ascii="Arial" w:hAnsi="Arial" w:cs="Arial"/>
                <w:sz w:val="22"/>
                <w:szCs w:val="22"/>
                <w:lang w:val="en-GB"/>
              </w:rPr>
              <w:t xml:space="preserve"> participation of communities, groups and individuals as well as relevant non-governmental organizations in safeguarding the element and their continued commitment to its further safeguarding.</w:t>
            </w:r>
          </w:p>
        </w:tc>
        <w:tc>
          <w:tcPr>
            <w:tcW w:w="250" w:type="pct"/>
          </w:tcPr>
          <w:p w14:paraId="06243D83" w14:textId="77777777" w:rsidR="003942C4" w:rsidRPr="00BA4171" w:rsidRDefault="003942C4" w:rsidP="00196F2F">
            <w:pPr>
              <w:spacing w:before="120" w:after="120"/>
              <w:jc w:val="right"/>
              <w:rPr>
                <w:rFonts w:ascii="Arial" w:hAnsi="Arial" w:cs="Arial"/>
                <w:sz w:val="22"/>
                <w:szCs w:val="22"/>
                <w:lang w:val="en-GB"/>
              </w:rPr>
            </w:pPr>
            <w:r>
              <w:rPr>
                <w:rFonts w:ascii="Arial" w:hAnsi="Arial" w:cs="Arial"/>
                <w:sz w:val="22"/>
                <w:szCs w:val="22"/>
                <w:lang w:val="en-GB"/>
              </w:rPr>
              <w:t>162</w:t>
            </w:r>
            <w:r w:rsidRPr="00BA4171">
              <w:rPr>
                <w:rFonts w:ascii="Arial" w:hAnsi="Arial" w:cs="Arial"/>
                <w:sz w:val="22"/>
                <w:szCs w:val="22"/>
                <w:lang w:val="en-GB"/>
              </w:rPr>
              <w:t>.</w:t>
            </w:r>
          </w:p>
        </w:tc>
        <w:tc>
          <w:tcPr>
            <w:tcW w:w="2250" w:type="pct"/>
          </w:tcPr>
          <w:p w14:paraId="56E23B68" w14:textId="27DC24A4" w:rsidR="003942C4" w:rsidRDefault="005E4569" w:rsidP="00480371">
            <w:pPr>
              <w:spacing w:before="120" w:after="120"/>
              <w:jc w:val="both"/>
              <w:rPr>
                <w:rFonts w:ascii="Arial" w:hAnsi="Arial" w:cs="Arial"/>
                <w:sz w:val="22"/>
                <w:szCs w:val="22"/>
                <w:lang w:val="en-GB"/>
              </w:rPr>
            </w:pPr>
            <w:r w:rsidRPr="0096363C">
              <w:rPr>
                <w:rFonts w:ascii="Arial" w:hAnsi="Arial" w:cs="Arial"/>
                <w:sz w:val="22"/>
                <w:szCs w:val="22"/>
                <w:lang w:val="en-GB"/>
              </w:rPr>
              <w:t xml:space="preserve">The State Party </w:t>
            </w:r>
            <w:r w:rsidR="00D166F8">
              <w:rPr>
                <w:rFonts w:ascii="Arial" w:hAnsi="Arial" w:cs="Arial"/>
                <w:sz w:val="22"/>
                <w:szCs w:val="22"/>
                <w:lang w:val="en-GB"/>
              </w:rPr>
              <w:t xml:space="preserve">shall pay special attention to the role of gender and shall </w:t>
            </w:r>
            <w:r w:rsidRPr="0096363C">
              <w:rPr>
                <w:rFonts w:ascii="Arial" w:hAnsi="Arial" w:cs="Arial"/>
                <w:sz w:val="22"/>
                <w:szCs w:val="22"/>
                <w:lang w:val="en-GB"/>
              </w:rPr>
              <w:t>report on the current status of the element, including:</w:t>
            </w:r>
          </w:p>
          <w:p w14:paraId="440E5223" w14:textId="3ACB8D20" w:rsidR="005E4569" w:rsidRPr="005E4569" w:rsidRDefault="005E4569" w:rsidP="005E4569">
            <w:pPr>
              <w:pStyle w:val="ListParagraph"/>
              <w:numPr>
                <w:ilvl w:val="0"/>
                <w:numId w:val="22"/>
              </w:numPr>
              <w:spacing w:before="120" w:after="120"/>
              <w:ind w:left="493" w:hanging="493"/>
              <w:contextualSpacing w:val="0"/>
              <w:jc w:val="both"/>
              <w:rPr>
                <w:rFonts w:ascii="Arial" w:hAnsi="Arial" w:cs="Arial"/>
                <w:sz w:val="22"/>
                <w:szCs w:val="22"/>
                <w:lang w:val="en-GB"/>
              </w:rPr>
            </w:pPr>
            <w:r w:rsidRPr="005E4569">
              <w:rPr>
                <w:rFonts w:ascii="Arial" w:hAnsi="Arial" w:cs="Arial"/>
                <w:sz w:val="22"/>
                <w:szCs w:val="22"/>
                <w:lang w:val="en-GB"/>
              </w:rPr>
              <w:t>its social and cultural functions;</w:t>
            </w:r>
          </w:p>
          <w:p w14:paraId="7471E40D" w14:textId="7576CCD2" w:rsidR="005E4569" w:rsidRPr="005E4569" w:rsidRDefault="005E4569" w:rsidP="005E4569">
            <w:pPr>
              <w:pStyle w:val="ListParagraph"/>
              <w:numPr>
                <w:ilvl w:val="0"/>
                <w:numId w:val="22"/>
              </w:numPr>
              <w:spacing w:before="120" w:after="120"/>
              <w:ind w:left="493" w:hanging="493"/>
              <w:contextualSpacing w:val="0"/>
              <w:jc w:val="both"/>
              <w:rPr>
                <w:rFonts w:ascii="Arial" w:hAnsi="Arial" w:cs="Arial"/>
                <w:sz w:val="22"/>
                <w:szCs w:val="22"/>
                <w:lang w:val="en-GB"/>
              </w:rPr>
            </w:pPr>
            <w:r w:rsidRPr="005E4569">
              <w:rPr>
                <w:rFonts w:ascii="Arial" w:hAnsi="Arial" w:cs="Arial"/>
                <w:sz w:val="22"/>
                <w:szCs w:val="22"/>
                <w:lang w:val="en-GB"/>
              </w:rPr>
              <w:t>an assessment of its viability and the current risks it faces;</w:t>
            </w:r>
          </w:p>
          <w:p w14:paraId="5046B0AC" w14:textId="242B356C" w:rsidR="005E4569" w:rsidRPr="005E4569" w:rsidRDefault="005E4569" w:rsidP="005E4569">
            <w:pPr>
              <w:pStyle w:val="ListParagraph"/>
              <w:numPr>
                <w:ilvl w:val="0"/>
                <w:numId w:val="22"/>
              </w:numPr>
              <w:spacing w:before="120" w:after="120"/>
              <w:ind w:left="493" w:hanging="493"/>
              <w:contextualSpacing w:val="0"/>
              <w:jc w:val="both"/>
              <w:rPr>
                <w:rFonts w:ascii="Arial" w:hAnsi="Arial" w:cs="Arial"/>
                <w:sz w:val="22"/>
                <w:szCs w:val="22"/>
                <w:lang w:val="en-GB"/>
              </w:rPr>
            </w:pPr>
            <w:r w:rsidRPr="005E4569">
              <w:rPr>
                <w:rFonts w:ascii="Arial" w:hAnsi="Arial" w:cs="Arial"/>
                <w:sz w:val="22"/>
                <w:szCs w:val="22"/>
                <w:lang w:val="en-GB"/>
              </w:rPr>
              <w:t>the impacts of the efforts to safeguard the element, particularly the implementation of the safeguarding plan that was submitted at the time of nomination;</w:t>
            </w:r>
          </w:p>
          <w:p w14:paraId="01FE9EE9" w14:textId="1B3A5182" w:rsidR="005E4569" w:rsidRPr="005E4569" w:rsidRDefault="005E4569" w:rsidP="005E4569">
            <w:pPr>
              <w:pStyle w:val="ListParagraph"/>
              <w:numPr>
                <w:ilvl w:val="0"/>
                <w:numId w:val="22"/>
              </w:numPr>
              <w:spacing w:before="120" w:after="120"/>
              <w:ind w:left="493" w:hanging="493"/>
              <w:contextualSpacing w:val="0"/>
              <w:jc w:val="both"/>
              <w:rPr>
                <w:rFonts w:ascii="Arial" w:hAnsi="Arial" w:cs="Arial"/>
                <w:b/>
                <w:sz w:val="22"/>
                <w:szCs w:val="22"/>
                <w:u w:val="single"/>
                <w:lang w:val="en-GB"/>
              </w:rPr>
            </w:pPr>
            <w:r w:rsidRPr="005E4569">
              <w:rPr>
                <w:rFonts w:ascii="Arial" w:hAnsi="Arial" w:cs="Arial"/>
                <w:b/>
                <w:sz w:val="22"/>
                <w:szCs w:val="22"/>
                <w:u w:val="single"/>
                <w:lang w:val="en-GB"/>
              </w:rPr>
              <w:t xml:space="preserve">an </w:t>
            </w:r>
            <w:r w:rsidRPr="005E4569">
              <w:rPr>
                <w:rFonts w:ascii="Arial" w:hAnsi="Arial" w:cs="Arial"/>
                <w:b/>
                <w:sz w:val="22"/>
                <w:szCs w:val="22"/>
                <w:u w:val="single"/>
                <w:lang w:val="en-US"/>
              </w:rPr>
              <w:t xml:space="preserve">update of the safeguarding plan included in the nomination file or in </w:t>
            </w:r>
            <w:r w:rsidRPr="005E4569">
              <w:rPr>
                <w:rFonts w:ascii="Arial" w:hAnsi="Arial" w:cs="Arial"/>
                <w:b/>
                <w:sz w:val="22"/>
                <w:szCs w:val="22"/>
                <w:u w:val="single"/>
                <w:lang w:val="en-GB"/>
              </w:rPr>
              <w:t>the previous report;</w:t>
            </w:r>
          </w:p>
          <w:p w14:paraId="79B2BC92" w14:textId="4C74E2B2" w:rsidR="005E4569" w:rsidRPr="00537D34" w:rsidRDefault="005E4569" w:rsidP="005E4569">
            <w:pPr>
              <w:pStyle w:val="ListParagraph"/>
              <w:numPr>
                <w:ilvl w:val="0"/>
                <w:numId w:val="22"/>
              </w:numPr>
              <w:spacing w:before="120" w:after="120"/>
              <w:ind w:left="493" w:hanging="493"/>
              <w:contextualSpacing w:val="0"/>
              <w:jc w:val="both"/>
              <w:rPr>
                <w:rFonts w:ascii="Arial" w:hAnsi="Arial" w:cs="Arial"/>
                <w:b/>
                <w:bCs/>
                <w:sz w:val="22"/>
                <w:szCs w:val="22"/>
                <w:lang w:val="en-GB"/>
              </w:rPr>
            </w:pPr>
            <w:proofErr w:type="gramStart"/>
            <w:r w:rsidRPr="00726658">
              <w:rPr>
                <w:rFonts w:ascii="Arial" w:hAnsi="Arial" w:cs="Arial"/>
                <w:sz w:val="22"/>
                <w:szCs w:val="22"/>
                <w:lang w:val="en-GB"/>
              </w:rPr>
              <w:t>the</w:t>
            </w:r>
            <w:proofErr w:type="gramEnd"/>
            <w:r w:rsidRPr="00726658">
              <w:rPr>
                <w:rFonts w:ascii="Arial" w:hAnsi="Arial" w:cs="Arial"/>
                <w:sz w:val="22"/>
                <w:szCs w:val="22"/>
                <w:lang w:val="en-GB"/>
              </w:rPr>
              <w:t xml:space="preserve"> participation of communities, groups and individuals as well as relevant non-governmental organizations in safeguarding the element and their continued commitment to its further safeguarding.</w:t>
            </w:r>
          </w:p>
        </w:tc>
      </w:tr>
      <w:tr w:rsidR="003942C4" w:rsidRPr="00BA4171" w14:paraId="388007CA" w14:textId="77777777" w:rsidTr="007E0DEF">
        <w:trPr>
          <w:cantSplit/>
        </w:trPr>
        <w:tc>
          <w:tcPr>
            <w:tcW w:w="250" w:type="pct"/>
            <w:gridSpan w:val="2"/>
            <w:shd w:val="clear" w:color="auto" w:fill="auto"/>
          </w:tcPr>
          <w:p w14:paraId="67893507" w14:textId="77777777" w:rsidR="003942C4" w:rsidRPr="00A1056C" w:rsidRDefault="003942C4" w:rsidP="00196F2F">
            <w:pPr>
              <w:spacing w:before="120" w:after="120"/>
              <w:jc w:val="right"/>
              <w:rPr>
                <w:rFonts w:ascii="Arial" w:hAnsi="Arial" w:cs="Arial"/>
                <w:sz w:val="22"/>
                <w:szCs w:val="22"/>
                <w:lang w:val="en-GB"/>
              </w:rPr>
            </w:pPr>
            <w:r>
              <w:rPr>
                <w:rFonts w:ascii="Arial" w:hAnsi="Arial" w:cs="Arial"/>
                <w:sz w:val="22"/>
                <w:szCs w:val="22"/>
                <w:lang w:val="en-GB"/>
              </w:rPr>
              <w:t>163</w:t>
            </w:r>
            <w:r w:rsidRPr="00A1056C">
              <w:rPr>
                <w:rFonts w:ascii="Arial" w:hAnsi="Arial" w:cs="Arial"/>
                <w:sz w:val="22"/>
                <w:szCs w:val="22"/>
                <w:lang w:val="en-GB"/>
              </w:rPr>
              <w:t>.</w:t>
            </w:r>
          </w:p>
        </w:tc>
        <w:tc>
          <w:tcPr>
            <w:tcW w:w="2250" w:type="pct"/>
            <w:gridSpan w:val="2"/>
            <w:shd w:val="clear" w:color="auto" w:fill="auto"/>
          </w:tcPr>
          <w:p w14:paraId="15C44116" w14:textId="77777777" w:rsidR="003942C4" w:rsidRPr="0096363C" w:rsidRDefault="003942C4" w:rsidP="00196F2F">
            <w:pPr>
              <w:spacing w:before="120" w:after="120"/>
              <w:jc w:val="both"/>
              <w:rPr>
                <w:rFonts w:ascii="Arial" w:hAnsi="Arial" w:cs="Arial"/>
                <w:sz w:val="22"/>
                <w:szCs w:val="22"/>
                <w:lang w:val="en-GB"/>
              </w:rPr>
            </w:pPr>
            <w:r w:rsidRPr="0096363C">
              <w:rPr>
                <w:rFonts w:ascii="Arial" w:hAnsi="Arial" w:cs="Arial"/>
                <w:sz w:val="22"/>
                <w:szCs w:val="22"/>
                <w:lang w:val="en-GB"/>
              </w:rPr>
              <w:t>The State Party shall report on the institutional context for safeguarding the element inscribed on the List, including:</w:t>
            </w:r>
          </w:p>
          <w:p w14:paraId="25019FEB" w14:textId="77777777" w:rsidR="003942C4" w:rsidRDefault="003942C4" w:rsidP="006610D9">
            <w:pPr>
              <w:numPr>
                <w:ilvl w:val="0"/>
                <w:numId w:val="21"/>
              </w:numPr>
              <w:spacing w:before="120" w:after="120"/>
              <w:ind w:left="656" w:hanging="656"/>
              <w:jc w:val="both"/>
              <w:rPr>
                <w:rFonts w:ascii="Arial" w:hAnsi="Arial" w:cs="Arial"/>
                <w:sz w:val="22"/>
                <w:szCs w:val="22"/>
                <w:lang w:val="en-GB"/>
              </w:rPr>
            </w:pPr>
            <w:r w:rsidRPr="0096363C">
              <w:rPr>
                <w:rFonts w:ascii="Arial" w:hAnsi="Arial" w:cs="Arial"/>
                <w:sz w:val="22"/>
                <w:szCs w:val="22"/>
                <w:lang w:val="en-GB"/>
              </w:rPr>
              <w:t>the competent body(</w:t>
            </w:r>
            <w:proofErr w:type="spellStart"/>
            <w:r w:rsidRPr="0096363C">
              <w:rPr>
                <w:rFonts w:ascii="Arial" w:hAnsi="Arial" w:cs="Arial"/>
                <w:sz w:val="22"/>
                <w:szCs w:val="22"/>
                <w:lang w:val="en-GB"/>
              </w:rPr>
              <w:t>ies</w:t>
            </w:r>
            <w:proofErr w:type="spellEnd"/>
            <w:r w:rsidRPr="0096363C">
              <w:rPr>
                <w:rFonts w:ascii="Arial" w:hAnsi="Arial" w:cs="Arial"/>
                <w:sz w:val="22"/>
                <w:szCs w:val="22"/>
                <w:lang w:val="en-GB"/>
              </w:rPr>
              <w:t>) involved in its safeguarding;</w:t>
            </w:r>
          </w:p>
          <w:p w14:paraId="4A60B351" w14:textId="77777777" w:rsidR="003942C4" w:rsidRPr="00710CE9" w:rsidRDefault="003942C4" w:rsidP="006610D9">
            <w:pPr>
              <w:numPr>
                <w:ilvl w:val="0"/>
                <w:numId w:val="21"/>
              </w:numPr>
              <w:spacing w:before="120" w:after="120"/>
              <w:ind w:left="656" w:hanging="656"/>
              <w:jc w:val="both"/>
              <w:rPr>
                <w:rFonts w:ascii="Arial" w:hAnsi="Arial" w:cs="Arial"/>
                <w:sz w:val="22"/>
                <w:szCs w:val="22"/>
                <w:lang w:val="en-GB"/>
              </w:rPr>
            </w:pPr>
            <w:proofErr w:type="gramStart"/>
            <w:r w:rsidRPr="0096363C">
              <w:rPr>
                <w:rFonts w:ascii="Arial" w:hAnsi="Arial" w:cs="Arial"/>
                <w:sz w:val="22"/>
                <w:szCs w:val="22"/>
                <w:lang w:val="en-GB"/>
              </w:rPr>
              <w:t>the</w:t>
            </w:r>
            <w:proofErr w:type="gramEnd"/>
            <w:r w:rsidRPr="0096363C">
              <w:rPr>
                <w:rFonts w:ascii="Arial" w:hAnsi="Arial" w:cs="Arial"/>
                <w:sz w:val="22"/>
                <w:szCs w:val="22"/>
                <w:lang w:val="en-GB"/>
              </w:rPr>
              <w:t xml:space="preserve"> organization(s) of the community or group concerned with the element and its safeguarding.</w:t>
            </w:r>
          </w:p>
        </w:tc>
        <w:tc>
          <w:tcPr>
            <w:tcW w:w="250" w:type="pct"/>
          </w:tcPr>
          <w:p w14:paraId="7ACC060F" w14:textId="77777777" w:rsidR="003942C4" w:rsidRPr="00BA4171" w:rsidRDefault="003942C4" w:rsidP="00196F2F">
            <w:pPr>
              <w:spacing w:before="120" w:after="120"/>
              <w:jc w:val="right"/>
              <w:rPr>
                <w:rFonts w:ascii="Arial" w:hAnsi="Arial" w:cs="Arial"/>
                <w:sz w:val="22"/>
                <w:szCs w:val="22"/>
                <w:lang w:val="en-GB"/>
              </w:rPr>
            </w:pPr>
            <w:r>
              <w:rPr>
                <w:rFonts w:ascii="Arial" w:hAnsi="Arial" w:cs="Arial"/>
                <w:sz w:val="22"/>
                <w:szCs w:val="22"/>
                <w:lang w:val="en-GB"/>
              </w:rPr>
              <w:t>163</w:t>
            </w:r>
            <w:r w:rsidRPr="00BA4171">
              <w:rPr>
                <w:rFonts w:ascii="Arial" w:hAnsi="Arial" w:cs="Arial"/>
                <w:sz w:val="22"/>
                <w:szCs w:val="22"/>
                <w:lang w:val="en-GB"/>
              </w:rPr>
              <w:t>.</w:t>
            </w:r>
          </w:p>
        </w:tc>
        <w:tc>
          <w:tcPr>
            <w:tcW w:w="2250" w:type="pct"/>
          </w:tcPr>
          <w:p w14:paraId="00117346" w14:textId="77777777" w:rsidR="003942C4" w:rsidRPr="00BA4171" w:rsidRDefault="003942C4" w:rsidP="00196F2F">
            <w:pPr>
              <w:spacing w:before="120" w:after="120"/>
              <w:jc w:val="both"/>
              <w:rPr>
                <w:rFonts w:ascii="Arial" w:hAnsi="Arial" w:cs="Arial"/>
                <w:sz w:val="22"/>
                <w:szCs w:val="22"/>
                <w:lang w:val="en-GB"/>
              </w:rPr>
            </w:pPr>
            <w:r w:rsidRPr="00BA4171">
              <w:rPr>
                <w:rFonts w:ascii="Arial" w:hAnsi="Arial" w:cs="Arial"/>
                <w:sz w:val="22"/>
                <w:szCs w:val="22"/>
                <w:lang w:val="en-GB"/>
              </w:rPr>
              <w:t>No change.</w:t>
            </w:r>
          </w:p>
        </w:tc>
      </w:tr>
      <w:tr w:rsidR="003942C4" w:rsidRPr="00BA4171" w14:paraId="5A890398" w14:textId="77777777" w:rsidTr="007E0DEF">
        <w:trPr>
          <w:cantSplit/>
        </w:trPr>
        <w:tc>
          <w:tcPr>
            <w:tcW w:w="250" w:type="pct"/>
            <w:gridSpan w:val="2"/>
            <w:shd w:val="clear" w:color="auto" w:fill="auto"/>
          </w:tcPr>
          <w:p w14:paraId="22B7B58A" w14:textId="77777777" w:rsidR="003942C4" w:rsidRPr="00A1056C" w:rsidRDefault="003942C4" w:rsidP="00196F2F">
            <w:pPr>
              <w:spacing w:before="120" w:after="120"/>
              <w:jc w:val="right"/>
              <w:rPr>
                <w:rFonts w:ascii="Arial" w:hAnsi="Arial" w:cs="Arial"/>
                <w:sz w:val="22"/>
                <w:szCs w:val="22"/>
                <w:lang w:val="en-GB"/>
              </w:rPr>
            </w:pPr>
            <w:r>
              <w:rPr>
                <w:rFonts w:ascii="Arial" w:hAnsi="Arial" w:cs="Arial"/>
                <w:sz w:val="22"/>
                <w:szCs w:val="22"/>
                <w:lang w:val="en-GB"/>
              </w:rPr>
              <w:t>164</w:t>
            </w:r>
            <w:r w:rsidRPr="00A1056C">
              <w:rPr>
                <w:rFonts w:ascii="Arial" w:hAnsi="Arial" w:cs="Arial"/>
                <w:sz w:val="22"/>
                <w:szCs w:val="22"/>
                <w:lang w:val="en-GB"/>
              </w:rPr>
              <w:t>.</w:t>
            </w:r>
          </w:p>
        </w:tc>
        <w:tc>
          <w:tcPr>
            <w:tcW w:w="2250" w:type="pct"/>
            <w:gridSpan w:val="2"/>
            <w:shd w:val="clear" w:color="auto" w:fill="auto"/>
          </w:tcPr>
          <w:p w14:paraId="7CBC387C" w14:textId="77777777" w:rsidR="003942C4" w:rsidRPr="00710CE9" w:rsidRDefault="003942C4" w:rsidP="00196F2F">
            <w:pPr>
              <w:spacing w:before="120" w:after="120"/>
              <w:jc w:val="both"/>
              <w:rPr>
                <w:rFonts w:ascii="Arial" w:hAnsi="Arial" w:cs="Arial"/>
                <w:sz w:val="22"/>
                <w:szCs w:val="22"/>
                <w:lang w:val="en-GB"/>
              </w:rPr>
            </w:pPr>
            <w:r w:rsidRPr="0096363C">
              <w:rPr>
                <w:rFonts w:ascii="Arial" w:hAnsi="Arial" w:cs="Arial"/>
                <w:sz w:val="22"/>
                <w:szCs w:val="22"/>
                <w:lang w:val="en-GB"/>
              </w:rPr>
              <w:t>States Parties shall respond, in a timely manner, to specific requests addressed to them by the Committee for additional information, if needed between the deadlines set out in paragraph 161 above.</w:t>
            </w:r>
          </w:p>
        </w:tc>
        <w:tc>
          <w:tcPr>
            <w:tcW w:w="250" w:type="pct"/>
          </w:tcPr>
          <w:p w14:paraId="5BCFE694" w14:textId="77777777" w:rsidR="003942C4" w:rsidRPr="00BA4171" w:rsidRDefault="003942C4" w:rsidP="00196F2F">
            <w:pPr>
              <w:spacing w:before="120" w:after="120"/>
              <w:jc w:val="right"/>
              <w:rPr>
                <w:rFonts w:ascii="Arial" w:hAnsi="Arial" w:cs="Arial"/>
                <w:sz w:val="22"/>
                <w:szCs w:val="22"/>
                <w:lang w:val="en-GB"/>
              </w:rPr>
            </w:pPr>
            <w:r>
              <w:rPr>
                <w:rFonts w:ascii="Arial" w:hAnsi="Arial" w:cs="Arial"/>
                <w:sz w:val="22"/>
                <w:szCs w:val="22"/>
                <w:lang w:val="en-GB"/>
              </w:rPr>
              <w:t>164</w:t>
            </w:r>
            <w:r w:rsidRPr="00BA4171">
              <w:rPr>
                <w:rFonts w:ascii="Arial" w:hAnsi="Arial" w:cs="Arial"/>
                <w:sz w:val="22"/>
                <w:szCs w:val="22"/>
                <w:lang w:val="en-GB"/>
              </w:rPr>
              <w:t>.</w:t>
            </w:r>
          </w:p>
        </w:tc>
        <w:tc>
          <w:tcPr>
            <w:tcW w:w="2250" w:type="pct"/>
          </w:tcPr>
          <w:p w14:paraId="51CDAD95" w14:textId="77777777" w:rsidR="003942C4" w:rsidRPr="00BA4171" w:rsidRDefault="003942C4" w:rsidP="00196F2F">
            <w:pPr>
              <w:spacing w:before="120" w:after="120"/>
              <w:jc w:val="both"/>
              <w:rPr>
                <w:rFonts w:ascii="Arial" w:hAnsi="Arial" w:cs="Arial"/>
                <w:sz w:val="22"/>
                <w:szCs w:val="22"/>
                <w:lang w:val="en-GB"/>
              </w:rPr>
            </w:pPr>
            <w:r w:rsidRPr="00BA4171">
              <w:rPr>
                <w:rFonts w:ascii="Arial" w:hAnsi="Arial" w:cs="Arial"/>
                <w:sz w:val="22"/>
                <w:szCs w:val="22"/>
                <w:lang w:val="en-GB"/>
              </w:rPr>
              <w:t>No change.</w:t>
            </w:r>
          </w:p>
        </w:tc>
      </w:tr>
      <w:tr w:rsidR="003942C4" w:rsidRPr="00BA4171" w14:paraId="49EBC5F5" w14:textId="77777777" w:rsidTr="007E0DEF">
        <w:trPr>
          <w:cantSplit/>
        </w:trPr>
        <w:tc>
          <w:tcPr>
            <w:tcW w:w="250" w:type="pct"/>
            <w:gridSpan w:val="2"/>
            <w:shd w:val="clear" w:color="auto" w:fill="auto"/>
          </w:tcPr>
          <w:p w14:paraId="555BCF96" w14:textId="77777777" w:rsidR="003942C4" w:rsidRPr="00B36C17" w:rsidRDefault="003942C4" w:rsidP="00196F2F">
            <w:pPr>
              <w:spacing w:before="120" w:after="120"/>
              <w:jc w:val="right"/>
              <w:rPr>
                <w:rFonts w:ascii="Arial" w:hAnsi="Arial" w:cs="Arial"/>
                <w:sz w:val="22"/>
                <w:szCs w:val="22"/>
                <w:lang w:val="en-GB"/>
              </w:rPr>
            </w:pPr>
            <w:r>
              <w:rPr>
                <w:rFonts w:ascii="Arial" w:hAnsi="Arial" w:cs="Arial"/>
                <w:b/>
                <w:bCs/>
                <w:sz w:val="22"/>
                <w:szCs w:val="22"/>
                <w:lang w:val="en-GB"/>
              </w:rPr>
              <w:t>V.3</w:t>
            </w:r>
          </w:p>
        </w:tc>
        <w:tc>
          <w:tcPr>
            <w:tcW w:w="2250" w:type="pct"/>
            <w:gridSpan w:val="2"/>
            <w:shd w:val="clear" w:color="auto" w:fill="auto"/>
          </w:tcPr>
          <w:p w14:paraId="3E378083" w14:textId="77777777" w:rsidR="003942C4" w:rsidRPr="00E717A3" w:rsidRDefault="003942C4" w:rsidP="00196F2F">
            <w:pPr>
              <w:spacing w:before="120" w:after="120"/>
              <w:jc w:val="both"/>
              <w:rPr>
                <w:rFonts w:ascii="Arial" w:hAnsi="Arial" w:cs="Arial"/>
                <w:lang w:val="en-GB"/>
              </w:rPr>
            </w:pPr>
            <w:r w:rsidRPr="0096363C">
              <w:rPr>
                <w:rFonts w:ascii="Arial" w:hAnsi="Arial" w:cs="Arial"/>
                <w:b/>
                <w:bCs/>
                <w:lang w:val="en-GB"/>
              </w:rPr>
              <w:t>Receipt and processing of reports</w:t>
            </w:r>
          </w:p>
        </w:tc>
        <w:tc>
          <w:tcPr>
            <w:tcW w:w="250" w:type="pct"/>
          </w:tcPr>
          <w:p w14:paraId="724A0551" w14:textId="77777777" w:rsidR="003942C4" w:rsidRPr="00B36C17" w:rsidRDefault="003942C4" w:rsidP="00196F2F">
            <w:pPr>
              <w:spacing w:before="120" w:after="120"/>
              <w:jc w:val="right"/>
              <w:rPr>
                <w:rFonts w:ascii="Arial" w:hAnsi="Arial" w:cs="Arial"/>
                <w:sz w:val="22"/>
                <w:szCs w:val="22"/>
                <w:lang w:val="en-GB"/>
              </w:rPr>
            </w:pPr>
            <w:r>
              <w:rPr>
                <w:rFonts w:ascii="Arial" w:hAnsi="Arial" w:cs="Arial"/>
                <w:b/>
                <w:bCs/>
                <w:sz w:val="22"/>
                <w:szCs w:val="22"/>
                <w:lang w:val="en-GB"/>
              </w:rPr>
              <w:t>V.3</w:t>
            </w:r>
          </w:p>
        </w:tc>
        <w:tc>
          <w:tcPr>
            <w:tcW w:w="2250" w:type="pct"/>
          </w:tcPr>
          <w:p w14:paraId="1CBAEB90" w14:textId="77777777" w:rsidR="003942C4" w:rsidRPr="00B36C17" w:rsidRDefault="003942C4" w:rsidP="00196F2F">
            <w:pPr>
              <w:spacing w:before="120" w:after="120"/>
              <w:jc w:val="both"/>
              <w:rPr>
                <w:rFonts w:ascii="Arial" w:hAnsi="Arial" w:cs="Arial"/>
                <w:sz w:val="22"/>
                <w:szCs w:val="22"/>
                <w:lang w:val="en-GB"/>
              </w:rPr>
            </w:pPr>
            <w:r w:rsidRPr="00B36C17">
              <w:rPr>
                <w:rFonts w:ascii="Arial" w:hAnsi="Arial" w:cs="Arial"/>
                <w:sz w:val="22"/>
                <w:szCs w:val="22"/>
                <w:lang w:val="en-GB"/>
              </w:rPr>
              <w:t>No change.</w:t>
            </w:r>
          </w:p>
        </w:tc>
      </w:tr>
      <w:tr w:rsidR="003942C4" w:rsidRPr="00385AED" w14:paraId="16C3B8DB" w14:textId="77777777" w:rsidTr="007E0DEF">
        <w:trPr>
          <w:cantSplit/>
        </w:trPr>
        <w:tc>
          <w:tcPr>
            <w:tcW w:w="250" w:type="pct"/>
            <w:gridSpan w:val="2"/>
            <w:shd w:val="clear" w:color="auto" w:fill="auto"/>
          </w:tcPr>
          <w:p w14:paraId="75162F41" w14:textId="77777777" w:rsidR="003942C4" w:rsidRPr="00A1056C" w:rsidRDefault="003942C4" w:rsidP="00196F2F">
            <w:pPr>
              <w:spacing w:before="120" w:after="120"/>
              <w:jc w:val="right"/>
              <w:rPr>
                <w:rFonts w:ascii="Arial" w:hAnsi="Arial" w:cs="Arial"/>
                <w:sz w:val="22"/>
                <w:szCs w:val="22"/>
                <w:lang w:val="en-GB"/>
              </w:rPr>
            </w:pPr>
            <w:r>
              <w:rPr>
                <w:rFonts w:ascii="Arial" w:hAnsi="Arial" w:cs="Arial"/>
                <w:sz w:val="22"/>
                <w:szCs w:val="22"/>
                <w:lang w:val="en-GB"/>
              </w:rPr>
              <w:t>165</w:t>
            </w:r>
            <w:r w:rsidRPr="00A1056C">
              <w:rPr>
                <w:rFonts w:ascii="Arial" w:hAnsi="Arial" w:cs="Arial"/>
                <w:sz w:val="22"/>
                <w:szCs w:val="22"/>
                <w:lang w:val="en-GB"/>
              </w:rPr>
              <w:t>.</w:t>
            </w:r>
          </w:p>
        </w:tc>
        <w:tc>
          <w:tcPr>
            <w:tcW w:w="2250" w:type="pct"/>
            <w:gridSpan w:val="2"/>
            <w:shd w:val="clear" w:color="auto" w:fill="auto"/>
          </w:tcPr>
          <w:p w14:paraId="6F1FB5FD" w14:textId="77777777" w:rsidR="003942C4" w:rsidRPr="00710CE9" w:rsidRDefault="003942C4" w:rsidP="00196F2F">
            <w:pPr>
              <w:spacing w:before="120" w:after="120"/>
              <w:jc w:val="both"/>
              <w:rPr>
                <w:rFonts w:ascii="Arial" w:hAnsi="Arial" w:cs="Arial"/>
                <w:sz w:val="22"/>
                <w:szCs w:val="22"/>
                <w:lang w:val="en-GB"/>
              </w:rPr>
            </w:pPr>
            <w:r w:rsidRPr="0096363C">
              <w:rPr>
                <w:rFonts w:ascii="Arial" w:hAnsi="Arial" w:cs="Arial"/>
                <w:sz w:val="22"/>
                <w:szCs w:val="22"/>
                <w:lang w:val="en-GB"/>
              </w:rPr>
              <w:t>Upon receipt of reports from States Parties, the Secretariat shall register them and acknowledge receipt. If a report is incomplete, the State Party will be advised how to complete it.</w:t>
            </w:r>
          </w:p>
        </w:tc>
        <w:tc>
          <w:tcPr>
            <w:tcW w:w="250" w:type="pct"/>
          </w:tcPr>
          <w:p w14:paraId="2E95A1F9" w14:textId="77777777" w:rsidR="003942C4" w:rsidRPr="00BA4171" w:rsidRDefault="003942C4" w:rsidP="00196F2F">
            <w:pPr>
              <w:spacing w:before="120" w:after="120"/>
              <w:jc w:val="right"/>
              <w:rPr>
                <w:rFonts w:ascii="Arial" w:hAnsi="Arial" w:cs="Arial"/>
                <w:sz w:val="22"/>
                <w:szCs w:val="22"/>
                <w:lang w:val="en-GB"/>
              </w:rPr>
            </w:pPr>
            <w:r>
              <w:rPr>
                <w:rFonts w:ascii="Arial" w:hAnsi="Arial" w:cs="Arial"/>
                <w:sz w:val="22"/>
                <w:szCs w:val="22"/>
                <w:lang w:val="en-GB"/>
              </w:rPr>
              <w:t>165.</w:t>
            </w:r>
          </w:p>
        </w:tc>
        <w:tc>
          <w:tcPr>
            <w:tcW w:w="2250" w:type="pct"/>
          </w:tcPr>
          <w:p w14:paraId="3D73990F" w14:textId="59B05186" w:rsidR="003942C4" w:rsidRPr="00BA4171" w:rsidRDefault="00AE486A" w:rsidP="00AE486A">
            <w:pPr>
              <w:spacing w:before="120" w:after="120"/>
              <w:jc w:val="both"/>
              <w:rPr>
                <w:rFonts w:ascii="Arial" w:hAnsi="Arial" w:cs="Arial"/>
                <w:sz w:val="22"/>
                <w:szCs w:val="22"/>
                <w:lang w:val="en-GB"/>
              </w:rPr>
            </w:pPr>
            <w:r>
              <w:rPr>
                <w:rFonts w:ascii="Arial" w:hAnsi="Arial" w:cs="Arial"/>
                <w:sz w:val="22"/>
                <w:szCs w:val="22"/>
                <w:lang w:val="en-GB"/>
              </w:rPr>
              <w:t>No change.</w:t>
            </w:r>
          </w:p>
        </w:tc>
      </w:tr>
      <w:tr w:rsidR="003942C4" w:rsidRPr="00ED791F" w14:paraId="21AE551B" w14:textId="77777777" w:rsidTr="007E0DEF">
        <w:trPr>
          <w:cantSplit/>
        </w:trPr>
        <w:tc>
          <w:tcPr>
            <w:tcW w:w="250" w:type="pct"/>
            <w:gridSpan w:val="2"/>
            <w:shd w:val="clear" w:color="auto" w:fill="auto"/>
          </w:tcPr>
          <w:p w14:paraId="6D976C51" w14:textId="77777777" w:rsidR="003942C4" w:rsidRPr="00A1056C" w:rsidRDefault="003942C4" w:rsidP="00196F2F">
            <w:pPr>
              <w:spacing w:before="120" w:after="120"/>
              <w:jc w:val="right"/>
              <w:rPr>
                <w:rFonts w:ascii="Arial" w:hAnsi="Arial" w:cs="Arial"/>
                <w:sz w:val="22"/>
                <w:szCs w:val="22"/>
                <w:lang w:val="en-GB"/>
              </w:rPr>
            </w:pPr>
            <w:r>
              <w:rPr>
                <w:rFonts w:ascii="Arial" w:hAnsi="Arial" w:cs="Arial"/>
                <w:sz w:val="22"/>
                <w:szCs w:val="22"/>
                <w:lang w:val="en-GB"/>
              </w:rPr>
              <w:lastRenderedPageBreak/>
              <w:t>166</w:t>
            </w:r>
            <w:r w:rsidRPr="00A1056C">
              <w:rPr>
                <w:rFonts w:ascii="Arial" w:hAnsi="Arial" w:cs="Arial"/>
                <w:sz w:val="22"/>
                <w:szCs w:val="22"/>
                <w:lang w:val="en-GB"/>
              </w:rPr>
              <w:t>.</w:t>
            </w:r>
          </w:p>
        </w:tc>
        <w:tc>
          <w:tcPr>
            <w:tcW w:w="2250" w:type="pct"/>
            <w:gridSpan w:val="2"/>
            <w:shd w:val="clear" w:color="auto" w:fill="auto"/>
          </w:tcPr>
          <w:p w14:paraId="6523598F" w14:textId="1ECE542F" w:rsidR="003942C4" w:rsidRPr="00710CE9" w:rsidRDefault="006610D9" w:rsidP="00196F2F">
            <w:pPr>
              <w:spacing w:before="120" w:after="120"/>
              <w:jc w:val="both"/>
              <w:rPr>
                <w:rFonts w:ascii="Arial" w:hAnsi="Arial" w:cs="Arial"/>
                <w:sz w:val="22"/>
                <w:szCs w:val="22"/>
                <w:lang w:val="en-GB"/>
              </w:rPr>
            </w:pPr>
            <w:r w:rsidRPr="006610D9">
              <w:rPr>
                <w:rFonts w:ascii="Arial" w:hAnsi="Arial" w:cs="Arial"/>
                <w:sz w:val="22"/>
                <w:szCs w:val="22"/>
                <w:lang w:val="en-GB"/>
              </w:rPr>
              <w:t xml:space="preserve">The Secretariat transmits to the Committee </w:t>
            </w:r>
            <w:proofErr w:type="gramStart"/>
            <w:r w:rsidRPr="006610D9">
              <w:rPr>
                <w:rFonts w:ascii="Arial" w:hAnsi="Arial" w:cs="Arial"/>
                <w:sz w:val="22"/>
                <w:szCs w:val="22"/>
                <w:lang w:val="en-GB"/>
              </w:rPr>
              <w:t>an</w:t>
            </w:r>
            <w:proofErr w:type="gramEnd"/>
            <w:r w:rsidRPr="006610D9">
              <w:rPr>
                <w:rFonts w:ascii="Arial" w:hAnsi="Arial" w:cs="Arial"/>
                <w:sz w:val="22"/>
                <w:szCs w:val="22"/>
                <w:lang w:val="en-GB"/>
              </w:rPr>
              <w:t xml:space="preserve"> overview of all reports received four weeks prior to its session. The overview and the reports </w:t>
            </w:r>
            <w:proofErr w:type="gramStart"/>
            <w:r w:rsidRPr="006610D9">
              <w:rPr>
                <w:rFonts w:ascii="Arial" w:hAnsi="Arial" w:cs="Arial"/>
                <w:sz w:val="22"/>
                <w:szCs w:val="22"/>
                <w:lang w:val="en-GB"/>
              </w:rPr>
              <w:t>are also made</w:t>
            </w:r>
            <w:proofErr w:type="gramEnd"/>
            <w:r w:rsidRPr="006610D9">
              <w:rPr>
                <w:rFonts w:ascii="Arial" w:hAnsi="Arial" w:cs="Arial"/>
                <w:sz w:val="22"/>
                <w:szCs w:val="22"/>
                <w:lang w:val="en-GB"/>
              </w:rPr>
              <w:t xml:space="preserve"> available on-line for consultation.</w:t>
            </w:r>
          </w:p>
        </w:tc>
        <w:tc>
          <w:tcPr>
            <w:tcW w:w="250" w:type="pct"/>
          </w:tcPr>
          <w:p w14:paraId="182F9FCA" w14:textId="77777777" w:rsidR="003942C4" w:rsidRPr="00BA4171" w:rsidRDefault="003942C4" w:rsidP="00196F2F">
            <w:pPr>
              <w:spacing w:before="120" w:after="120"/>
              <w:jc w:val="right"/>
              <w:rPr>
                <w:rFonts w:ascii="Arial" w:hAnsi="Arial" w:cs="Arial"/>
                <w:sz w:val="22"/>
                <w:szCs w:val="22"/>
                <w:lang w:val="en-GB"/>
              </w:rPr>
            </w:pPr>
            <w:r>
              <w:rPr>
                <w:rFonts w:ascii="Arial" w:hAnsi="Arial" w:cs="Arial"/>
                <w:sz w:val="22"/>
                <w:szCs w:val="22"/>
                <w:lang w:val="en-GB"/>
              </w:rPr>
              <w:t>166</w:t>
            </w:r>
            <w:r w:rsidRPr="00BA4171">
              <w:rPr>
                <w:rFonts w:ascii="Arial" w:hAnsi="Arial" w:cs="Arial"/>
                <w:sz w:val="22"/>
                <w:szCs w:val="22"/>
                <w:lang w:val="en-GB"/>
              </w:rPr>
              <w:t>.</w:t>
            </w:r>
          </w:p>
        </w:tc>
        <w:tc>
          <w:tcPr>
            <w:tcW w:w="2250" w:type="pct"/>
          </w:tcPr>
          <w:p w14:paraId="7611BDE1" w14:textId="222810F7" w:rsidR="003942C4" w:rsidRPr="00BA4171" w:rsidRDefault="00645C14" w:rsidP="00634976">
            <w:pPr>
              <w:spacing w:before="120" w:after="120"/>
              <w:jc w:val="both"/>
              <w:rPr>
                <w:rFonts w:ascii="Arial" w:hAnsi="Arial" w:cs="Arial"/>
                <w:sz w:val="22"/>
                <w:szCs w:val="22"/>
                <w:lang w:val="en-GB"/>
              </w:rPr>
            </w:pPr>
            <w:r w:rsidRPr="006610D9">
              <w:rPr>
                <w:rFonts w:ascii="Arial" w:hAnsi="Arial" w:cs="Arial"/>
                <w:sz w:val="22"/>
                <w:szCs w:val="22"/>
                <w:lang w:val="en-GB"/>
              </w:rPr>
              <w:t xml:space="preserve">The Secretariat transmits to the Committee </w:t>
            </w:r>
            <w:proofErr w:type="gramStart"/>
            <w:r w:rsidRPr="006610D9">
              <w:rPr>
                <w:rFonts w:ascii="Arial" w:hAnsi="Arial" w:cs="Arial"/>
                <w:sz w:val="22"/>
                <w:szCs w:val="22"/>
                <w:lang w:val="en-GB"/>
              </w:rPr>
              <w:t>an</w:t>
            </w:r>
            <w:proofErr w:type="gramEnd"/>
            <w:r w:rsidRPr="006610D9">
              <w:rPr>
                <w:rFonts w:ascii="Arial" w:hAnsi="Arial" w:cs="Arial"/>
                <w:sz w:val="22"/>
                <w:szCs w:val="22"/>
                <w:lang w:val="en-GB"/>
              </w:rPr>
              <w:t xml:space="preserve"> overview of all reports received </w:t>
            </w:r>
            <w:r w:rsidR="00634976">
              <w:rPr>
                <w:rFonts w:ascii="Arial" w:hAnsi="Arial" w:cs="Arial"/>
                <w:b/>
                <w:sz w:val="22"/>
                <w:szCs w:val="22"/>
                <w:u w:val="single"/>
                <w:lang w:val="en-GB"/>
              </w:rPr>
              <w:t xml:space="preserve">in compliance with </w:t>
            </w:r>
            <w:r w:rsidRPr="00645C14">
              <w:rPr>
                <w:rFonts w:ascii="Arial" w:hAnsi="Arial" w:cs="Arial"/>
                <w:b/>
                <w:sz w:val="22"/>
                <w:szCs w:val="22"/>
                <w:u w:val="single"/>
                <w:lang w:val="en-GB"/>
              </w:rPr>
              <w:t>paragraph 152</w:t>
            </w:r>
            <w:r>
              <w:rPr>
                <w:rFonts w:ascii="Arial" w:hAnsi="Arial" w:cs="Arial"/>
                <w:sz w:val="22"/>
                <w:szCs w:val="22"/>
                <w:lang w:val="en-GB"/>
              </w:rPr>
              <w:t xml:space="preserve"> </w:t>
            </w:r>
            <w:r w:rsidRPr="006610D9">
              <w:rPr>
                <w:rFonts w:ascii="Arial" w:hAnsi="Arial" w:cs="Arial"/>
                <w:sz w:val="22"/>
                <w:szCs w:val="22"/>
                <w:lang w:val="en-GB"/>
              </w:rPr>
              <w:t xml:space="preserve">four weeks prior to its session. The overview </w:t>
            </w:r>
            <w:r w:rsidRPr="00645C14">
              <w:rPr>
                <w:rFonts w:ascii="Arial" w:hAnsi="Arial" w:cs="Arial"/>
                <w:b/>
                <w:sz w:val="22"/>
                <w:szCs w:val="22"/>
                <w:u w:val="single"/>
                <w:lang w:val="en-GB"/>
              </w:rPr>
              <w:t>is</w:t>
            </w:r>
            <w:r>
              <w:rPr>
                <w:rFonts w:ascii="Arial" w:hAnsi="Arial" w:cs="Arial"/>
                <w:sz w:val="22"/>
                <w:szCs w:val="22"/>
                <w:lang w:val="en-GB"/>
              </w:rPr>
              <w:t xml:space="preserve"> </w:t>
            </w:r>
            <w:r w:rsidRPr="00645C14">
              <w:rPr>
                <w:rFonts w:ascii="Arial" w:hAnsi="Arial" w:cs="Arial"/>
                <w:strike/>
                <w:sz w:val="22"/>
                <w:szCs w:val="22"/>
                <w:lang w:val="en-GB"/>
              </w:rPr>
              <w:t xml:space="preserve">and the reports </w:t>
            </w:r>
            <w:proofErr w:type="gramStart"/>
            <w:r w:rsidRPr="00645C14">
              <w:rPr>
                <w:rFonts w:ascii="Arial" w:hAnsi="Arial" w:cs="Arial"/>
                <w:strike/>
                <w:sz w:val="22"/>
                <w:szCs w:val="22"/>
                <w:lang w:val="en-GB"/>
              </w:rPr>
              <w:t>are</w:t>
            </w:r>
            <w:r w:rsidRPr="006610D9">
              <w:rPr>
                <w:rFonts w:ascii="Arial" w:hAnsi="Arial" w:cs="Arial"/>
                <w:sz w:val="22"/>
                <w:szCs w:val="22"/>
                <w:lang w:val="en-GB"/>
              </w:rPr>
              <w:t xml:space="preserve"> also</w:t>
            </w:r>
            <w:proofErr w:type="gramEnd"/>
            <w:r w:rsidRPr="006610D9">
              <w:rPr>
                <w:rFonts w:ascii="Arial" w:hAnsi="Arial" w:cs="Arial"/>
                <w:sz w:val="22"/>
                <w:szCs w:val="22"/>
                <w:lang w:val="en-GB"/>
              </w:rPr>
              <w:t xml:space="preserve"> made available online for </w:t>
            </w:r>
            <w:r w:rsidRPr="00645C14">
              <w:rPr>
                <w:rFonts w:ascii="Arial" w:hAnsi="Arial" w:cs="Arial"/>
                <w:b/>
                <w:sz w:val="22"/>
                <w:szCs w:val="22"/>
                <w:u w:val="single"/>
                <w:lang w:val="en-GB"/>
              </w:rPr>
              <w:t>public</w:t>
            </w:r>
            <w:r>
              <w:rPr>
                <w:rFonts w:ascii="Arial" w:hAnsi="Arial" w:cs="Arial"/>
                <w:sz w:val="22"/>
                <w:szCs w:val="22"/>
                <w:lang w:val="en-GB"/>
              </w:rPr>
              <w:t xml:space="preserve"> </w:t>
            </w:r>
            <w:r w:rsidRPr="006610D9">
              <w:rPr>
                <w:rFonts w:ascii="Arial" w:hAnsi="Arial" w:cs="Arial"/>
                <w:sz w:val="22"/>
                <w:szCs w:val="22"/>
                <w:lang w:val="en-GB"/>
              </w:rPr>
              <w:t>consultation</w:t>
            </w:r>
            <w:r w:rsidR="00126174">
              <w:rPr>
                <w:rFonts w:ascii="Arial" w:hAnsi="Arial" w:cs="Arial"/>
                <w:sz w:val="22"/>
                <w:szCs w:val="22"/>
                <w:lang w:val="en-GB"/>
              </w:rPr>
              <w:t>,</w:t>
            </w:r>
            <w:r>
              <w:rPr>
                <w:rFonts w:ascii="Arial" w:hAnsi="Arial" w:cs="Arial"/>
                <w:sz w:val="22"/>
                <w:szCs w:val="22"/>
                <w:lang w:val="en-GB"/>
              </w:rPr>
              <w:t xml:space="preserve"> </w:t>
            </w:r>
            <w:r w:rsidRPr="00645C14">
              <w:rPr>
                <w:rFonts w:ascii="Arial" w:hAnsi="Arial" w:cs="Arial"/>
                <w:b/>
                <w:sz w:val="22"/>
                <w:szCs w:val="22"/>
                <w:u w:val="single"/>
                <w:lang w:val="en-GB"/>
              </w:rPr>
              <w:t>together with the reports</w:t>
            </w:r>
            <w:r w:rsidR="00634976">
              <w:rPr>
                <w:rFonts w:ascii="Arial" w:hAnsi="Arial" w:cs="Arial"/>
                <w:b/>
                <w:sz w:val="22"/>
                <w:szCs w:val="22"/>
                <w:u w:val="single"/>
                <w:lang w:val="en-GB"/>
              </w:rPr>
              <w:t xml:space="preserve"> received in compliance with paragraphs 152 and 161,</w:t>
            </w:r>
            <w:r w:rsidRPr="00645C14">
              <w:rPr>
                <w:rFonts w:ascii="Arial" w:hAnsi="Arial" w:cs="Arial"/>
                <w:b/>
                <w:sz w:val="22"/>
                <w:szCs w:val="22"/>
                <w:u w:val="single"/>
                <w:lang w:val="en-GB"/>
              </w:rPr>
              <w:t xml:space="preserve"> in the language in which they were submitted by the States Parties</w:t>
            </w:r>
            <w:r>
              <w:rPr>
                <w:rFonts w:ascii="Arial" w:hAnsi="Arial" w:cs="Arial"/>
                <w:b/>
                <w:sz w:val="22"/>
                <w:szCs w:val="22"/>
                <w:u w:val="single"/>
                <w:lang w:val="en-GB"/>
              </w:rPr>
              <w:t xml:space="preserve">, </w:t>
            </w:r>
            <w:r w:rsidRPr="00645C14">
              <w:rPr>
                <w:rFonts w:ascii="Arial" w:hAnsi="Arial" w:cs="Arial"/>
                <w:b/>
                <w:sz w:val="22"/>
                <w:szCs w:val="22"/>
                <w:u w:val="single"/>
                <w:lang w:val="en-GB"/>
              </w:rPr>
              <w:t xml:space="preserve">unless </w:t>
            </w:r>
            <w:r w:rsidR="00126174">
              <w:rPr>
                <w:rFonts w:ascii="Arial" w:hAnsi="Arial" w:cs="Arial"/>
                <w:b/>
                <w:sz w:val="22"/>
                <w:szCs w:val="22"/>
                <w:u w:val="single"/>
                <w:lang w:val="en-GB"/>
              </w:rPr>
              <w:t xml:space="preserve">the Committee </w:t>
            </w:r>
            <w:r w:rsidR="00126174" w:rsidRPr="00645C14">
              <w:rPr>
                <w:rFonts w:ascii="Arial" w:hAnsi="Arial" w:cs="Arial"/>
                <w:b/>
                <w:sz w:val="22"/>
                <w:szCs w:val="22"/>
                <w:u w:val="single"/>
                <w:lang w:val="en-GB"/>
              </w:rPr>
              <w:t>decide</w:t>
            </w:r>
            <w:r w:rsidR="00126174">
              <w:rPr>
                <w:rFonts w:ascii="Arial" w:hAnsi="Arial" w:cs="Arial"/>
                <w:b/>
                <w:sz w:val="22"/>
                <w:szCs w:val="22"/>
                <w:u w:val="single"/>
                <w:lang w:val="en-GB"/>
              </w:rPr>
              <w:t>s</w:t>
            </w:r>
            <w:r w:rsidR="00126174" w:rsidRPr="00645C14">
              <w:rPr>
                <w:rFonts w:ascii="Arial" w:hAnsi="Arial" w:cs="Arial"/>
                <w:b/>
                <w:sz w:val="22"/>
                <w:szCs w:val="22"/>
                <w:u w:val="single"/>
                <w:lang w:val="en-GB"/>
              </w:rPr>
              <w:t xml:space="preserve"> </w:t>
            </w:r>
            <w:r w:rsidRPr="00645C14">
              <w:rPr>
                <w:rFonts w:ascii="Arial" w:hAnsi="Arial" w:cs="Arial"/>
                <w:b/>
                <w:sz w:val="22"/>
                <w:szCs w:val="22"/>
                <w:u w:val="single"/>
                <w:lang w:val="en-GB"/>
              </w:rPr>
              <w:t>otherwise in exceptional cases</w:t>
            </w:r>
            <w:r w:rsidRPr="006610D9">
              <w:rPr>
                <w:rFonts w:ascii="Arial" w:hAnsi="Arial" w:cs="Arial"/>
                <w:sz w:val="22"/>
                <w:szCs w:val="22"/>
                <w:lang w:val="en-GB"/>
              </w:rPr>
              <w:t>.</w:t>
            </w:r>
            <w:bookmarkStart w:id="0" w:name="_GoBack"/>
            <w:bookmarkEnd w:id="0"/>
          </w:p>
        </w:tc>
      </w:tr>
      <w:tr w:rsidR="003942C4" w:rsidRPr="00ED791F" w14:paraId="07511C25" w14:textId="77777777" w:rsidTr="007E0DEF">
        <w:trPr>
          <w:cantSplit/>
        </w:trPr>
        <w:tc>
          <w:tcPr>
            <w:tcW w:w="250" w:type="pct"/>
            <w:gridSpan w:val="2"/>
            <w:shd w:val="clear" w:color="auto" w:fill="auto"/>
          </w:tcPr>
          <w:p w14:paraId="3803A3BB" w14:textId="77777777" w:rsidR="003942C4" w:rsidRPr="00A1056C" w:rsidRDefault="003942C4" w:rsidP="00196F2F">
            <w:pPr>
              <w:spacing w:before="120" w:after="120"/>
              <w:jc w:val="right"/>
              <w:rPr>
                <w:rFonts w:ascii="Arial" w:hAnsi="Arial" w:cs="Arial"/>
                <w:sz w:val="22"/>
                <w:szCs w:val="22"/>
                <w:lang w:val="en-GB"/>
              </w:rPr>
            </w:pPr>
            <w:r>
              <w:rPr>
                <w:rFonts w:ascii="Arial" w:hAnsi="Arial" w:cs="Arial"/>
                <w:sz w:val="22"/>
                <w:szCs w:val="22"/>
                <w:lang w:val="en-GB"/>
              </w:rPr>
              <w:t>167</w:t>
            </w:r>
            <w:r w:rsidRPr="00A1056C">
              <w:rPr>
                <w:rFonts w:ascii="Arial" w:hAnsi="Arial" w:cs="Arial"/>
                <w:sz w:val="22"/>
                <w:szCs w:val="22"/>
                <w:lang w:val="en-GB"/>
              </w:rPr>
              <w:t>.</w:t>
            </w:r>
          </w:p>
        </w:tc>
        <w:tc>
          <w:tcPr>
            <w:tcW w:w="2250" w:type="pct"/>
            <w:gridSpan w:val="2"/>
            <w:shd w:val="clear" w:color="auto" w:fill="auto"/>
          </w:tcPr>
          <w:p w14:paraId="7EAD1C3D" w14:textId="5FAC1F73" w:rsidR="003942C4" w:rsidRPr="00710CE9" w:rsidRDefault="006610D9" w:rsidP="00196F2F">
            <w:pPr>
              <w:spacing w:before="120" w:after="120"/>
              <w:jc w:val="both"/>
              <w:rPr>
                <w:rFonts w:ascii="Arial" w:hAnsi="Arial" w:cs="Arial"/>
                <w:sz w:val="22"/>
                <w:szCs w:val="22"/>
                <w:lang w:val="en-GB"/>
              </w:rPr>
            </w:pPr>
            <w:r w:rsidRPr="006610D9">
              <w:rPr>
                <w:rFonts w:ascii="Arial" w:hAnsi="Arial" w:cs="Arial"/>
                <w:sz w:val="22"/>
                <w:szCs w:val="22"/>
                <w:lang w:val="en-GB"/>
              </w:rPr>
              <w:t xml:space="preserve">Following the session at which </w:t>
            </w:r>
            <w:proofErr w:type="gramStart"/>
            <w:r w:rsidRPr="006610D9">
              <w:rPr>
                <w:rFonts w:ascii="Arial" w:hAnsi="Arial" w:cs="Arial"/>
                <w:sz w:val="22"/>
                <w:szCs w:val="22"/>
                <w:lang w:val="en-GB"/>
              </w:rPr>
              <w:t>they are examined by the Committee</w:t>
            </w:r>
            <w:proofErr w:type="gramEnd"/>
            <w:r w:rsidRPr="006610D9">
              <w:rPr>
                <w:rFonts w:ascii="Arial" w:hAnsi="Arial" w:cs="Arial"/>
                <w:sz w:val="22"/>
                <w:szCs w:val="22"/>
                <w:lang w:val="en-GB"/>
              </w:rPr>
              <w:t>, reports are made available to the public for information, unless decided otherwise by the Committee in exceptional cases.</w:t>
            </w:r>
          </w:p>
        </w:tc>
        <w:tc>
          <w:tcPr>
            <w:tcW w:w="250" w:type="pct"/>
          </w:tcPr>
          <w:p w14:paraId="52215229" w14:textId="77777777" w:rsidR="003942C4" w:rsidRPr="00645C14" w:rsidRDefault="003942C4" w:rsidP="00196F2F">
            <w:pPr>
              <w:spacing w:before="120" w:after="120"/>
              <w:jc w:val="right"/>
              <w:rPr>
                <w:rFonts w:ascii="Arial" w:hAnsi="Arial" w:cs="Arial"/>
                <w:strike/>
                <w:sz w:val="22"/>
                <w:szCs w:val="22"/>
                <w:lang w:val="en-GB"/>
              </w:rPr>
            </w:pPr>
            <w:r w:rsidRPr="00645C14">
              <w:rPr>
                <w:rFonts w:ascii="Arial" w:hAnsi="Arial" w:cs="Arial"/>
                <w:strike/>
                <w:sz w:val="22"/>
                <w:szCs w:val="22"/>
                <w:lang w:val="en-GB"/>
              </w:rPr>
              <w:t>167.</w:t>
            </w:r>
          </w:p>
        </w:tc>
        <w:tc>
          <w:tcPr>
            <w:tcW w:w="2250" w:type="pct"/>
          </w:tcPr>
          <w:p w14:paraId="6359CE6D" w14:textId="3950AA00" w:rsidR="003942C4" w:rsidRPr="00645C14" w:rsidRDefault="00645C14" w:rsidP="00196F2F">
            <w:pPr>
              <w:spacing w:before="120" w:after="120"/>
              <w:jc w:val="both"/>
              <w:rPr>
                <w:rFonts w:ascii="Arial" w:hAnsi="Arial" w:cs="Arial"/>
                <w:strike/>
                <w:sz w:val="22"/>
                <w:szCs w:val="22"/>
                <w:lang w:val="en-GB"/>
              </w:rPr>
            </w:pPr>
            <w:r w:rsidRPr="00645C14">
              <w:rPr>
                <w:rFonts w:ascii="Arial" w:hAnsi="Arial" w:cs="Arial"/>
                <w:strike/>
                <w:sz w:val="22"/>
                <w:szCs w:val="22"/>
                <w:lang w:val="en-GB"/>
              </w:rPr>
              <w:t xml:space="preserve">Following the session at which </w:t>
            </w:r>
            <w:proofErr w:type="gramStart"/>
            <w:r w:rsidRPr="00645C14">
              <w:rPr>
                <w:rFonts w:ascii="Arial" w:hAnsi="Arial" w:cs="Arial"/>
                <w:strike/>
                <w:sz w:val="22"/>
                <w:szCs w:val="22"/>
                <w:lang w:val="en-GB"/>
              </w:rPr>
              <w:t>they are examined by the Committee</w:t>
            </w:r>
            <w:proofErr w:type="gramEnd"/>
            <w:r w:rsidRPr="00645C14">
              <w:rPr>
                <w:rFonts w:ascii="Arial" w:hAnsi="Arial" w:cs="Arial"/>
                <w:strike/>
                <w:sz w:val="22"/>
                <w:szCs w:val="22"/>
                <w:lang w:val="en-GB"/>
              </w:rPr>
              <w:t>, reports are made available to the public for information, unless decided otherwise by the Committee in exceptional cases.</w:t>
            </w:r>
          </w:p>
        </w:tc>
      </w:tr>
      <w:tr w:rsidR="003942C4" w:rsidRPr="00B36C17" w14:paraId="76856E57" w14:textId="77777777" w:rsidTr="007E0DEF">
        <w:trPr>
          <w:cantSplit/>
        </w:trPr>
        <w:tc>
          <w:tcPr>
            <w:tcW w:w="250" w:type="pct"/>
            <w:gridSpan w:val="2"/>
            <w:shd w:val="clear" w:color="auto" w:fill="auto"/>
          </w:tcPr>
          <w:p w14:paraId="4DB1642C" w14:textId="77777777" w:rsidR="003942C4" w:rsidRPr="0096363C" w:rsidRDefault="003942C4" w:rsidP="00196F2F">
            <w:pPr>
              <w:spacing w:before="120" w:after="120"/>
              <w:jc w:val="right"/>
              <w:rPr>
                <w:rFonts w:ascii="Arial" w:hAnsi="Arial" w:cs="Arial"/>
                <w:b/>
                <w:sz w:val="22"/>
                <w:szCs w:val="22"/>
                <w:lang w:val="en-GB"/>
              </w:rPr>
            </w:pPr>
            <w:r w:rsidRPr="0096363C">
              <w:rPr>
                <w:rFonts w:ascii="Arial" w:hAnsi="Arial" w:cs="Arial"/>
                <w:b/>
                <w:sz w:val="22"/>
                <w:szCs w:val="22"/>
                <w:lang w:val="en-GB"/>
              </w:rPr>
              <w:t>V.</w:t>
            </w:r>
            <w:r>
              <w:rPr>
                <w:rFonts w:ascii="Arial" w:hAnsi="Arial" w:cs="Arial"/>
                <w:b/>
                <w:sz w:val="22"/>
                <w:szCs w:val="22"/>
                <w:lang w:val="en-GB"/>
              </w:rPr>
              <w:t>4</w:t>
            </w:r>
          </w:p>
        </w:tc>
        <w:tc>
          <w:tcPr>
            <w:tcW w:w="2250" w:type="pct"/>
            <w:gridSpan w:val="2"/>
            <w:shd w:val="clear" w:color="auto" w:fill="auto"/>
          </w:tcPr>
          <w:p w14:paraId="295CD6AF" w14:textId="77777777" w:rsidR="003942C4" w:rsidRPr="0096363C" w:rsidRDefault="003942C4" w:rsidP="00196F2F">
            <w:pPr>
              <w:spacing w:before="120" w:after="120"/>
              <w:jc w:val="both"/>
              <w:rPr>
                <w:rFonts w:ascii="Arial" w:hAnsi="Arial" w:cs="Arial"/>
                <w:b/>
                <w:lang w:val="en-GB"/>
              </w:rPr>
            </w:pPr>
            <w:r w:rsidRPr="0096363C">
              <w:rPr>
                <w:rFonts w:ascii="Arial" w:hAnsi="Arial" w:cs="Arial"/>
                <w:b/>
                <w:lang w:val="en-GB"/>
              </w:rPr>
              <w:t>Reports by States non party to the Convention on elements inscribed on the Representative List of the Intangible Cultural Heritage of Humanity</w:t>
            </w:r>
          </w:p>
        </w:tc>
        <w:tc>
          <w:tcPr>
            <w:tcW w:w="250" w:type="pct"/>
          </w:tcPr>
          <w:p w14:paraId="69A4C439" w14:textId="77777777" w:rsidR="003942C4" w:rsidRPr="004815DD" w:rsidRDefault="003942C4" w:rsidP="00196F2F">
            <w:pPr>
              <w:spacing w:before="120" w:after="120"/>
              <w:jc w:val="right"/>
              <w:rPr>
                <w:rFonts w:ascii="Arial" w:hAnsi="Arial" w:cs="Arial"/>
                <w:b/>
                <w:sz w:val="22"/>
                <w:szCs w:val="22"/>
                <w:lang w:val="en-GB"/>
              </w:rPr>
            </w:pPr>
            <w:r w:rsidRPr="004815DD">
              <w:rPr>
                <w:rFonts w:ascii="Arial" w:hAnsi="Arial" w:cs="Arial"/>
                <w:b/>
                <w:sz w:val="22"/>
                <w:szCs w:val="22"/>
                <w:lang w:val="en-GB"/>
              </w:rPr>
              <w:t>V.4</w:t>
            </w:r>
          </w:p>
        </w:tc>
        <w:tc>
          <w:tcPr>
            <w:tcW w:w="2250" w:type="pct"/>
          </w:tcPr>
          <w:p w14:paraId="7108B7F0" w14:textId="77777777" w:rsidR="003942C4" w:rsidRPr="00B36C17" w:rsidRDefault="003942C4" w:rsidP="00196F2F">
            <w:pPr>
              <w:spacing w:before="120" w:after="120"/>
              <w:jc w:val="both"/>
              <w:rPr>
                <w:rFonts w:ascii="Arial" w:hAnsi="Arial" w:cs="Arial"/>
                <w:sz w:val="22"/>
                <w:szCs w:val="22"/>
                <w:lang w:val="en-GB"/>
              </w:rPr>
            </w:pPr>
            <w:r w:rsidRPr="00B36C17">
              <w:rPr>
                <w:rFonts w:ascii="Arial" w:hAnsi="Arial" w:cs="Arial"/>
                <w:sz w:val="22"/>
                <w:szCs w:val="22"/>
                <w:lang w:val="en-GB"/>
              </w:rPr>
              <w:t>No change.</w:t>
            </w:r>
          </w:p>
        </w:tc>
      </w:tr>
      <w:tr w:rsidR="003942C4" w:rsidRPr="00ED791F" w14:paraId="6D849FF7" w14:textId="77777777" w:rsidTr="007E0DEF">
        <w:trPr>
          <w:cantSplit/>
        </w:trPr>
        <w:tc>
          <w:tcPr>
            <w:tcW w:w="250" w:type="pct"/>
            <w:gridSpan w:val="2"/>
            <w:shd w:val="clear" w:color="auto" w:fill="auto"/>
          </w:tcPr>
          <w:p w14:paraId="77E6FF0E" w14:textId="77777777" w:rsidR="003942C4" w:rsidRPr="00A1056C" w:rsidRDefault="003942C4" w:rsidP="00196F2F">
            <w:pPr>
              <w:spacing w:before="120" w:after="120"/>
              <w:jc w:val="right"/>
              <w:rPr>
                <w:rFonts w:ascii="Arial" w:hAnsi="Arial" w:cs="Arial"/>
                <w:sz w:val="22"/>
                <w:szCs w:val="22"/>
                <w:lang w:val="en-GB"/>
              </w:rPr>
            </w:pPr>
            <w:r>
              <w:rPr>
                <w:rFonts w:ascii="Arial" w:hAnsi="Arial" w:cs="Arial"/>
                <w:sz w:val="22"/>
                <w:szCs w:val="22"/>
                <w:lang w:val="en-GB"/>
              </w:rPr>
              <w:t>168</w:t>
            </w:r>
            <w:r w:rsidRPr="00A1056C">
              <w:rPr>
                <w:rFonts w:ascii="Arial" w:hAnsi="Arial" w:cs="Arial"/>
                <w:sz w:val="22"/>
                <w:szCs w:val="22"/>
                <w:lang w:val="en-GB"/>
              </w:rPr>
              <w:t>.</w:t>
            </w:r>
          </w:p>
        </w:tc>
        <w:tc>
          <w:tcPr>
            <w:tcW w:w="2250" w:type="pct"/>
            <w:gridSpan w:val="2"/>
            <w:shd w:val="clear" w:color="auto" w:fill="auto"/>
          </w:tcPr>
          <w:p w14:paraId="73D3BB3D" w14:textId="77777777" w:rsidR="003942C4" w:rsidRPr="00710CE9" w:rsidRDefault="003942C4" w:rsidP="00196F2F">
            <w:pPr>
              <w:spacing w:before="120" w:after="120"/>
              <w:jc w:val="both"/>
              <w:rPr>
                <w:rFonts w:ascii="Arial" w:hAnsi="Arial" w:cs="Arial"/>
                <w:sz w:val="22"/>
                <w:szCs w:val="22"/>
                <w:lang w:val="en-GB"/>
              </w:rPr>
            </w:pPr>
            <w:r w:rsidRPr="0096363C">
              <w:rPr>
                <w:rFonts w:ascii="Arial" w:hAnsi="Arial" w:cs="Arial"/>
                <w:sz w:val="22"/>
                <w:szCs w:val="22"/>
                <w:lang w:val="en-GB"/>
              </w:rPr>
              <w:t xml:space="preserve">Paragraphs 157–159 and 165–167 of these directives shall apply fully to States </w:t>
            </w:r>
            <w:proofErr w:type="gramStart"/>
            <w:r w:rsidRPr="0096363C">
              <w:rPr>
                <w:rFonts w:ascii="Arial" w:hAnsi="Arial" w:cs="Arial"/>
                <w:sz w:val="22"/>
                <w:szCs w:val="22"/>
                <w:lang w:val="en-GB"/>
              </w:rPr>
              <w:t>non party</w:t>
            </w:r>
            <w:proofErr w:type="gramEnd"/>
            <w:r w:rsidRPr="0096363C">
              <w:rPr>
                <w:rFonts w:ascii="Arial" w:hAnsi="Arial" w:cs="Arial"/>
                <w:sz w:val="22"/>
                <w:szCs w:val="22"/>
                <w:lang w:val="en-GB"/>
              </w:rPr>
              <w:t xml:space="preserve"> to the Convention that have in their territories items proclaimed Masterpieces incorporated in the Representative List of the Intangible Cultural Heritage of Humanity, and that have consented to accept the rights and obligations attendant thereon.</w:t>
            </w:r>
          </w:p>
        </w:tc>
        <w:tc>
          <w:tcPr>
            <w:tcW w:w="250" w:type="pct"/>
          </w:tcPr>
          <w:p w14:paraId="1CC2F671" w14:textId="77777777" w:rsidR="003942C4" w:rsidRPr="00BA4171" w:rsidRDefault="003942C4" w:rsidP="00196F2F">
            <w:pPr>
              <w:spacing w:before="120" w:after="120"/>
              <w:jc w:val="right"/>
              <w:rPr>
                <w:rFonts w:ascii="Arial" w:hAnsi="Arial" w:cs="Arial"/>
                <w:sz w:val="22"/>
                <w:szCs w:val="22"/>
                <w:lang w:val="en-GB"/>
              </w:rPr>
            </w:pPr>
            <w:r w:rsidRPr="00FB5BF2">
              <w:rPr>
                <w:rFonts w:ascii="Arial" w:hAnsi="Arial" w:cs="Arial"/>
                <w:strike/>
                <w:sz w:val="22"/>
                <w:szCs w:val="22"/>
                <w:lang w:val="en-GB"/>
              </w:rPr>
              <w:t>168</w:t>
            </w:r>
            <w:r>
              <w:rPr>
                <w:rFonts w:ascii="Arial" w:hAnsi="Arial" w:cs="Arial"/>
                <w:sz w:val="22"/>
                <w:szCs w:val="22"/>
                <w:lang w:val="en-GB"/>
              </w:rPr>
              <w:t xml:space="preserve"> </w:t>
            </w:r>
            <w:r w:rsidRPr="00537D34">
              <w:rPr>
                <w:rFonts w:ascii="Arial" w:hAnsi="Arial" w:cs="Arial"/>
                <w:b/>
                <w:bCs/>
                <w:sz w:val="22"/>
                <w:szCs w:val="22"/>
                <w:u w:val="single"/>
                <w:lang w:val="en-GB"/>
              </w:rPr>
              <w:t>167.</w:t>
            </w:r>
          </w:p>
        </w:tc>
        <w:tc>
          <w:tcPr>
            <w:tcW w:w="2250" w:type="pct"/>
          </w:tcPr>
          <w:p w14:paraId="7E751A73" w14:textId="2F5074B7" w:rsidR="003942C4" w:rsidRPr="00BA4171" w:rsidRDefault="003942C4" w:rsidP="00126174">
            <w:pPr>
              <w:spacing w:before="120" w:after="120"/>
              <w:jc w:val="both"/>
              <w:rPr>
                <w:rFonts w:ascii="Arial" w:hAnsi="Arial" w:cs="Arial"/>
                <w:sz w:val="22"/>
                <w:szCs w:val="22"/>
                <w:lang w:val="en-GB"/>
              </w:rPr>
            </w:pPr>
            <w:r w:rsidRPr="0096363C">
              <w:rPr>
                <w:rFonts w:ascii="Arial" w:hAnsi="Arial" w:cs="Arial"/>
                <w:sz w:val="22"/>
                <w:szCs w:val="22"/>
                <w:lang w:val="en-GB"/>
              </w:rPr>
              <w:t>Paragraphs 157–159 and 165–16</w:t>
            </w:r>
            <w:r w:rsidRPr="009360AA">
              <w:rPr>
                <w:rFonts w:ascii="Arial" w:hAnsi="Arial" w:cs="Arial"/>
                <w:strike/>
                <w:sz w:val="22"/>
                <w:szCs w:val="22"/>
                <w:lang w:val="en-GB"/>
              </w:rPr>
              <w:t>7</w:t>
            </w:r>
            <w:r w:rsidRPr="009360AA">
              <w:rPr>
                <w:rFonts w:ascii="Arial" w:hAnsi="Arial" w:cs="Arial"/>
                <w:b/>
                <w:bCs/>
                <w:sz w:val="22"/>
                <w:szCs w:val="22"/>
                <w:u w:val="single"/>
                <w:lang w:val="en-GB"/>
              </w:rPr>
              <w:t>6</w:t>
            </w:r>
            <w:r w:rsidRPr="0096363C">
              <w:rPr>
                <w:rFonts w:ascii="Arial" w:hAnsi="Arial" w:cs="Arial"/>
                <w:sz w:val="22"/>
                <w:szCs w:val="22"/>
                <w:lang w:val="en-GB"/>
              </w:rPr>
              <w:t xml:space="preserve"> of these directives shall apply fully to States non party to the Convention that have in their territories items proclaimed </w:t>
            </w:r>
            <w:r w:rsidR="00126174">
              <w:rPr>
                <w:rFonts w:ascii="Arial" w:hAnsi="Arial" w:cs="Arial"/>
                <w:sz w:val="22"/>
                <w:szCs w:val="22"/>
                <w:lang w:val="en-GB"/>
              </w:rPr>
              <w:t xml:space="preserve">as </w:t>
            </w:r>
            <w:r w:rsidRPr="0096363C">
              <w:rPr>
                <w:rFonts w:ascii="Arial" w:hAnsi="Arial" w:cs="Arial"/>
                <w:sz w:val="22"/>
                <w:szCs w:val="22"/>
                <w:lang w:val="en-GB"/>
              </w:rPr>
              <w:t xml:space="preserve">Masterpieces incorporated </w:t>
            </w:r>
            <w:r w:rsidR="00126174">
              <w:rPr>
                <w:rFonts w:ascii="Arial" w:hAnsi="Arial" w:cs="Arial"/>
                <w:sz w:val="22"/>
                <w:szCs w:val="22"/>
                <w:lang w:val="en-GB"/>
              </w:rPr>
              <w:t>on</w:t>
            </w:r>
            <w:r w:rsidR="00126174" w:rsidRPr="0096363C">
              <w:rPr>
                <w:rFonts w:ascii="Arial" w:hAnsi="Arial" w:cs="Arial"/>
                <w:sz w:val="22"/>
                <w:szCs w:val="22"/>
                <w:lang w:val="en-GB"/>
              </w:rPr>
              <w:t xml:space="preserve"> </w:t>
            </w:r>
            <w:r w:rsidRPr="0096363C">
              <w:rPr>
                <w:rFonts w:ascii="Arial" w:hAnsi="Arial" w:cs="Arial"/>
                <w:sz w:val="22"/>
                <w:szCs w:val="22"/>
                <w:lang w:val="en-GB"/>
              </w:rPr>
              <w:t>the Representative List of the Intangible Cultural Heritage of Humanity, and that have consented to accept the rights and obligations attendant thereon.</w:t>
            </w:r>
          </w:p>
        </w:tc>
      </w:tr>
      <w:tr w:rsidR="003942C4" w:rsidRPr="00ED791F" w14:paraId="4D2E8AD1" w14:textId="77777777" w:rsidTr="007E0DEF">
        <w:trPr>
          <w:cantSplit/>
        </w:trPr>
        <w:tc>
          <w:tcPr>
            <w:tcW w:w="250" w:type="pct"/>
            <w:gridSpan w:val="2"/>
            <w:shd w:val="clear" w:color="auto" w:fill="auto"/>
          </w:tcPr>
          <w:p w14:paraId="13F9C00B" w14:textId="77777777" w:rsidR="003942C4" w:rsidRPr="00A1056C" w:rsidRDefault="003942C4" w:rsidP="00196F2F">
            <w:pPr>
              <w:spacing w:before="120" w:after="120"/>
              <w:jc w:val="right"/>
              <w:rPr>
                <w:rFonts w:ascii="Arial" w:hAnsi="Arial" w:cs="Arial"/>
                <w:sz w:val="22"/>
                <w:szCs w:val="22"/>
                <w:lang w:val="en-GB"/>
              </w:rPr>
            </w:pPr>
            <w:r>
              <w:rPr>
                <w:rFonts w:ascii="Arial" w:hAnsi="Arial" w:cs="Arial"/>
                <w:sz w:val="22"/>
                <w:szCs w:val="22"/>
                <w:lang w:val="en-GB"/>
              </w:rPr>
              <w:t>169</w:t>
            </w:r>
            <w:r w:rsidRPr="00A1056C">
              <w:rPr>
                <w:rFonts w:ascii="Arial" w:hAnsi="Arial" w:cs="Arial"/>
                <w:sz w:val="22"/>
                <w:szCs w:val="22"/>
                <w:lang w:val="en-GB"/>
              </w:rPr>
              <w:t>.</w:t>
            </w:r>
          </w:p>
        </w:tc>
        <w:tc>
          <w:tcPr>
            <w:tcW w:w="2250" w:type="pct"/>
            <w:gridSpan w:val="2"/>
            <w:shd w:val="clear" w:color="auto" w:fill="auto"/>
          </w:tcPr>
          <w:p w14:paraId="6F491C77" w14:textId="0042B692" w:rsidR="003942C4" w:rsidRPr="00710CE9" w:rsidRDefault="006610D9" w:rsidP="00196F2F">
            <w:pPr>
              <w:spacing w:before="120" w:after="120"/>
              <w:jc w:val="both"/>
              <w:rPr>
                <w:rFonts w:ascii="Arial" w:hAnsi="Arial" w:cs="Arial"/>
                <w:sz w:val="22"/>
                <w:szCs w:val="22"/>
                <w:lang w:val="en-GB"/>
              </w:rPr>
            </w:pPr>
            <w:r w:rsidRPr="006610D9">
              <w:rPr>
                <w:rFonts w:ascii="Arial" w:hAnsi="Arial" w:cs="Arial"/>
                <w:sz w:val="22"/>
                <w:szCs w:val="22"/>
                <w:lang w:val="en-GB"/>
              </w:rPr>
              <w:t xml:space="preserve">Such reports shall be submitted to the Committee by States </w:t>
            </w:r>
            <w:proofErr w:type="gramStart"/>
            <w:r w:rsidRPr="006610D9">
              <w:rPr>
                <w:rFonts w:ascii="Arial" w:hAnsi="Arial" w:cs="Arial"/>
                <w:sz w:val="22"/>
                <w:szCs w:val="22"/>
                <w:lang w:val="en-GB"/>
              </w:rPr>
              <w:t>non party</w:t>
            </w:r>
            <w:proofErr w:type="gramEnd"/>
            <w:r w:rsidRPr="006610D9">
              <w:rPr>
                <w:rFonts w:ascii="Arial" w:hAnsi="Arial" w:cs="Arial"/>
                <w:sz w:val="22"/>
                <w:szCs w:val="22"/>
                <w:lang w:val="en-GB"/>
              </w:rPr>
              <w:t xml:space="preserve"> by 15 December 2014, and every sixth year thereafter. Form ICH-10 </w:t>
            </w:r>
            <w:proofErr w:type="gramStart"/>
            <w:r w:rsidRPr="006610D9">
              <w:rPr>
                <w:rFonts w:ascii="Arial" w:hAnsi="Arial" w:cs="Arial"/>
                <w:sz w:val="22"/>
                <w:szCs w:val="22"/>
                <w:lang w:val="en-GB"/>
              </w:rPr>
              <w:t>is used</w:t>
            </w:r>
            <w:proofErr w:type="gramEnd"/>
            <w:r w:rsidRPr="006610D9">
              <w:rPr>
                <w:rFonts w:ascii="Arial" w:hAnsi="Arial" w:cs="Arial"/>
                <w:sz w:val="22"/>
                <w:szCs w:val="22"/>
                <w:lang w:val="en-GB"/>
              </w:rPr>
              <w:t xml:space="preserve"> for such reports, available at </w:t>
            </w:r>
            <w:hyperlink r:id="rId22" w:history="1">
              <w:r w:rsidRPr="006610D9">
                <w:rPr>
                  <w:rStyle w:val="Hyperlink"/>
                  <w:rFonts w:ascii="Arial" w:hAnsi="Arial" w:cs="Arial"/>
                  <w:sz w:val="22"/>
                  <w:szCs w:val="22"/>
                  <w:lang w:val="en-GB"/>
                </w:rPr>
                <w:t>www.unesco.org/culture/ich</w:t>
              </w:r>
            </w:hyperlink>
            <w:r w:rsidRPr="006610D9">
              <w:rPr>
                <w:rFonts w:ascii="Arial" w:hAnsi="Arial" w:cs="Arial"/>
                <w:sz w:val="22"/>
                <w:szCs w:val="22"/>
                <w:lang w:val="en-GB"/>
              </w:rPr>
              <w:t xml:space="preserve"> or on request from the Secretariat. The reports shall include only the information requested in the form.</w:t>
            </w:r>
          </w:p>
        </w:tc>
        <w:tc>
          <w:tcPr>
            <w:tcW w:w="250" w:type="pct"/>
          </w:tcPr>
          <w:p w14:paraId="62D60374" w14:textId="77777777" w:rsidR="003942C4" w:rsidRPr="00BA4171" w:rsidRDefault="003942C4" w:rsidP="00196F2F">
            <w:pPr>
              <w:spacing w:before="120" w:after="120"/>
              <w:jc w:val="right"/>
              <w:rPr>
                <w:rFonts w:ascii="Arial" w:hAnsi="Arial" w:cs="Arial"/>
                <w:sz w:val="22"/>
                <w:szCs w:val="22"/>
                <w:lang w:val="en-GB"/>
              </w:rPr>
            </w:pPr>
            <w:r w:rsidRPr="00FB5BF2">
              <w:rPr>
                <w:rFonts w:ascii="Arial" w:hAnsi="Arial" w:cs="Arial"/>
                <w:strike/>
                <w:sz w:val="22"/>
                <w:szCs w:val="22"/>
                <w:lang w:val="en-GB"/>
              </w:rPr>
              <w:t>169</w:t>
            </w:r>
            <w:r>
              <w:rPr>
                <w:rFonts w:ascii="Arial" w:hAnsi="Arial" w:cs="Arial"/>
                <w:sz w:val="22"/>
                <w:szCs w:val="22"/>
                <w:lang w:val="en-GB"/>
              </w:rPr>
              <w:t xml:space="preserve"> </w:t>
            </w:r>
            <w:r w:rsidRPr="00537D34">
              <w:rPr>
                <w:rFonts w:ascii="Arial" w:hAnsi="Arial" w:cs="Arial"/>
                <w:b/>
                <w:bCs/>
                <w:sz w:val="22"/>
                <w:szCs w:val="22"/>
                <w:u w:val="single"/>
                <w:lang w:val="en-GB"/>
              </w:rPr>
              <w:t>168.</w:t>
            </w:r>
          </w:p>
        </w:tc>
        <w:tc>
          <w:tcPr>
            <w:tcW w:w="2250" w:type="pct"/>
          </w:tcPr>
          <w:p w14:paraId="474F6DA7" w14:textId="3C9A6B38" w:rsidR="003942C4" w:rsidRPr="00BA4171" w:rsidRDefault="005E4569" w:rsidP="00126174">
            <w:pPr>
              <w:spacing w:before="120" w:after="120"/>
              <w:jc w:val="both"/>
              <w:rPr>
                <w:rFonts w:ascii="Arial" w:hAnsi="Arial" w:cs="Arial"/>
                <w:sz w:val="22"/>
                <w:szCs w:val="22"/>
                <w:lang w:val="en-GB"/>
              </w:rPr>
            </w:pPr>
            <w:r w:rsidRPr="006610D9">
              <w:rPr>
                <w:rFonts w:ascii="Arial" w:hAnsi="Arial" w:cs="Arial"/>
                <w:sz w:val="22"/>
                <w:szCs w:val="22"/>
                <w:lang w:val="en-GB"/>
              </w:rPr>
              <w:t xml:space="preserve">Such reports shall be submitted to the Committee by States </w:t>
            </w:r>
            <w:proofErr w:type="gramStart"/>
            <w:r w:rsidRPr="006610D9">
              <w:rPr>
                <w:rFonts w:ascii="Arial" w:hAnsi="Arial" w:cs="Arial"/>
                <w:sz w:val="22"/>
                <w:szCs w:val="22"/>
                <w:lang w:val="en-GB"/>
              </w:rPr>
              <w:t>non party</w:t>
            </w:r>
            <w:proofErr w:type="gramEnd"/>
            <w:r w:rsidRPr="006610D9">
              <w:rPr>
                <w:rFonts w:ascii="Arial" w:hAnsi="Arial" w:cs="Arial"/>
                <w:sz w:val="22"/>
                <w:szCs w:val="22"/>
                <w:lang w:val="en-GB"/>
              </w:rPr>
              <w:t xml:space="preserve"> by 15 December 2014, and every sixth year thereafter. </w:t>
            </w:r>
            <w:r w:rsidRPr="0036383E">
              <w:rPr>
                <w:rFonts w:ascii="Arial" w:hAnsi="Arial" w:cs="Arial"/>
                <w:sz w:val="22"/>
                <w:szCs w:val="22"/>
                <w:lang w:val="en-GB"/>
              </w:rPr>
              <w:t xml:space="preserve">Form ICH-10 </w:t>
            </w:r>
            <w:proofErr w:type="gramStart"/>
            <w:r w:rsidRPr="0036383E">
              <w:rPr>
                <w:rFonts w:ascii="Arial" w:hAnsi="Arial" w:cs="Arial"/>
                <w:strike/>
                <w:sz w:val="22"/>
                <w:szCs w:val="22"/>
                <w:lang w:val="en-GB"/>
              </w:rPr>
              <w:t>is used</w:t>
            </w:r>
            <w:proofErr w:type="gramEnd"/>
            <w:r w:rsidRPr="0036383E">
              <w:rPr>
                <w:rFonts w:ascii="Arial" w:hAnsi="Arial" w:cs="Arial"/>
                <w:strike/>
                <w:sz w:val="22"/>
                <w:szCs w:val="22"/>
                <w:lang w:val="en-GB"/>
              </w:rPr>
              <w:t xml:space="preserve"> for such reports, available at </w:t>
            </w:r>
            <w:hyperlink r:id="rId23" w:history="1">
              <w:r w:rsidR="0036383E" w:rsidRPr="0036383E">
                <w:rPr>
                  <w:rStyle w:val="Hyperlink"/>
                  <w:rFonts w:ascii="Arial" w:hAnsi="Arial" w:cs="Arial"/>
                  <w:strike/>
                  <w:sz w:val="22"/>
                  <w:szCs w:val="22"/>
                  <w:lang w:val="en-GB"/>
                </w:rPr>
                <w:t>www.unesco.org/culture/ich</w:t>
              </w:r>
            </w:hyperlink>
            <w:r w:rsidRPr="0036383E">
              <w:rPr>
                <w:rFonts w:ascii="Arial" w:hAnsi="Arial" w:cs="Arial"/>
                <w:strike/>
                <w:sz w:val="22"/>
                <w:szCs w:val="22"/>
                <w:lang w:val="en-GB"/>
              </w:rPr>
              <w:t xml:space="preserve"> or on request from the Secretariat. The reports shall include only the information requested in the form.</w:t>
            </w:r>
            <w:r w:rsidR="0036383E">
              <w:rPr>
                <w:rFonts w:ascii="Arial" w:hAnsi="Arial" w:cs="Arial"/>
                <w:strike/>
                <w:sz w:val="22"/>
                <w:szCs w:val="22"/>
                <w:lang w:val="en-GB"/>
              </w:rPr>
              <w:t xml:space="preserve"> </w:t>
            </w:r>
            <w:proofErr w:type="gramStart"/>
            <w:r w:rsidR="00126174">
              <w:rPr>
                <w:rFonts w:ascii="Arial" w:hAnsi="Arial" w:cs="Arial"/>
                <w:b/>
                <w:color w:val="000000"/>
                <w:sz w:val="22"/>
                <w:szCs w:val="22"/>
                <w:u w:val="single"/>
                <w:lang w:val="en-GB"/>
              </w:rPr>
              <w:t>must</w:t>
            </w:r>
            <w:proofErr w:type="gramEnd"/>
            <w:r w:rsidR="0036383E" w:rsidRPr="000A2E3E">
              <w:rPr>
                <w:rFonts w:ascii="Arial" w:hAnsi="Arial" w:cs="Arial"/>
                <w:b/>
                <w:color w:val="000000"/>
                <w:sz w:val="22"/>
                <w:szCs w:val="22"/>
                <w:u w:val="single"/>
                <w:lang w:val="en-GB"/>
              </w:rPr>
              <w:t xml:space="preserve"> be completed online by each State Party (</w:t>
            </w:r>
            <w:hyperlink r:id="rId24" w:history="1">
              <w:r w:rsidR="0036383E" w:rsidRPr="000A2E3E">
                <w:rPr>
                  <w:rStyle w:val="Hyperlink"/>
                  <w:rFonts w:ascii="Arial" w:hAnsi="Arial" w:cs="Arial"/>
                  <w:b/>
                  <w:sz w:val="22"/>
                  <w:szCs w:val="22"/>
                  <w:lang w:val="en-GB"/>
                </w:rPr>
                <w:t>https://ich.unesco.org/</w:t>
              </w:r>
            </w:hyperlink>
            <w:r w:rsidR="0036383E">
              <w:rPr>
                <w:rFonts w:ascii="Arial" w:hAnsi="Arial" w:cs="Arial"/>
                <w:b/>
                <w:color w:val="000000"/>
                <w:sz w:val="22"/>
                <w:szCs w:val="22"/>
                <w:u w:val="single"/>
                <w:lang w:val="en-GB"/>
              </w:rPr>
              <w:t>) and</w:t>
            </w:r>
            <w:r w:rsidR="0036383E" w:rsidRPr="000A2E3E">
              <w:rPr>
                <w:rFonts w:ascii="Arial" w:hAnsi="Arial" w:cs="Arial"/>
                <w:b/>
                <w:color w:val="000000"/>
                <w:sz w:val="22"/>
                <w:szCs w:val="22"/>
                <w:u w:val="single"/>
                <w:lang w:val="en-GB"/>
              </w:rPr>
              <w:t xml:space="preserve"> is revised at appropriate intervals</w:t>
            </w:r>
            <w:r w:rsidR="0036383E">
              <w:rPr>
                <w:rFonts w:ascii="Arial" w:hAnsi="Arial" w:cs="Arial"/>
                <w:b/>
                <w:color w:val="000000"/>
                <w:sz w:val="22"/>
                <w:szCs w:val="22"/>
                <w:u w:val="single"/>
                <w:lang w:val="en-GB"/>
              </w:rPr>
              <w:t xml:space="preserve"> </w:t>
            </w:r>
            <w:r w:rsidR="0036383E" w:rsidRPr="000A2E3E">
              <w:rPr>
                <w:rFonts w:ascii="Arial" w:hAnsi="Arial" w:cs="Arial"/>
                <w:b/>
                <w:color w:val="000000"/>
                <w:sz w:val="22"/>
                <w:szCs w:val="22"/>
                <w:u w:val="single"/>
                <w:lang w:val="en-GB"/>
              </w:rPr>
              <w:t>by the Secretariat.</w:t>
            </w:r>
          </w:p>
        </w:tc>
      </w:tr>
    </w:tbl>
    <w:p w14:paraId="7FFCACDD" w14:textId="77777777" w:rsidR="00B6098C" w:rsidRPr="003942C4" w:rsidRDefault="00B6098C" w:rsidP="001F26CF">
      <w:pPr>
        <w:pStyle w:val="COMParaDecision"/>
        <w:numPr>
          <w:ilvl w:val="0"/>
          <w:numId w:val="0"/>
        </w:numPr>
        <w:jc w:val="left"/>
      </w:pPr>
    </w:p>
    <w:sectPr w:rsidR="00B6098C" w:rsidRPr="003942C4" w:rsidSect="007E0DEF">
      <w:pgSz w:w="16838" w:h="11906" w:orient="landscape" w:code="9"/>
      <w:pgMar w:top="1134" w:right="1134" w:bottom="1134" w:left="1134" w:header="397" w:footer="28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387756" w16cid:durableId="1E662C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E04A8" w14:textId="77777777" w:rsidR="000450CB" w:rsidRDefault="000450CB" w:rsidP="00655736">
      <w:r>
        <w:separator/>
      </w:r>
    </w:p>
  </w:endnote>
  <w:endnote w:type="continuationSeparator" w:id="0">
    <w:p w14:paraId="1C286C7D" w14:textId="77777777" w:rsidR="000450CB" w:rsidRDefault="000450CB"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3A7ED" w14:textId="77777777" w:rsidR="000450CB" w:rsidRDefault="000450CB" w:rsidP="00655736">
      <w:r>
        <w:separator/>
      </w:r>
    </w:p>
  </w:footnote>
  <w:footnote w:type="continuationSeparator" w:id="0">
    <w:p w14:paraId="09E908F9" w14:textId="77777777" w:rsidR="000450CB" w:rsidRDefault="000450CB"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9D9D7" w14:textId="4891CECB" w:rsidR="00D95C4C" w:rsidRPr="00C23A97" w:rsidRDefault="00CB0542">
    <w:pPr>
      <w:pStyle w:val="Header"/>
      <w:rPr>
        <w:rFonts w:ascii="Arial" w:hAnsi="Arial" w:cs="Arial"/>
        <w:lang w:val="en-GB"/>
      </w:rPr>
    </w:pPr>
    <w:r>
      <w:rPr>
        <w:rFonts w:ascii="Arial" w:hAnsi="Arial" w:cs="Arial"/>
        <w:sz w:val="20"/>
        <w:szCs w:val="20"/>
        <w:lang w:val="en-GB"/>
      </w:rPr>
      <w:t>ITH/1</w:t>
    </w:r>
    <w:r w:rsidR="0004168A">
      <w:rPr>
        <w:rFonts w:ascii="Arial" w:eastAsiaTheme="minorEastAsia" w:hAnsi="Arial" w:cs="Arial" w:hint="eastAsia"/>
        <w:sz w:val="20"/>
        <w:szCs w:val="20"/>
        <w:lang w:val="en-GB" w:eastAsia="ko-KR"/>
      </w:rPr>
      <w:t>8</w:t>
    </w:r>
    <w:r>
      <w:rPr>
        <w:rFonts w:ascii="Arial" w:hAnsi="Arial" w:cs="Arial"/>
        <w:sz w:val="20"/>
        <w:szCs w:val="20"/>
        <w:lang w:val="en-GB"/>
      </w:rPr>
      <w:t>/</w:t>
    </w:r>
    <w:r w:rsidR="0004168A">
      <w:rPr>
        <w:rFonts w:ascii="Arial" w:hAnsi="Arial" w:cs="Arial"/>
        <w:sz w:val="20"/>
        <w:szCs w:val="20"/>
        <w:lang w:val="en-GB"/>
      </w:rPr>
      <w:t>7.GA</w:t>
    </w:r>
    <w:r w:rsidR="00D95C4C" w:rsidRPr="00C23A97">
      <w:rPr>
        <w:rFonts w:ascii="Arial" w:hAnsi="Arial" w:cs="Arial"/>
        <w:sz w:val="20"/>
        <w:szCs w:val="20"/>
        <w:lang w:val="en-GB"/>
      </w:rPr>
      <w:t>/</w:t>
    </w:r>
    <w:r w:rsidR="00326263">
      <w:rPr>
        <w:rFonts w:ascii="Arial" w:hAnsi="Arial" w:cs="Arial"/>
        <w:sz w:val="20"/>
        <w:szCs w:val="20"/>
        <w:lang w:val="en-GB"/>
      </w:rPr>
      <w:t>10</w:t>
    </w:r>
    <w:r w:rsidR="00634976">
      <w:rPr>
        <w:rFonts w:ascii="Arial" w:hAnsi="Arial" w:cs="Arial"/>
        <w:sz w:val="20"/>
        <w:szCs w:val="20"/>
        <w:lang w:val="en-GB"/>
      </w:rPr>
      <w:t xml:space="preserve"> Rev.</w:t>
    </w:r>
    <w:r w:rsidR="00D95C4C" w:rsidRPr="00C23A97">
      <w:rPr>
        <w:rFonts w:ascii="Arial" w:hAnsi="Arial" w:cs="Arial"/>
        <w:sz w:val="20"/>
        <w:szCs w:val="20"/>
        <w:lang w:val="en-GB"/>
      </w:rPr>
      <w:t xml:space="preserve"> – page </w:t>
    </w:r>
    <w:r w:rsidR="00D95C4C" w:rsidRPr="00C23A97">
      <w:rPr>
        <w:rStyle w:val="PageNumber"/>
        <w:rFonts w:ascii="Arial" w:hAnsi="Arial" w:cs="Arial"/>
        <w:sz w:val="20"/>
        <w:szCs w:val="20"/>
        <w:lang w:val="en-GB"/>
      </w:rPr>
      <w:fldChar w:fldCharType="begin"/>
    </w:r>
    <w:r w:rsidR="00D95C4C" w:rsidRPr="00C23A97">
      <w:rPr>
        <w:rStyle w:val="PageNumber"/>
        <w:rFonts w:ascii="Arial" w:hAnsi="Arial" w:cs="Arial"/>
        <w:sz w:val="20"/>
        <w:szCs w:val="20"/>
        <w:lang w:val="en-GB"/>
      </w:rPr>
      <w:instrText xml:space="preserve"> PAGE </w:instrText>
    </w:r>
    <w:r w:rsidR="00D95C4C" w:rsidRPr="00C23A97">
      <w:rPr>
        <w:rStyle w:val="PageNumber"/>
        <w:rFonts w:ascii="Arial" w:hAnsi="Arial" w:cs="Arial"/>
        <w:sz w:val="20"/>
        <w:szCs w:val="20"/>
        <w:lang w:val="en-GB"/>
      </w:rPr>
      <w:fldChar w:fldCharType="separate"/>
    </w:r>
    <w:r w:rsidR="00ED791F">
      <w:rPr>
        <w:rStyle w:val="PageNumber"/>
        <w:rFonts w:ascii="Arial" w:hAnsi="Arial" w:cs="Arial"/>
        <w:noProof/>
        <w:sz w:val="20"/>
        <w:szCs w:val="20"/>
        <w:lang w:val="en-GB"/>
      </w:rPr>
      <w:t>8</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5E0BD" w14:textId="7AF67411" w:rsidR="00D95C4C" w:rsidRPr="0063300C" w:rsidRDefault="0004168A" w:rsidP="0063300C">
    <w:pPr>
      <w:pStyle w:val="Header"/>
      <w:jc w:val="right"/>
      <w:rPr>
        <w:rFonts w:ascii="Arial" w:hAnsi="Arial" w:cs="Arial"/>
        <w:lang w:val="en-GB"/>
      </w:rPr>
    </w:pPr>
    <w:r>
      <w:rPr>
        <w:rFonts w:ascii="Arial" w:hAnsi="Arial" w:cs="Arial"/>
        <w:sz w:val="20"/>
        <w:szCs w:val="20"/>
        <w:lang w:val="en-GB"/>
      </w:rPr>
      <w:t>ITH/18</w:t>
    </w:r>
    <w:r w:rsidR="0053318C">
      <w:rPr>
        <w:rFonts w:ascii="Arial" w:hAnsi="Arial" w:cs="Arial"/>
        <w:sz w:val="20"/>
        <w:szCs w:val="20"/>
        <w:lang w:val="en-GB"/>
      </w:rPr>
      <w:t>/</w:t>
    </w:r>
    <w:r>
      <w:rPr>
        <w:rFonts w:ascii="Arial" w:hAnsi="Arial" w:cs="Arial"/>
        <w:sz w:val="20"/>
        <w:szCs w:val="20"/>
        <w:lang w:val="en-GB"/>
      </w:rPr>
      <w:t>7.GA</w:t>
    </w:r>
    <w:r w:rsidR="004A34A0" w:rsidRPr="0063300C">
      <w:rPr>
        <w:rFonts w:ascii="Arial" w:hAnsi="Arial" w:cs="Arial"/>
        <w:sz w:val="20"/>
        <w:szCs w:val="20"/>
        <w:lang w:val="en-GB"/>
      </w:rPr>
      <w:t>/</w:t>
    </w:r>
    <w:r w:rsidR="00D5143D">
      <w:rPr>
        <w:rFonts w:ascii="Arial" w:hAnsi="Arial" w:cs="Arial"/>
        <w:sz w:val="20"/>
        <w:szCs w:val="20"/>
        <w:lang w:val="en-GB"/>
      </w:rPr>
      <w:t>10</w:t>
    </w:r>
    <w:r w:rsidR="00634976">
      <w:rPr>
        <w:rFonts w:ascii="Arial" w:hAnsi="Arial" w:cs="Arial"/>
        <w:sz w:val="20"/>
        <w:szCs w:val="20"/>
        <w:lang w:val="en-GB"/>
      </w:rPr>
      <w:t xml:space="preserve"> Rev.</w:t>
    </w:r>
    <w:r w:rsidR="004A34A0" w:rsidRPr="0063300C">
      <w:rPr>
        <w:rFonts w:ascii="Arial" w:hAnsi="Arial" w:cs="Arial"/>
        <w:sz w:val="20"/>
        <w:szCs w:val="20"/>
        <w:lang w:val="en-GB"/>
      </w:rPr>
      <w:t xml:space="preserve"> – page </w:t>
    </w:r>
    <w:r w:rsidR="004A34A0" w:rsidRPr="0063300C">
      <w:rPr>
        <w:rStyle w:val="PageNumber"/>
        <w:rFonts w:ascii="Arial" w:hAnsi="Arial" w:cs="Arial"/>
        <w:sz w:val="20"/>
        <w:szCs w:val="20"/>
        <w:lang w:val="en-GB"/>
      </w:rPr>
      <w:fldChar w:fldCharType="begin"/>
    </w:r>
    <w:r w:rsidR="004A34A0" w:rsidRPr="0063300C">
      <w:rPr>
        <w:rStyle w:val="PageNumber"/>
        <w:rFonts w:ascii="Arial" w:hAnsi="Arial" w:cs="Arial"/>
        <w:sz w:val="20"/>
        <w:szCs w:val="20"/>
        <w:lang w:val="en-GB"/>
      </w:rPr>
      <w:instrText xml:space="preserve"> PAGE </w:instrText>
    </w:r>
    <w:r w:rsidR="004A34A0" w:rsidRPr="0063300C">
      <w:rPr>
        <w:rStyle w:val="PageNumber"/>
        <w:rFonts w:ascii="Arial" w:hAnsi="Arial" w:cs="Arial"/>
        <w:sz w:val="20"/>
        <w:szCs w:val="20"/>
        <w:lang w:val="en-GB"/>
      </w:rPr>
      <w:fldChar w:fldCharType="separate"/>
    </w:r>
    <w:r w:rsidR="00ED791F">
      <w:rPr>
        <w:rStyle w:val="PageNumber"/>
        <w:rFonts w:ascii="Arial" w:hAnsi="Arial" w:cs="Arial"/>
        <w:noProof/>
        <w:sz w:val="20"/>
        <w:szCs w:val="20"/>
        <w:lang w:val="en-GB"/>
      </w:rPr>
      <w:t>7</w:t>
    </w:r>
    <w:r w:rsidR="004A34A0"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1B2C9" w14:textId="77777777" w:rsidR="00D95C4C" w:rsidRPr="00F32C23" w:rsidRDefault="00955877">
    <w:pPr>
      <w:pStyle w:val="Header"/>
      <w:rPr>
        <w:lang w:val="en-GB"/>
      </w:rPr>
    </w:pPr>
    <w:r>
      <w:rPr>
        <w:noProof/>
        <w:lang w:val="en-US" w:eastAsia="ko-KR"/>
      </w:rPr>
      <w:drawing>
        <wp:anchor distT="0" distB="0" distL="114300" distR="114300" simplePos="0" relativeHeight="251657728" behindDoc="0" locked="0" layoutInCell="1" allowOverlap="1" wp14:anchorId="1CE48142" wp14:editId="053F6FA9">
          <wp:simplePos x="0" y="0"/>
          <wp:positionH relativeFrom="column">
            <wp:posOffset>-567690</wp:posOffset>
          </wp:positionH>
          <wp:positionV relativeFrom="paragraph">
            <wp:posOffset>3810</wp:posOffset>
          </wp:positionV>
          <wp:extent cx="2228215" cy="1367790"/>
          <wp:effectExtent l="0" t="0" r="635" b="3810"/>
          <wp:wrapNone/>
          <wp:docPr id="1"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64BA89" w14:textId="0950D06E" w:rsidR="00D95C4C" w:rsidRPr="00F30DC6" w:rsidRDefault="00BE6DAA" w:rsidP="00655736">
    <w:pPr>
      <w:pStyle w:val="Header"/>
      <w:spacing w:after="520"/>
      <w:jc w:val="right"/>
      <w:rPr>
        <w:rFonts w:ascii="Arial" w:hAnsi="Arial" w:cs="Arial"/>
        <w:b/>
        <w:sz w:val="44"/>
        <w:szCs w:val="44"/>
        <w:lang w:val="en-GB"/>
      </w:rPr>
    </w:pPr>
    <w:r>
      <w:rPr>
        <w:rFonts w:ascii="Arial" w:hAnsi="Arial" w:cs="Arial"/>
        <w:b/>
        <w:sz w:val="44"/>
        <w:szCs w:val="44"/>
        <w:lang w:val="en-GB"/>
      </w:rPr>
      <w:t>7 GA</w:t>
    </w:r>
  </w:p>
  <w:p w14:paraId="1354FACE" w14:textId="37F43077" w:rsidR="00D95C4C" w:rsidRPr="009D5428" w:rsidRDefault="00337CEB" w:rsidP="00655736">
    <w:pPr>
      <w:jc w:val="right"/>
      <w:rPr>
        <w:rFonts w:ascii="Arial" w:hAnsi="Arial" w:cs="Arial"/>
        <w:b/>
        <w:sz w:val="22"/>
        <w:szCs w:val="22"/>
        <w:lang w:val="en-GB"/>
      </w:rPr>
    </w:pPr>
    <w:r>
      <w:rPr>
        <w:rFonts w:ascii="Arial" w:hAnsi="Arial" w:cs="Arial"/>
        <w:b/>
        <w:sz w:val="22"/>
        <w:szCs w:val="22"/>
        <w:lang w:val="en-GB"/>
      </w:rPr>
      <w:t>ITH/1</w:t>
    </w:r>
    <w:r w:rsidR="00BE6DAA">
      <w:rPr>
        <w:rFonts w:ascii="Arial" w:eastAsiaTheme="minorEastAsia" w:hAnsi="Arial" w:cs="Arial" w:hint="eastAsia"/>
        <w:b/>
        <w:sz w:val="22"/>
        <w:szCs w:val="22"/>
        <w:lang w:val="en-GB" w:eastAsia="ko-KR"/>
      </w:rPr>
      <w:t>8</w:t>
    </w:r>
    <w:r w:rsidR="00D95C4C" w:rsidRPr="009D5428">
      <w:rPr>
        <w:rFonts w:ascii="Arial" w:hAnsi="Arial" w:cs="Arial"/>
        <w:b/>
        <w:sz w:val="22"/>
        <w:szCs w:val="22"/>
        <w:lang w:val="en-GB"/>
      </w:rPr>
      <w:t>/</w:t>
    </w:r>
    <w:r w:rsidR="00BE6DAA">
      <w:rPr>
        <w:rFonts w:ascii="Arial" w:hAnsi="Arial" w:cs="Arial"/>
        <w:b/>
        <w:sz w:val="22"/>
        <w:szCs w:val="22"/>
        <w:lang w:val="en-GB"/>
      </w:rPr>
      <w:t>7.GA/</w:t>
    </w:r>
    <w:r w:rsidR="002F45C7" w:rsidRPr="00453F74">
      <w:rPr>
        <w:rFonts w:ascii="Arial" w:hAnsi="Arial" w:cs="Arial"/>
        <w:b/>
        <w:sz w:val="22"/>
        <w:szCs w:val="22"/>
        <w:lang w:val="en-GB"/>
      </w:rPr>
      <w:t>10</w:t>
    </w:r>
    <w:r w:rsidR="00634976">
      <w:rPr>
        <w:rFonts w:ascii="Arial" w:hAnsi="Arial" w:cs="Arial"/>
        <w:b/>
        <w:sz w:val="22"/>
        <w:szCs w:val="22"/>
        <w:lang w:val="en-GB"/>
      </w:rPr>
      <w:t xml:space="preserve"> Rev.</w:t>
    </w:r>
  </w:p>
  <w:p w14:paraId="3E266CEE" w14:textId="761FA300" w:rsidR="00D95C4C" w:rsidRPr="00337CEB" w:rsidRDefault="00D95C4C" w:rsidP="00634976">
    <w:pPr>
      <w:jc w:val="right"/>
      <w:rPr>
        <w:rFonts w:ascii="Arial" w:eastAsiaTheme="minorEastAsia" w:hAnsi="Arial" w:cs="Arial"/>
        <w:b/>
        <w:sz w:val="22"/>
        <w:szCs w:val="22"/>
        <w:lang w:val="en-GB" w:eastAsia="ko-KR"/>
      </w:rPr>
    </w:pPr>
    <w:r w:rsidRPr="009D5428">
      <w:rPr>
        <w:rFonts w:ascii="Arial" w:hAnsi="Arial" w:cs="Arial"/>
        <w:b/>
        <w:sz w:val="22"/>
        <w:szCs w:val="22"/>
        <w:lang w:val="en-GB"/>
      </w:rPr>
      <w:t xml:space="preserve">Paris, </w:t>
    </w:r>
    <w:r w:rsidR="00634976">
      <w:rPr>
        <w:rFonts w:ascii="Arial" w:hAnsi="Arial" w:cs="Arial"/>
        <w:b/>
        <w:sz w:val="22"/>
        <w:szCs w:val="22"/>
        <w:lang w:val="en-GB"/>
      </w:rPr>
      <w:t>31</w:t>
    </w:r>
    <w:r w:rsidR="00537D34">
      <w:rPr>
        <w:rFonts w:ascii="Arial" w:hAnsi="Arial" w:cs="Arial"/>
        <w:b/>
        <w:sz w:val="22"/>
        <w:szCs w:val="22"/>
        <w:lang w:val="en-GB"/>
      </w:rPr>
      <w:t xml:space="preserve"> May</w:t>
    </w:r>
    <w:r w:rsidR="00BE6DAA" w:rsidRPr="00C23A97">
      <w:rPr>
        <w:rFonts w:ascii="Arial" w:hAnsi="Arial" w:cs="Arial"/>
        <w:b/>
        <w:sz w:val="22"/>
        <w:szCs w:val="22"/>
        <w:lang w:val="en-GB"/>
      </w:rPr>
      <w:t xml:space="preserve"> </w:t>
    </w:r>
    <w:r w:rsidR="00337CEB" w:rsidRPr="00453F74">
      <w:rPr>
        <w:rFonts w:ascii="Arial" w:hAnsi="Arial" w:cs="Arial"/>
        <w:b/>
        <w:sz w:val="22"/>
        <w:szCs w:val="22"/>
        <w:lang w:val="en-GB"/>
      </w:rPr>
      <w:t>201</w:t>
    </w:r>
    <w:r w:rsidR="00BE6DAA">
      <w:rPr>
        <w:rFonts w:ascii="Arial" w:eastAsiaTheme="minorEastAsia" w:hAnsi="Arial" w:cs="Arial" w:hint="eastAsia"/>
        <w:b/>
        <w:sz w:val="22"/>
        <w:szCs w:val="22"/>
        <w:lang w:val="en-GB" w:eastAsia="ko-KR"/>
      </w:rPr>
      <w:t>8</w:t>
    </w:r>
  </w:p>
  <w:p w14:paraId="632DB3DC" w14:textId="47FCEB81" w:rsidR="00D95C4C" w:rsidRPr="00F32C23" w:rsidRDefault="00D95C4C" w:rsidP="000048ED">
    <w:pPr>
      <w:jc w:val="right"/>
      <w:rPr>
        <w:rFonts w:ascii="Arial" w:hAnsi="Arial" w:cs="Arial"/>
        <w:b/>
        <w:sz w:val="22"/>
        <w:szCs w:val="22"/>
        <w:lang w:val="en-GB"/>
      </w:rPr>
    </w:pPr>
    <w:r w:rsidRPr="00F32C23">
      <w:rPr>
        <w:rFonts w:ascii="Arial" w:hAnsi="Arial" w:cs="Arial"/>
        <w:b/>
        <w:sz w:val="22"/>
        <w:szCs w:val="22"/>
        <w:lang w:val="en-GB"/>
      </w:rPr>
      <w:t xml:space="preserve">Original: </w:t>
    </w:r>
    <w:r w:rsidR="002F45C7">
      <w:rPr>
        <w:rFonts w:ascii="Arial" w:hAnsi="Arial" w:cs="Arial"/>
        <w:b/>
        <w:sz w:val="22"/>
        <w:szCs w:val="22"/>
        <w:lang w:val="en-GB"/>
      </w:rPr>
      <w:t>English</w:t>
    </w:r>
  </w:p>
  <w:p w14:paraId="6B59F11C" w14:textId="77777777" w:rsidR="00D95C4C" w:rsidRPr="00F32C23" w:rsidRDefault="00D95C4C">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481"/>
    <w:multiLevelType w:val="hybridMultilevel"/>
    <w:tmpl w:val="C458E90A"/>
    <w:lvl w:ilvl="0" w:tplc="7FB23842">
      <w:start w:val="1"/>
      <w:numFmt w:val="lowerLetter"/>
      <w:lvlText w:val="(%1)"/>
      <w:lvlJc w:val="left"/>
      <w:pPr>
        <w:ind w:left="393" w:hanging="360"/>
      </w:pPr>
      <w:rPr>
        <w:rFonts w:hint="default"/>
      </w:rPr>
    </w:lvl>
    <w:lvl w:ilvl="1" w:tplc="040C0019" w:tentative="1">
      <w:start w:val="1"/>
      <w:numFmt w:val="lowerLetter"/>
      <w:lvlText w:val="%2."/>
      <w:lvlJc w:val="left"/>
      <w:pPr>
        <w:ind w:left="1113" w:hanging="360"/>
      </w:pPr>
    </w:lvl>
    <w:lvl w:ilvl="2" w:tplc="040C001B" w:tentative="1">
      <w:start w:val="1"/>
      <w:numFmt w:val="lowerRoman"/>
      <w:lvlText w:val="%3."/>
      <w:lvlJc w:val="right"/>
      <w:pPr>
        <w:ind w:left="1833" w:hanging="180"/>
      </w:pPr>
    </w:lvl>
    <w:lvl w:ilvl="3" w:tplc="040C000F" w:tentative="1">
      <w:start w:val="1"/>
      <w:numFmt w:val="decimal"/>
      <w:lvlText w:val="%4."/>
      <w:lvlJc w:val="left"/>
      <w:pPr>
        <w:ind w:left="2553" w:hanging="360"/>
      </w:pPr>
    </w:lvl>
    <w:lvl w:ilvl="4" w:tplc="040C0019" w:tentative="1">
      <w:start w:val="1"/>
      <w:numFmt w:val="lowerLetter"/>
      <w:lvlText w:val="%5."/>
      <w:lvlJc w:val="left"/>
      <w:pPr>
        <w:ind w:left="3273" w:hanging="360"/>
      </w:pPr>
    </w:lvl>
    <w:lvl w:ilvl="5" w:tplc="040C001B" w:tentative="1">
      <w:start w:val="1"/>
      <w:numFmt w:val="lowerRoman"/>
      <w:lvlText w:val="%6."/>
      <w:lvlJc w:val="right"/>
      <w:pPr>
        <w:ind w:left="3993" w:hanging="180"/>
      </w:pPr>
    </w:lvl>
    <w:lvl w:ilvl="6" w:tplc="040C000F" w:tentative="1">
      <w:start w:val="1"/>
      <w:numFmt w:val="decimal"/>
      <w:lvlText w:val="%7."/>
      <w:lvlJc w:val="left"/>
      <w:pPr>
        <w:ind w:left="4713" w:hanging="360"/>
      </w:pPr>
    </w:lvl>
    <w:lvl w:ilvl="7" w:tplc="040C0019" w:tentative="1">
      <w:start w:val="1"/>
      <w:numFmt w:val="lowerLetter"/>
      <w:lvlText w:val="%8."/>
      <w:lvlJc w:val="left"/>
      <w:pPr>
        <w:ind w:left="5433" w:hanging="360"/>
      </w:pPr>
    </w:lvl>
    <w:lvl w:ilvl="8" w:tplc="040C001B" w:tentative="1">
      <w:start w:val="1"/>
      <w:numFmt w:val="lowerRoman"/>
      <w:lvlText w:val="%9."/>
      <w:lvlJc w:val="right"/>
      <w:pPr>
        <w:ind w:left="6153" w:hanging="180"/>
      </w:pPr>
    </w:lvl>
  </w:abstractNum>
  <w:abstractNum w:abstractNumId="1" w15:restartNumberingAfterBreak="0">
    <w:nsid w:val="066D2903"/>
    <w:multiLevelType w:val="hybridMultilevel"/>
    <w:tmpl w:val="C458E90A"/>
    <w:lvl w:ilvl="0" w:tplc="7FB23842">
      <w:start w:val="1"/>
      <w:numFmt w:val="lowerLetter"/>
      <w:lvlText w:val="(%1)"/>
      <w:lvlJc w:val="left"/>
      <w:pPr>
        <w:ind w:left="393" w:hanging="360"/>
      </w:pPr>
      <w:rPr>
        <w:rFonts w:hint="default"/>
      </w:rPr>
    </w:lvl>
    <w:lvl w:ilvl="1" w:tplc="040C0019" w:tentative="1">
      <w:start w:val="1"/>
      <w:numFmt w:val="lowerLetter"/>
      <w:lvlText w:val="%2."/>
      <w:lvlJc w:val="left"/>
      <w:pPr>
        <w:ind w:left="1113" w:hanging="360"/>
      </w:pPr>
    </w:lvl>
    <w:lvl w:ilvl="2" w:tplc="040C001B" w:tentative="1">
      <w:start w:val="1"/>
      <w:numFmt w:val="lowerRoman"/>
      <w:lvlText w:val="%3."/>
      <w:lvlJc w:val="right"/>
      <w:pPr>
        <w:ind w:left="1833" w:hanging="180"/>
      </w:pPr>
    </w:lvl>
    <w:lvl w:ilvl="3" w:tplc="040C000F" w:tentative="1">
      <w:start w:val="1"/>
      <w:numFmt w:val="decimal"/>
      <w:lvlText w:val="%4."/>
      <w:lvlJc w:val="left"/>
      <w:pPr>
        <w:ind w:left="2553" w:hanging="360"/>
      </w:pPr>
    </w:lvl>
    <w:lvl w:ilvl="4" w:tplc="040C0019" w:tentative="1">
      <w:start w:val="1"/>
      <w:numFmt w:val="lowerLetter"/>
      <w:lvlText w:val="%5."/>
      <w:lvlJc w:val="left"/>
      <w:pPr>
        <w:ind w:left="3273" w:hanging="360"/>
      </w:pPr>
    </w:lvl>
    <w:lvl w:ilvl="5" w:tplc="040C001B" w:tentative="1">
      <w:start w:val="1"/>
      <w:numFmt w:val="lowerRoman"/>
      <w:lvlText w:val="%6."/>
      <w:lvlJc w:val="right"/>
      <w:pPr>
        <w:ind w:left="3993" w:hanging="180"/>
      </w:pPr>
    </w:lvl>
    <w:lvl w:ilvl="6" w:tplc="040C000F" w:tentative="1">
      <w:start w:val="1"/>
      <w:numFmt w:val="decimal"/>
      <w:lvlText w:val="%7."/>
      <w:lvlJc w:val="left"/>
      <w:pPr>
        <w:ind w:left="4713" w:hanging="360"/>
      </w:pPr>
    </w:lvl>
    <w:lvl w:ilvl="7" w:tplc="040C0019" w:tentative="1">
      <w:start w:val="1"/>
      <w:numFmt w:val="lowerLetter"/>
      <w:lvlText w:val="%8."/>
      <w:lvlJc w:val="left"/>
      <w:pPr>
        <w:ind w:left="5433" w:hanging="360"/>
      </w:pPr>
    </w:lvl>
    <w:lvl w:ilvl="8" w:tplc="040C001B" w:tentative="1">
      <w:start w:val="1"/>
      <w:numFmt w:val="lowerRoman"/>
      <w:lvlText w:val="%9."/>
      <w:lvlJc w:val="right"/>
      <w:pPr>
        <w:ind w:left="6153" w:hanging="180"/>
      </w:pPr>
    </w:lvl>
  </w:abstractNum>
  <w:abstractNum w:abstractNumId="2" w15:restartNumberingAfterBreak="0">
    <w:nsid w:val="072B1CA5"/>
    <w:multiLevelType w:val="hybridMultilevel"/>
    <w:tmpl w:val="B882CC20"/>
    <w:lvl w:ilvl="0" w:tplc="9BB85C80">
      <w:start w:val="1"/>
      <w:numFmt w:val="decimal"/>
      <w:pStyle w:val="Texteavecnumro"/>
      <w:lvlText w:val="%1."/>
      <w:lvlJc w:val="left"/>
      <w:pPr>
        <w:ind w:left="1778" w:hanging="360"/>
      </w:pPr>
      <w:rPr>
        <w:rFonts w:hint="default"/>
        <w:color w:val="auto"/>
        <w:w w:val="10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3" w15:restartNumberingAfterBreak="0">
    <w:nsid w:val="0C166C6B"/>
    <w:multiLevelType w:val="hybridMultilevel"/>
    <w:tmpl w:val="24DA2972"/>
    <w:lvl w:ilvl="0" w:tplc="5C68720E">
      <w:start w:val="1"/>
      <w:numFmt w:val="lowerLetter"/>
      <w:lvlText w:val="(%1)"/>
      <w:lvlJc w:val="left"/>
      <w:pPr>
        <w:ind w:left="1215" w:hanging="85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5934AAA"/>
    <w:multiLevelType w:val="hybridMultilevel"/>
    <w:tmpl w:val="C458E90A"/>
    <w:lvl w:ilvl="0" w:tplc="7FB23842">
      <w:start w:val="1"/>
      <w:numFmt w:val="lowerLetter"/>
      <w:lvlText w:val="(%1)"/>
      <w:lvlJc w:val="left"/>
      <w:pPr>
        <w:ind w:left="393" w:hanging="360"/>
      </w:pPr>
      <w:rPr>
        <w:rFonts w:hint="default"/>
      </w:rPr>
    </w:lvl>
    <w:lvl w:ilvl="1" w:tplc="040C0019" w:tentative="1">
      <w:start w:val="1"/>
      <w:numFmt w:val="lowerLetter"/>
      <w:lvlText w:val="%2."/>
      <w:lvlJc w:val="left"/>
      <w:pPr>
        <w:ind w:left="1113" w:hanging="360"/>
      </w:pPr>
    </w:lvl>
    <w:lvl w:ilvl="2" w:tplc="040C001B" w:tentative="1">
      <w:start w:val="1"/>
      <w:numFmt w:val="lowerRoman"/>
      <w:lvlText w:val="%3."/>
      <w:lvlJc w:val="right"/>
      <w:pPr>
        <w:ind w:left="1833" w:hanging="180"/>
      </w:pPr>
    </w:lvl>
    <w:lvl w:ilvl="3" w:tplc="040C000F" w:tentative="1">
      <w:start w:val="1"/>
      <w:numFmt w:val="decimal"/>
      <w:lvlText w:val="%4."/>
      <w:lvlJc w:val="left"/>
      <w:pPr>
        <w:ind w:left="2553" w:hanging="360"/>
      </w:pPr>
    </w:lvl>
    <w:lvl w:ilvl="4" w:tplc="040C0019" w:tentative="1">
      <w:start w:val="1"/>
      <w:numFmt w:val="lowerLetter"/>
      <w:lvlText w:val="%5."/>
      <w:lvlJc w:val="left"/>
      <w:pPr>
        <w:ind w:left="3273" w:hanging="360"/>
      </w:pPr>
    </w:lvl>
    <w:lvl w:ilvl="5" w:tplc="040C001B" w:tentative="1">
      <w:start w:val="1"/>
      <w:numFmt w:val="lowerRoman"/>
      <w:lvlText w:val="%6."/>
      <w:lvlJc w:val="right"/>
      <w:pPr>
        <w:ind w:left="3993" w:hanging="180"/>
      </w:pPr>
    </w:lvl>
    <w:lvl w:ilvl="6" w:tplc="040C000F" w:tentative="1">
      <w:start w:val="1"/>
      <w:numFmt w:val="decimal"/>
      <w:lvlText w:val="%7."/>
      <w:lvlJc w:val="left"/>
      <w:pPr>
        <w:ind w:left="4713" w:hanging="360"/>
      </w:pPr>
    </w:lvl>
    <w:lvl w:ilvl="7" w:tplc="040C0019" w:tentative="1">
      <w:start w:val="1"/>
      <w:numFmt w:val="lowerLetter"/>
      <w:lvlText w:val="%8."/>
      <w:lvlJc w:val="left"/>
      <w:pPr>
        <w:ind w:left="5433" w:hanging="360"/>
      </w:pPr>
    </w:lvl>
    <w:lvl w:ilvl="8" w:tplc="040C001B" w:tentative="1">
      <w:start w:val="1"/>
      <w:numFmt w:val="lowerRoman"/>
      <w:lvlText w:val="%9."/>
      <w:lvlJc w:val="right"/>
      <w:pPr>
        <w:ind w:left="6153" w:hanging="180"/>
      </w:pPr>
    </w:lvl>
  </w:abstractNum>
  <w:abstractNum w:abstractNumId="6" w15:restartNumberingAfterBreak="0">
    <w:nsid w:val="27B6374F"/>
    <w:multiLevelType w:val="hybridMultilevel"/>
    <w:tmpl w:val="C73CCA46"/>
    <w:lvl w:ilvl="0" w:tplc="8CF2B6A0">
      <w:start w:val="1"/>
      <w:numFmt w:val="lowerRoman"/>
      <w:lvlText w:val="%1."/>
      <w:lvlJc w:val="left"/>
      <w:pPr>
        <w:ind w:left="1507" w:hanging="720"/>
      </w:pPr>
      <w:rPr>
        <w:rFonts w:hint="default"/>
      </w:rPr>
    </w:lvl>
    <w:lvl w:ilvl="1" w:tplc="040C0019" w:tentative="1">
      <w:start w:val="1"/>
      <w:numFmt w:val="lowerLetter"/>
      <w:lvlText w:val="%2."/>
      <w:lvlJc w:val="left"/>
      <w:pPr>
        <w:ind w:left="1867" w:hanging="360"/>
      </w:pPr>
    </w:lvl>
    <w:lvl w:ilvl="2" w:tplc="040C001B" w:tentative="1">
      <w:start w:val="1"/>
      <w:numFmt w:val="lowerRoman"/>
      <w:lvlText w:val="%3."/>
      <w:lvlJc w:val="right"/>
      <w:pPr>
        <w:ind w:left="2587" w:hanging="180"/>
      </w:pPr>
    </w:lvl>
    <w:lvl w:ilvl="3" w:tplc="040C000F" w:tentative="1">
      <w:start w:val="1"/>
      <w:numFmt w:val="decimal"/>
      <w:lvlText w:val="%4."/>
      <w:lvlJc w:val="left"/>
      <w:pPr>
        <w:ind w:left="3307" w:hanging="360"/>
      </w:pPr>
    </w:lvl>
    <w:lvl w:ilvl="4" w:tplc="040C0019" w:tentative="1">
      <w:start w:val="1"/>
      <w:numFmt w:val="lowerLetter"/>
      <w:lvlText w:val="%5."/>
      <w:lvlJc w:val="left"/>
      <w:pPr>
        <w:ind w:left="4027" w:hanging="360"/>
      </w:pPr>
    </w:lvl>
    <w:lvl w:ilvl="5" w:tplc="040C001B" w:tentative="1">
      <w:start w:val="1"/>
      <w:numFmt w:val="lowerRoman"/>
      <w:lvlText w:val="%6."/>
      <w:lvlJc w:val="right"/>
      <w:pPr>
        <w:ind w:left="4747" w:hanging="180"/>
      </w:pPr>
    </w:lvl>
    <w:lvl w:ilvl="6" w:tplc="040C000F" w:tentative="1">
      <w:start w:val="1"/>
      <w:numFmt w:val="decimal"/>
      <w:lvlText w:val="%7."/>
      <w:lvlJc w:val="left"/>
      <w:pPr>
        <w:ind w:left="5467" w:hanging="360"/>
      </w:pPr>
    </w:lvl>
    <w:lvl w:ilvl="7" w:tplc="040C0019" w:tentative="1">
      <w:start w:val="1"/>
      <w:numFmt w:val="lowerLetter"/>
      <w:lvlText w:val="%8."/>
      <w:lvlJc w:val="left"/>
      <w:pPr>
        <w:ind w:left="6187" w:hanging="360"/>
      </w:pPr>
    </w:lvl>
    <w:lvl w:ilvl="8" w:tplc="040C001B" w:tentative="1">
      <w:start w:val="1"/>
      <w:numFmt w:val="lowerRoman"/>
      <w:lvlText w:val="%9."/>
      <w:lvlJc w:val="right"/>
      <w:pPr>
        <w:ind w:left="6907" w:hanging="180"/>
      </w:pPr>
    </w:lvl>
  </w:abstractNum>
  <w:abstractNum w:abstractNumId="7" w15:restartNumberingAfterBreak="0">
    <w:nsid w:val="28964627"/>
    <w:multiLevelType w:val="hybridMultilevel"/>
    <w:tmpl w:val="24DA2972"/>
    <w:lvl w:ilvl="0" w:tplc="5C68720E">
      <w:start w:val="1"/>
      <w:numFmt w:val="lowerLetter"/>
      <w:lvlText w:val="(%1)"/>
      <w:lvlJc w:val="left"/>
      <w:pPr>
        <w:ind w:left="1215" w:hanging="85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DF1334E"/>
    <w:multiLevelType w:val="hybridMultilevel"/>
    <w:tmpl w:val="C1EE7A7E"/>
    <w:lvl w:ilvl="0" w:tplc="00D08D72">
      <w:start w:val="1"/>
      <w:numFmt w:val="lowerLetter"/>
      <w:lvlText w:val="(%1)"/>
      <w:lvlJc w:val="left"/>
      <w:pPr>
        <w:ind w:left="855" w:hanging="49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0945F3A"/>
    <w:multiLevelType w:val="hybridMultilevel"/>
    <w:tmpl w:val="C458E90A"/>
    <w:lvl w:ilvl="0" w:tplc="7FB23842">
      <w:start w:val="1"/>
      <w:numFmt w:val="lowerLetter"/>
      <w:lvlText w:val="(%1)"/>
      <w:lvlJc w:val="left"/>
      <w:pPr>
        <w:ind w:left="393" w:hanging="360"/>
      </w:pPr>
      <w:rPr>
        <w:rFonts w:hint="default"/>
      </w:rPr>
    </w:lvl>
    <w:lvl w:ilvl="1" w:tplc="040C0019" w:tentative="1">
      <w:start w:val="1"/>
      <w:numFmt w:val="lowerLetter"/>
      <w:lvlText w:val="%2."/>
      <w:lvlJc w:val="left"/>
      <w:pPr>
        <w:ind w:left="1113" w:hanging="360"/>
      </w:pPr>
    </w:lvl>
    <w:lvl w:ilvl="2" w:tplc="040C001B" w:tentative="1">
      <w:start w:val="1"/>
      <w:numFmt w:val="lowerRoman"/>
      <w:lvlText w:val="%3."/>
      <w:lvlJc w:val="right"/>
      <w:pPr>
        <w:ind w:left="1833" w:hanging="180"/>
      </w:pPr>
    </w:lvl>
    <w:lvl w:ilvl="3" w:tplc="040C000F" w:tentative="1">
      <w:start w:val="1"/>
      <w:numFmt w:val="decimal"/>
      <w:lvlText w:val="%4."/>
      <w:lvlJc w:val="left"/>
      <w:pPr>
        <w:ind w:left="2553" w:hanging="360"/>
      </w:pPr>
    </w:lvl>
    <w:lvl w:ilvl="4" w:tplc="040C0019" w:tentative="1">
      <w:start w:val="1"/>
      <w:numFmt w:val="lowerLetter"/>
      <w:lvlText w:val="%5."/>
      <w:lvlJc w:val="left"/>
      <w:pPr>
        <w:ind w:left="3273" w:hanging="360"/>
      </w:pPr>
    </w:lvl>
    <w:lvl w:ilvl="5" w:tplc="040C001B" w:tentative="1">
      <w:start w:val="1"/>
      <w:numFmt w:val="lowerRoman"/>
      <w:lvlText w:val="%6."/>
      <w:lvlJc w:val="right"/>
      <w:pPr>
        <w:ind w:left="3993" w:hanging="180"/>
      </w:pPr>
    </w:lvl>
    <w:lvl w:ilvl="6" w:tplc="040C000F" w:tentative="1">
      <w:start w:val="1"/>
      <w:numFmt w:val="decimal"/>
      <w:lvlText w:val="%7."/>
      <w:lvlJc w:val="left"/>
      <w:pPr>
        <w:ind w:left="4713" w:hanging="360"/>
      </w:pPr>
    </w:lvl>
    <w:lvl w:ilvl="7" w:tplc="040C0019" w:tentative="1">
      <w:start w:val="1"/>
      <w:numFmt w:val="lowerLetter"/>
      <w:lvlText w:val="%8."/>
      <w:lvlJc w:val="left"/>
      <w:pPr>
        <w:ind w:left="5433" w:hanging="360"/>
      </w:pPr>
    </w:lvl>
    <w:lvl w:ilvl="8" w:tplc="040C001B" w:tentative="1">
      <w:start w:val="1"/>
      <w:numFmt w:val="lowerRoman"/>
      <w:lvlText w:val="%9."/>
      <w:lvlJc w:val="right"/>
      <w:pPr>
        <w:ind w:left="6153" w:hanging="180"/>
      </w:pPr>
    </w:lvl>
  </w:abstractNum>
  <w:abstractNum w:abstractNumId="10" w15:restartNumberingAfterBreak="0">
    <w:nsid w:val="35F07BFE"/>
    <w:multiLevelType w:val="hybridMultilevel"/>
    <w:tmpl w:val="4C7CAA2C"/>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95B111E"/>
    <w:multiLevelType w:val="hybridMultilevel"/>
    <w:tmpl w:val="24DA2972"/>
    <w:lvl w:ilvl="0" w:tplc="5C68720E">
      <w:start w:val="1"/>
      <w:numFmt w:val="lowerLetter"/>
      <w:lvlText w:val="(%1)"/>
      <w:lvlJc w:val="left"/>
      <w:pPr>
        <w:ind w:left="1215" w:hanging="85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7C22FB2"/>
    <w:multiLevelType w:val="hybridMultilevel"/>
    <w:tmpl w:val="C458E90A"/>
    <w:lvl w:ilvl="0" w:tplc="7FB23842">
      <w:start w:val="1"/>
      <w:numFmt w:val="lowerLetter"/>
      <w:lvlText w:val="(%1)"/>
      <w:lvlJc w:val="left"/>
      <w:pPr>
        <w:ind w:left="393" w:hanging="360"/>
      </w:pPr>
      <w:rPr>
        <w:rFonts w:hint="default"/>
      </w:rPr>
    </w:lvl>
    <w:lvl w:ilvl="1" w:tplc="040C0019" w:tentative="1">
      <w:start w:val="1"/>
      <w:numFmt w:val="lowerLetter"/>
      <w:lvlText w:val="%2."/>
      <w:lvlJc w:val="left"/>
      <w:pPr>
        <w:ind w:left="1113" w:hanging="360"/>
      </w:pPr>
    </w:lvl>
    <w:lvl w:ilvl="2" w:tplc="040C001B" w:tentative="1">
      <w:start w:val="1"/>
      <w:numFmt w:val="lowerRoman"/>
      <w:lvlText w:val="%3."/>
      <w:lvlJc w:val="right"/>
      <w:pPr>
        <w:ind w:left="1833" w:hanging="180"/>
      </w:pPr>
    </w:lvl>
    <w:lvl w:ilvl="3" w:tplc="040C000F" w:tentative="1">
      <w:start w:val="1"/>
      <w:numFmt w:val="decimal"/>
      <w:lvlText w:val="%4."/>
      <w:lvlJc w:val="left"/>
      <w:pPr>
        <w:ind w:left="2553" w:hanging="360"/>
      </w:pPr>
    </w:lvl>
    <w:lvl w:ilvl="4" w:tplc="040C0019" w:tentative="1">
      <w:start w:val="1"/>
      <w:numFmt w:val="lowerLetter"/>
      <w:lvlText w:val="%5."/>
      <w:lvlJc w:val="left"/>
      <w:pPr>
        <w:ind w:left="3273" w:hanging="360"/>
      </w:pPr>
    </w:lvl>
    <w:lvl w:ilvl="5" w:tplc="040C001B" w:tentative="1">
      <w:start w:val="1"/>
      <w:numFmt w:val="lowerRoman"/>
      <w:lvlText w:val="%6."/>
      <w:lvlJc w:val="right"/>
      <w:pPr>
        <w:ind w:left="3993" w:hanging="180"/>
      </w:pPr>
    </w:lvl>
    <w:lvl w:ilvl="6" w:tplc="040C000F" w:tentative="1">
      <w:start w:val="1"/>
      <w:numFmt w:val="decimal"/>
      <w:lvlText w:val="%7."/>
      <w:lvlJc w:val="left"/>
      <w:pPr>
        <w:ind w:left="4713" w:hanging="360"/>
      </w:pPr>
    </w:lvl>
    <w:lvl w:ilvl="7" w:tplc="040C0019" w:tentative="1">
      <w:start w:val="1"/>
      <w:numFmt w:val="lowerLetter"/>
      <w:lvlText w:val="%8."/>
      <w:lvlJc w:val="left"/>
      <w:pPr>
        <w:ind w:left="5433" w:hanging="360"/>
      </w:pPr>
    </w:lvl>
    <w:lvl w:ilvl="8" w:tplc="040C001B" w:tentative="1">
      <w:start w:val="1"/>
      <w:numFmt w:val="lowerRoman"/>
      <w:lvlText w:val="%9."/>
      <w:lvlJc w:val="right"/>
      <w:pPr>
        <w:ind w:left="6153" w:hanging="180"/>
      </w:pPr>
    </w:lvl>
  </w:abstractNum>
  <w:abstractNum w:abstractNumId="15" w15:restartNumberingAfterBreak="0">
    <w:nsid w:val="54C13D09"/>
    <w:multiLevelType w:val="hybridMultilevel"/>
    <w:tmpl w:val="24DA2972"/>
    <w:lvl w:ilvl="0" w:tplc="5C68720E">
      <w:start w:val="1"/>
      <w:numFmt w:val="lowerLetter"/>
      <w:lvlText w:val="(%1)"/>
      <w:lvlJc w:val="left"/>
      <w:pPr>
        <w:ind w:left="1215" w:hanging="85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5613E12"/>
    <w:multiLevelType w:val="hybridMultilevel"/>
    <w:tmpl w:val="24DA2972"/>
    <w:lvl w:ilvl="0" w:tplc="5C68720E">
      <w:start w:val="1"/>
      <w:numFmt w:val="lowerLetter"/>
      <w:lvlText w:val="(%1)"/>
      <w:lvlJc w:val="left"/>
      <w:pPr>
        <w:ind w:left="1215" w:hanging="85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B5A4266"/>
    <w:multiLevelType w:val="hybridMultilevel"/>
    <w:tmpl w:val="F2D68366"/>
    <w:lvl w:ilvl="0" w:tplc="5C68720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5844D09"/>
    <w:multiLevelType w:val="hybridMultilevel"/>
    <w:tmpl w:val="24DA2972"/>
    <w:lvl w:ilvl="0" w:tplc="5C68720E">
      <w:start w:val="1"/>
      <w:numFmt w:val="lowerLetter"/>
      <w:lvlText w:val="(%1)"/>
      <w:lvlJc w:val="left"/>
      <w:pPr>
        <w:ind w:left="1215" w:hanging="85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2655861"/>
    <w:multiLevelType w:val="hybridMultilevel"/>
    <w:tmpl w:val="4740CCB6"/>
    <w:lvl w:ilvl="0" w:tplc="1EB0BCA6">
      <w:start w:val="1"/>
      <w:numFmt w:val="lowerRoman"/>
      <w:pStyle w:val="i"/>
      <w:lvlText w:val="%1."/>
      <w:lvlJc w:val="left"/>
      <w:pPr>
        <w:ind w:left="1147" w:hanging="360"/>
      </w:pPr>
      <w:rPr>
        <w:rFonts w:cs="Times New Roman" w:hint="default"/>
      </w:rPr>
    </w:lvl>
    <w:lvl w:ilvl="1" w:tplc="040C0019" w:tentative="1">
      <w:start w:val="1"/>
      <w:numFmt w:val="lowerLetter"/>
      <w:lvlText w:val="%2."/>
      <w:lvlJc w:val="left"/>
      <w:pPr>
        <w:ind w:left="1867" w:hanging="360"/>
      </w:pPr>
      <w:rPr>
        <w:rFonts w:cs="Times New Roman"/>
      </w:rPr>
    </w:lvl>
    <w:lvl w:ilvl="2" w:tplc="040C001B" w:tentative="1">
      <w:start w:val="1"/>
      <w:numFmt w:val="lowerRoman"/>
      <w:lvlText w:val="%3."/>
      <w:lvlJc w:val="right"/>
      <w:pPr>
        <w:ind w:left="2587" w:hanging="180"/>
      </w:pPr>
      <w:rPr>
        <w:rFonts w:cs="Times New Roman"/>
      </w:rPr>
    </w:lvl>
    <w:lvl w:ilvl="3" w:tplc="040C000F" w:tentative="1">
      <w:start w:val="1"/>
      <w:numFmt w:val="decimal"/>
      <w:lvlText w:val="%4."/>
      <w:lvlJc w:val="left"/>
      <w:pPr>
        <w:ind w:left="3307" w:hanging="360"/>
      </w:pPr>
      <w:rPr>
        <w:rFonts w:cs="Times New Roman"/>
      </w:rPr>
    </w:lvl>
    <w:lvl w:ilvl="4" w:tplc="040C0019" w:tentative="1">
      <w:start w:val="1"/>
      <w:numFmt w:val="lowerLetter"/>
      <w:lvlText w:val="%5."/>
      <w:lvlJc w:val="left"/>
      <w:pPr>
        <w:ind w:left="4027" w:hanging="360"/>
      </w:pPr>
      <w:rPr>
        <w:rFonts w:cs="Times New Roman"/>
      </w:rPr>
    </w:lvl>
    <w:lvl w:ilvl="5" w:tplc="040C001B" w:tentative="1">
      <w:start w:val="1"/>
      <w:numFmt w:val="lowerRoman"/>
      <w:lvlText w:val="%6."/>
      <w:lvlJc w:val="right"/>
      <w:pPr>
        <w:ind w:left="4747" w:hanging="180"/>
      </w:pPr>
      <w:rPr>
        <w:rFonts w:cs="Times New Roman"/>
      </w:rPr>
    </w:lvl>
    <w:lvl w:ilvl="6" w:tplc="040C000F" w:tentative="1">
      <w:start w:val="1"/>
      <w:numFmt w:val="decimal"/>
      <w:lvlText w:val="%7."/>
      <w:lvlJc w:val="left"/>
      <w:pPr>
        <w:ind w:left="5467" w:hanging="360"/>
      </w:pPr>
      <w:rPr>
        <w:rFonts w:cs="Times New Roman"/>
      </w:rPr>
    </w:lvl>
    <w:lvl w:ilvl="7" w:tplc="040C0019" w:tentative="1">
      <w:start w:val="1"/>
      <w:numFmt w:val="lowerLetter"/>
      <w:lvlText w:val="%8."/>
      <w:lvlJc w:val="left"/>
      <w:pPr>
        <w:ind w:left="6187" w:hanging="360"/>
      </w:pPr>
      <w:rPr>
        <w:rFonts w:cs="Times New Roman"/>
      </w:rPr>
    </w:lvl>
    <w:lvl w:ilvl="8" w:tplc="040C001B" w:tentative="1">
      <w:start w:val="1"/>
      <w:numFmt w:val="lowerRoman"/>
      <w:lvlText w:val="%9."/>
      <w:lvlJc w:val="right"/>
      <w:pPr>
        <w:ind w:left="6907" w:hanging="180"/>
      </w:pPr>
      <w:rPr>
        <w:rFonts w:cs="Times New Roman"/>
      </w:rPr>
    </w:lvl>
  </w:abstractNum>
  <w:abstractNum w:abstractNumId="20" w15:restartNumberingAfterBreak="0">
    <w:nsid w:val="7E26587C"/>
    <w:multiLevelType w:val="hybridMultilevel"/>
    <w:tmpl w:val="C458E90A"/>
    <w:lvl w:ilvl="0" w:tplc="7FB23842">
      <w:start w:val="1"/>
      <w:numFmt w:val="lowerLetter"/>
      <w:lvlText w:val="(%1)"/>
      <w:lvlJc w:val="left"/>
      <w:pPr>
        <w:ind w:left="393" w:hanging="360"/>
      </w:pPr>
      <w:rPr>
        <w:rFonts w:hint="default"/>
      </w:rPr>
    </w:lvl>
    <w:lvl w:ilvl="1" w:tplc="040C0019" w:tentative="1">
      <w:start w:val="1"/>
      <w:numFmt w:val="lowerLetter"/>
      <w:lvlText w:val="%2."/>
      <w:lvlJc w:val="left"/>
      <w:pPr>
        <w:ind w:left="1113" w:hanging="360"/>
      </w:pPr>
    </w:lvl>
    <w:lvl w:ilvl="2" w:tplc="040C001B" w:tentative="1">
      <w:start w:val="1"/>
      <w:numFmt w:val="lowerRoman"/>
      <w:lvlText w:val="%3."/>
      <w:lvlJc w:val="right"/>
      <w:pPr>
        <w:ind w:left="1833" w:hanging="180"/>
      </w:pPr>
    </w:lvl>
    <w:lvl w:ilvl="3" w:tplc="040C000F" w:tentative="1">
      <w:start w:val="1"/>
      <w:numFmt w:val="decimal"/>
      <w:lvlText w:val="%4."/>
      <w:lvlJc w:val="left"/>
      <w:pPr>
        <w:ind w:left="2553" w:hanging="360"/>
      </w:pPr>
    </w:lvl>
    <w:lvl w:ilvl="4" w:tplc="040C0019" w:tentative="1">
      <w:start w:val="1"/>
      <w:numFmt w:val="lowerLetter"/>
      <w:lvlText w:val="%5."/>
      <w:lvlJc w:val="left"/>
      <w:pPr>
        <w:ind w:left="3273" w:hanging="360"/>
      </w:pPr>
    </w:lvl>
    <w:lvl w:ilvl="5" w:tplc="040C001B" w:tentative="1">
      <w:start w:val="1"/>
      <w:numFmt w:val="lowerRoman"/>
      <w:lvlText w:val="%6."/>
      <w:lvlJc w:val="right"/>
      <w:pPr>
        <w:ind w:left="3993" w:hanging="180"/>
      </w:pPr>
    </w:lvl>
    <w:lvl w:ilvl="6" w:tplc="040C000F" w:tentative="1">
      <w:start w:val="1"/>
      <w:numFmt w:val="decimal"/>
      <w:lvlText w:val="%7."/>
      <w:lvlJc w:val="left"/>
      <w:pPr>
        <w:ind w:left="4713" w:hanging="360"/>
      </w:pPr>
    </w:lvl>
    <w:lvl w:ilvl="7" w:tplc="040C0019" w:tentative="1">
      <w:start w:val="1"/>
      <w:numFmt w:val="lowerLetter"/>
      <w:lvlText w:val="%8."/>
      <w:lvlJc w:val="left"/>
      <w:pPr>
        <w:ind w:left="5433" w:hanging="360"/>
      </w:pPr>
    </w:lvl>
    <w:lvl w:ilvl="8" w:tplc="040C001B" w:tentative="1">
      <w:start w:val="1"/>
      <w:numFmt w:val="lowerRoman"/>
      <w:lvlText w:val="%9."/>
      <w:lvlJc w:val="right"/>
      <w:pPr>
        <w:ind w:left="6153" w:hanging="180"/>
      </w:pPr>
    </w:lvl>
  </w:abstractNum>
  <w:num w:numId="1">
    <w:abstractNumId w:val="4"/>
  </w:num>
  <w:num w:numId="2">
    <w:abstractNumId w:val="10"/>
  </w:num>
  <w:num w:numId="3">
    <w:abstractNumId w:val="12"/>
  </w:num>
  <w:num w:numId="4">
    <w:abstractNumId w:val="13"/>
  </w:num>
  <w:num w:numId="5">
    <w:abstractNumId w:val="2"/>
  </w:num>
  <w:num w:numId="6">
    <w:abstractNumId w:val="10"/>
    <w:lvlOverride w:ilvl="0">
      <w:startOverride w:val="1"/>
    </w:lvlOverride>
  </w:num>
  <w:num w:numId="7">
    <w:abstractNumId w:val="14"/>
  </w:num>
  <w:num w:numId="8">
    <w:abstractNumId w:val="19"/>
  </w:num>
  <w:num w:numId="9">
    <w:abstractNumId w:val="19"/>
    <w:lvlOverride w:ilvl="0">
      <w:startOverride w:val="1"/>
    </w:lvlOverride>
  </w:num>
  <w:num w:numId="10">
    <w:abstractNumId w:val="18"/>
  </w:num>
  <w:num w:numId="11">
    <w:abstractNumId w:val="9"/>
  </w:num>
  <w:num w:numId="12">
    <w:abstractNumId w:val="6"/>
  </w:num>
  <w:num w:numId="13">
    <w:abstractNumId w:val="20"/>
  </w:num>
  <w:num w:numId="14">
    <w:abstractNumId w:val="1"/>
  </w:num>
  <w:num w:numId="15">
    <w:abstractNumId w:val="0"/>
  </w:num>
  <w:num w:numId="16">
    <w:abstractNumId w:val="5"/>
  </w:num>
  <w:num w:numId="17">
    <w:abstractNumId w:val="16"/>
  </w:num>
  <w:num w:numId="18">
    <w:abstractNumId w:val="11"/>
  </w:num>
  <w:num w:numId="19">
    <w:abstractNumId w:val="15"/>
  </w:num>
  <w:num w:numId="20">
    <w:abstractNumId w:val="7"/>
  </w:num>
  <w:num w:numId="21">
    <w:abstractNumId w:val="3"/>
  </w:num>
  <w:num w:numId="22">
    <w:abstractNumId w:val="17"/>
  </w:num>
  <w:num w:numId="23">
    <w:abstractNumId w:val="8"/>
  </w:num>
  <w:num w:numId="24">
    <w:abstractNumId w:val="10"/>
  </w:num>
  <w:num w:numId="25">
    <w:abstractNumId w:val="10"/>
  </w:num>
  <w:num w:numId="26">
    <w:abstractNumId w:val="10"/>
  </w:num>
  <w:num w:numId="27">
    <w:abstractNumId w:val="10"/>
  </w:num>
  <w:num w:numId="28">
    <w:abstractNumId w:val="10"/>
  </w:num>
  <w:num w:numId="29">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2192"/>
    <w:rsid w:val="000048ED"/>
    <w:rsid w:val="00013256"/>
    <w:rsid w:val="000149DF"/>
    <w:rsid w:val="00027769"/>
    <w:rsid w:val="000309F5"/>
    <w:rsid w:val="000404CB"/>
    <w:rsid w:val="0004168A"/>
    <w:rsid w:val="00041A66"/>
    <w:rsid w:val="00044F0B"/>
    <w:rsid w:val="000450CB"/>
    <w:rsid w:val="0005176E"/>
    <w:rsid w:val="000536A2"/>
    <w:rsid w:val="00053CFA"/>
    <w:rsid w:val="000613C9"/>
    <w:rsid w:val="0006620C"/>
    <w:rsid w:val="000765F7"/>
    <w:rsid w:val="00077AB7"/>
    <w:rsid w:val="00081CD8"/>
    <w:rsid w:val="00085041"/>
    <w:rsid w:val="000906EA"/>
    <w:rsid w:val="0009283F"/>
    <w:rsid w:val="000A0A6F"/>
    <w:rsid w:val="000A266F"/>
    <w:rsid w:val="000A2E3E"/>
    <w:rsid w:val="000A4290"/>
    <w:rsid w:val="000A7F0E"/>
    <w:rsid w:val="000B1C8F"/>
    <w:rsid w:val="000C0D61"/>
    <w:rsid w:val="000C1804"/>
    <w:rsid w:val="000C2763"/>
    <w:rsid w:val="000D22BC"/>
    <w:rsid w:val="000D30D4"/>
    <w:rsid w:val="000D7715"/>
    <w:rsid w:val="000F01C1"/>
    <w:rsid w:val="000F3A3F"/>
    <w:rsid w:val="000F74C3"/>
    <w:rsid w:val="000F795D"/>
    <w:rsid w:val="00102557"/>
    <w:rsid w:val="00112A4A"/>
    <w:rsid w:val="00124FBA"/>
    <w:rsid w:val="00126174"/>
    <w:rsid w:val="00131D5F"/>
    <w:rsid w:val="00132378"/>
    <w:rsid w:val="00141055"/>
    <w:rsid w:val="001437A5"/>
    <w:rsid w:val="00146271"/>
    <w:rsid w:val="00156A7C"/>
    <w:rsid w:val="0016015F"/>
    <w:rsid w:val="00164D56"/>
    <w:rsid w:val="00167B10"/>
    <w:rsid w:val="00167B11"/>
    <w:rsid w:val="0017402F"/>
    <w:rsid w:val="00182528"/>
    <w:rsid w:val="001942F7"/>
    <w:rsid w:val="001954A5"/>
    <w:rsid w:val="00196C1B"/>
    <w:rsid w:val="001A11CD"/>
    <w:rsid w:val="001A1928"/>
    <w:rsid w:val="001B0F73"/>
    <w:rsid w:val="001C2DB7"/>
    <w:rsid w:val="001D3A15"/>
    <w:rsid w:val="001D5C04"/>
    <w:rsid w:val="001F26CF"/>
    <w:rsid w:val="0020338A"/>
    <w:rsid w:val="002116BA"/>
    <w:rsid w:val="002148EE"/>
    <w:rsid w:val="00222A2D"/>
    <w:rsid w:val="00223029"/>
    <w:rsid w:val="00223AAD"/>
    <w:rsid w:val="00224126"/>
    <w:rsid w:val="00224D03"/>
    <w:rsid w:val="00227651"/>
    <w:rsid w:val="0023141D"/>
    <w:rsid w:val="00234511"/>
    <w:rsid w:val="00234745"/>
    <w:rsid w:val="002351A6"/>
    <w:rsid w:val="002407AF"/>
    <w:rsid w:val="00256512"/>
    <w:rsid w:val="00263DBF"/>
    <w:rsid w:val="00266661"/>
    <w:rsid w:val="0027466B"/>
    <w:rsid w:val="00282FE2"/>
    <w:rsid w:val="002836EE"/>
    <w:rsid w:val="002838A5"/>
    <w:rsid w:val="00284E34"/>
    <w:rsid w:val="00285BB4"/>
    <w:rsid w:val="00285DB9"/>
    <w:rsid w:val="00290C6B"/>
    <w:rsid w:val="002932E8"/>
    <w:rsid w:val="00294525"/>
    <w:rsid w:val="002A30D4"/>
    <w:rsid w:val="002A3B9A"/>
    <w:rsid w:val="002A591C"/>
    <w:rsid w:val="002B38AA"/>
    <w:rsid w:val="002B4A6D"/>
    <w:rsid w:val="002B69B1"/>
    <w:rsid w:val="002C09E3"/>
    <w:rsid w:val="002C21CA"/>
    <w:rsid w:val="002D0EF7"/>
    <w:rsid w:val="002D2CDF"/>
    <w:rsid w:val="002F45C7"/>
    <w:rsid w:val="002F54CA"/>
    <w:rsid w:val="002F579E"/>
    <w:rsid w:val="002F58B1"/>
    <w:rsid w:val="00304D1C"/>
    <w:rsid w:val="003133FB"/>
    <w:rsid w:val="0031637C"/>
    <w:rsid w:val="00325339"/>
    <w:rsid w:val="00325A6F"/>
    <w:rsid w:val="00326263"/>
    <w:rsid w:val="00331AB0"/>
    <w:rsid w:val="003343C6"/>
    <w:rsid w:val="00337596"/>
    <w:rsid w:val="00337CEB"/>
    <w:rsid w:val="003413B4"/>
    <w:rsid w:val="00344B58"/>
    <w:rsid w:val="0034539A"/>
    <w:rsid w:val="00345CB4"/>
    <w:rsid w:val="0034649B"/>
    <w:rsid w:val="0036383E"/>
    <w:rsid w:val="003640A9"/>
    <w:rsid w:val="003746F1"/>
    <w:rsid w:val="00375D42"/>
    <w:rsid w:val="00375F5B"/>
    <w:rsid w:val="0038479A"/>
    <w:rsid w:val="00385AED"/>
    <w:rsid w:val="00386AE2"/>
    <w:rsid w:val="00386C3D"/>
    <w:rsid w:val="003942C4"/>
    <w:rsid w:val="003A08DB"/>
    <w:rsid w:val="003B4A13"/>
    <w:rsid w:val="003C3509"/>
    <w:rsid w:val="003C79CB"/>
    <w:rsid w:val="003D069C"/>
    <w:rsid w:val="003D7646"/>
    <w:rsid w:val="003F0713"/>
    <w:rsid w:val="003F113A"/>
    <w:rsid w:val="003F3E63"/>
    <w:rsid w:val="003F4571"/>
    <w:rsid w:val="00407480"/>
    <w:rsid w:val="00414643"/>
    <w:rsid w:val="00417A0F"/>
    <w:rsid w:val="00425667"/>
    <w:rsid w:val="00431C83"/>
    <w:rsid w:val="00431E45"/>
    <w:rsid w:val="004421E5"/>
    <w:rsid w:val="004453FC"/>
    <w:rsid w:val="00452284"/>
    <w:rsid w:val="00453F74"/>
    <w:rsid w:val="004566EE"/>
    <w:rsid w:val="00457C8E"/>
    <w:rsid w:val="00460399"/>
    <w:rsid w:val="00464748"/>
    <w:rsid w:val="00480371"/>
    <w:rsid w:val="004856CA"/>
    <w:rsid w:val="00487E67"/>
    <w:rsid w:val="0049606A"/>
    <w:rsid w:val="0049705E"/>
    <w:rsid w:val="00497504"/>
    <w:rsid w:val="004A34A0"/>
    <w:rsid w:val="004A3755"/>
    <w:rsid w:val="004A4F6E"/>
    <w:rsid w:val="004B4848"/>
    <w:rsid w:val="004B622B"/>
    <w:rsid w:val="004C1342"/>
    <w:rsid w:val="004D0728"/>
    <w:rsid w:val="004D3C70"/>
    <w:rsid w:val="004D3F07"/>
    <w:rsid w:val="004D462C"/>
    <w:rsid w:val="004F135D"/>
    <w:rsid w:val="004F13F5"/>
    <w:rsid w:val="004F18FF"/>
    <w:rsid w:val="005008A8"/>
    <w:rsid w:val="00501BDC"/>
    <w:rsid w:val="00507F86"/>
    <w:rsid w:val="0051438C"/>
    <w:rsid w:val="005160F4"/>
    <w:rsid w:val="00516E35"/>
    <w:rsid w:val="005248E5"/>
    <w:rsid w:val="00526B7B"/>
    <w:rsid w:val="005308CE"/>
    <w:rsid w:val="0053318C"/>
    <w:rsid w:val="00537D34"/>
    <w:rsid w:val="00540059"/>
    <w:rsid w:val="00541FAD"/>
    <w:rsid w:val="00545BC2"/>
    <w:rsid w:val="00555C73"/>
    <w:rsid w:val="005648BB"/>
    <w:rsid w:val="0057439C"/>
    <w:rsid w:val="00582B88"/>
    <w:rsid w:val="00584452"/>
    <w:rsid w:val="0059064E"/>
    <w:rsid w:val="005A3D94"/>
    <w:rsid w:val="005A757A"/>
    <w:rsid w:val="005B0127"/>
    <w:rsid w:val="005B0F8C"/>
    <w:rsid w:val="005B7A35"/>
    <w:rsid w:val="005C4B73"/>
    <w:rsid w:val="005D3DF1"/>
    <w:rsid w:val="005E1D2B"/>
    <w:rsid w:val="005E4569"/>
    <w:rsid w:val="005E7074"/>
    <w:rsid w:val="005F1023"/>
    <w:rsid w:val="005F2BAF"/>
    <w:rsid w:val="006002D9"/>
    <w:rsid w:val="00600730"/>
    <w:rsid w:val="00600D93"/>
    <w:rsid w:val="0060535F"/>
    <w:rsid w:val="00611CA7"/>
    <w:rsid w:val="006249F4"/>
    <w:rsid w:val="00625F74"/>
    <w:rsid w:val="0063300C"/>
    <w:rsid w:val="0063338A"/>
    <w:rsid w:val="00634764"/>
    <w:rsid w:val="00634976"/>
    <w:rsid w:val="00637ABC"/>
    <w:rsid w:val="0064010B"/>
    <w:rsid w:val="00645C14"/>
    <w:rsid w:val="0065279D"/>
    <w:rsid w:val="00655736"/>
    <w:rsid w:val="006572C8"/>
    <w:rsid w:val="006610D9"/>
    <w:rsid w:val="00663B8D"/>
    <w:rsid w:val="006655D8"/>
    <w:rsid w:val="00670EA1"/>
    <w:rsid w:val="006844FD"/>
    <w:rsid w:val="006865E2"/>
    <w:rsid w:val="006906E8"/>
    <w:rsid w:val="006907FB"/>
    <w:rsid w:val="0069105E"/>
    <w:rsid w:val="00696C8D"/>
    <w:rsid w:val="006A2AC2"/>
    <w:rsid w:val="006A305D"/>
    <w:rsid w:val="006A3617"/>
    <w:rsid w:val="006A75F6"/>
    <w:rsid w:val="006B5F32"/>
    <w:rsid w:val="006C22A5"/>
    <w:rsid w:val="006C43F3"/>
    <w:rsid w:val="006D0D0E"/>
    <w:rsid w:val="006D18FE"/>
    <w:rsid w:val="006D4EC1"/>
    <w:rsid w:val="006E193F"/>
    <w:rsid w:val="006E2E83"/>
    <w:rsid w:val="006E46E4"/>
    <w:rsid w:val="0071173F"/>
    <w:rsid w:val="00713B9D"/>
    <w:rsid w:val="00717DA5"/>
    <w:rsid w:val="00726658"/>
    <w:rsid w:val="007313BC"/>
    <w:rsid w:val="00733D0B"/>
    <w:rsid w:val="007428ED"/>
    <w:rsid w:val="00743C28"/>
    <w:rsid w:val="00744484"/>
    <w:rsid w:val="00747180"/>
    <w:rsid w:val="00747566"/>
    <w:rsid w:val="00752736"/>
    <w:rsid w:val="00756DDF"/>
    <w:rsid w:val="00763271"/>
    <w:rsid w:val="007710CF"/>
    <w:rsid w:val="00773188"/>
    <w:rsid w:val="00783782"/>
    <w:rsid w:val="00784B8C"/>
    <w:rsid w:val="007879E1"/>
    <w:rsid w:val="00792DE7"/>
    <w:rsid w:val="007A683C"/>
    <w:rsid w:val="007B260C"/>
    <w:rsid w:val="007B38C0"/>
    <w:rsid w:val="007C0339"/>
    <w:rsid w:val="007D1742"/>
    <w:rsid w:val="007D1778"/>
    <w:rsid w:val="007E0A37"/>
    <w:rsid w:val="007E0DEF"/>
    <w:rsid w:val="007E1CC5"/>
    <w:rsid w:val="007E7478"/>
    <w:rsid w:val="007F1D28"/>
    <w:rsid w:val="007F2A3D"/>
    <w:rsid w:val="007F5B89"/>
    <w:rsid w:val="007F619A"/>
    <w:rsid w:val="008037C3"/>
    <w:rsid w:val="00807DE3"/>
    <w:rsid w:val="008143F2"/>
    <w:rsid w:val="00815161"/>
    <w:rsid w:val="00816635"/>
    <w:rsid w:val="00823A11"/>
    <w:rsid w:val="0085405E"/>
    <w:rsid w:val="0085414A"/>
    <w:rsid w:val="00855874"/>
    <w:rsid w:val="0086269D"/>
    <w:rsid w:val="00863571"/>
    <w:rsid w:val="00863652"/>
    <w:rsid w:val="00864F67"/>
    <w:rsid w:val="00865356"/>
    <w:rsid w:val="0086543A"/>
    <w:rsid w:val="00866926"/>
    <w:rsid w:val="008724E5"/>
    <w:rsid w:val="00874590"/>
    <w:rsid w:val="00884A9D"/>
    <w:rsid w:val="0088512B"/>
    <w:rsid w:val="008A114C"/>
    <w:rsid w:val="008A2B2D"/>
    <w:rsid w:val="008A342D"/>
    <w:rsid w:val="008A4E1E"/>
    <w:rsid w:val="008B04C0"/>
    <w:rsid w:val="008C296C"/>
    <w:rsid w:val="008C2BD0"/>
    <w:rsid w:val="008D4305"/>
    <w:rsid w:val="008D5B30"/>
    <w:rsid w:val="008E1A85"/>
    <w:rsid w:val="008E4B32"/>
    <w:rsid w:val="00902BC7"/>
    <w:rsid w:val="00902FCD"/>
    <w:rsid w:val="00904DA3"/>
    <w:rsid w:val="00906C2C"/>
    <w:rsid w:val="00906F16"/>
    <w:rsid w:val="009102F7"/>
    <w:rsid w:val="00910EB5"/>
    <w:rsid w:val="009146B4"/>
    <w:rsid w:val="00915E20"/>
    <w:rsid w:val="009163A7"/>
    <w:rsid w:val="009254CF"/>
    <w:rsid w:val="00925551"/>
    <w:rsid w:val="0092760E"/>
    <w:rsid w:val="009322D2"/>
    <w:rsid w:val="00942F5B"/>
    <w:rsid w:val="00946D0B"/>
    <w:rsid w:val="009523E7"/>
    <w:rsid w:val="009545A9"/>
    <w:rsid w:val="00955877"/>
    <w:rsid w:val="0095669C"/>
    <w:rsid w:val="009605E8"/>
    <w:rsid w:val="00963399"/>
    <w:rsid w:val="00965053"/>
    <w:rsid w:val="00973AD8"/>
    <w:rsid w:val="00987F3D"/>
    <w:rsid w:val="00990626"/>
    <w:rsid w:val="009927A4"/>
    <w:rsid w:val="009A13AC"/>
    <w:rsid w:val="009A18CD"/>
    <w:rsid w:val="009A1EF7"/>
    <w:rsid w:val="009B27FB"/>
    <w:rsid w:val="009C3024"/>
    <w:rsid w:val="009C45A8"/>
    <w:rsid w:val="009C56BB"/>
    <w:rsid w:val="009C6614"/>
    <w:rsid w:val="009D5428"/>
    <w:rsid w:val="009D637E"/>
    <w:rsid w:val="009E2109"/>
    <w:rsid w:val="009E5894"/>
    <w:rsid w:val="009F0285"/>
    <w:rsid w:val="009F0EE9"/>
    <w:rsid w:val="009F2853"/>
    <w:rsid w:val="009F3A48"/>
    <w:rsid w:val="00A02C35"/>
    <w:rsid w:val="00A12558"/>
    <w:rsid w:val="00A13903"/>
    <w:rsid w:val="00A34197"/>
    <w:rsid w:val="00A34ED5"/>
    <w:rsid w:val="00A45DBF"/>
    <w:rsid w:val="00A61702"/>
    <w:rsid w:val="00A61A01"/>
    <w:rsid w:val="00A73B11"/>
    <w:rsid w:val="00A755A2"/>
    <w:rsid w:val="00A82589"/>
    <w:rsid w:val="00A94FE1"/>
    <w:rsid w:val="00A96557"/>
    <w:rsid w:val="00AA34D9"/>
    <w:rsid w:val="00AA6660"/>
    <w:rsid w:val="00AB2C36"/>
    <w:rsid w:val="00AB2DAC"/>
    <w:rsid w:val="00AB6DDE"/>
    <w:rsid w:val="00AB70B6"/>
    <w:rsid w:val="00AC5116"/>
    <w:rsid w:val="00AC76DD"/>
    <w:rsid w:val="00AD1A86"/>
    <w:rsid w:val="00AE103E"/>
    <w:rsid w:val="00AE24EB"/>
    <w:rsid w:val="00AE486A"/>
    <w:rsid w:val="00AF0A07"/>
    <w:rsid w:val="00AF4AEC"/>
    <w:rsid w:val="00AF625E"/>
    <w:rsid w:val="00B05029"/>
    <w:rsid w:val="00B054FA"/>
    <w:rsid w:val="00B05A16"/>
    <w:rsid w:val="00B1120B"/>
    <w:rsid w:val="00B17634"/>
    <w:rsid w:val="00B204F0"/>
    <w:rsid w:val="00B3463F"/>
    <w:rsid w:val="00B41708"/>
    <w:rsid w:val="00B464E7"/>
    <w:rsid w:val="00B50306"/>
    <w:rsid w:val="00B52653"/>
    <w:rsid w:val="00B60135"/>
    <w:rsid w:val="00B6098C"/>
    <w:rsid w:val="00B73095"/>
    <w:rsid w:val="00B76115"/>
    <w:rsid w:val="00B81029"/>
    <w:rsid w:val="00B83811"/>
    <w:rsid w:val="00B91FC9"/>
    <w:rsid w:val="00BB04AF"/>
    <w:rsid w:val="00BB2D08"/>
    <w:rsid w:val="00BB5C53"/>
    <w:rsid w:val="00BC3373"/>
    <w:rsid w:val="00BC68B1"/>
    <w:rsid w:val="00BD52C9"/>
    <w:rsid w:val="00BE0153"/>
    <w:rsid w:val="00BE14B6"/>
    <w:rsid w:val="00BE40B1"/>
    <w:rsid w:val="00BE4D6B"/>
    <w:rsid w:val="00BE6354"/>
    <w:rsid w:val="00BE6DAA"/>
    <w:rsid w:val="00BF198B"/>
    <w:rsid w:val="00BF2712"/>
    <w:rsid w:val="00BF58B6"/>
    <w:rsid w:val="00BF5B11"/>
    <w:rsid w:val="00C051B5"/>
    <w:rsid w:val="00C11435"/>
    <w:rsid w:val="00C1184A"/>
    <w:rsid w:val="00C12E01"/>
    <w:rsid w:val="00C138D1"/>
    <w:rsid w:val="00C2108B"/>
    <w:rsid w:val="00C23A97"/>
    <w:rsid w:val="00C24CDD"/>
    <w:rsid w:val="00C41382"/>
    <w:rsid w:val="00C42191"/>
    <w:rsid w:val="00C504B1"/>
    <w:rsid w:val="00C52E13"/>
    <w:rsid w:val="00C64855"/>
    <w:rsid w:val="00C67B76"/>
    <w:rsid w:val="00C67C0C"/>
    <w:rsid w:val="00C7021E"/>
    <w:rsid w:val="00C70EA7"/>
    <w:rsid w:val="00C71A65"/>
    <w:rsid w:val="00C7433F"/>
    <w:rsid w:val="00C7516E"/>
    <w:rsid w:val="00C75770"/>
    <w:rsid w:val="00C93B52"/>
    <w:rsid w:val="00CA2B97"/>
    <w:rsid w:val="00CA56BB"/>
    <w:rsid w:val="00CB0542"/>
    <w:rsid w:val="00CB5466"/>
    <w:rsid w:val="00CD0EB1"/>
    <w:rsid w:val="00CD53EB"/>
    <w:rsid w:val="00CE3E97"/>
    <w:rsid w:val="00CE55C1"/>
    <w:rsid w:val="00CE7017"/>
    <w:rsid w:val="00CF3A45"/>
    <w:rsid w:val="00D00B2B"/>
    <w:rsid w:val="00D01765"/>
    <w:rsid w:val="00D14750"/>
    <w:rsid w:val="00D166F8"/>
    <w:rsid w:val="00D212DF"/>
    <w:rsid w:val="00D24497"/>
    <w:rsid w:val="00D24877"/>
    <w:rsid w:val="00D31475"/>
    <w:rsid w:val="00D41C6D"/>
    <w:rsid w:val="00D5143D"/>
    <w:rsid w:val="00D550D6"/>
    <w:rsid w:val="00D55E4F"/>
    <w:rsid w:val="00D570FC"/>
    <w:rsid w:val="00D66602"/>
    <w:rsid w:val="00D722D3"/>
    <w:rsid w:val="00D7367C"/>
    <w:rsid w:val="00D74484"/>
    <w:rsid w:val="00D8250F"/>
    <w:rsid w:val="00D95C4C"/>
    <w:rsid w:val="00D96580"/>
    <w:rsid w:val="00DA36ED"/>
    <w:rsid w:val="00DA44F8"/>
    <w:rsid w:val="00DC3672"/>
    <w:rsid w:val="00DC4FEA"/>
    <w:rsid w:val="00DC5074"/>
    <w:rsid w:val="00DC76D6"/>
    <w:rsid w:val="00DD05D8"/>
    <w:rsid w:val="00DE34F1"/>
    <w:rsid w:val="00DE6160"/>
    <w:rsid w:val="00DE61C5"/>
    <w:rsid w:val="00DE68F1"/>
    <w:rsid w:val="00DF033B"/>
    <w:rsid w:val="00DF2232"/>
    <w:rsid w:val="00DF2BE9"/>
    <w:rsid w:val="00DF4942"/>
    <w:rsid w:val="00DF7197"/>
    <w:rsid w:val="00E056A7"/>
    <w:rsid w:val="00E0600B"/>
    <w:rsid w:val="00E10BD2"/>
    <w:rsid w:val="00E12E0E"/>
    <w:rsid w:val="00E238AF"/>
    <w:rsid w:val="00E244E1"/>
    <w:rsid w:val="00E24948"/>
    <w:rsid w:val="00E330FD"/>
    <w:rsid w:val="00E33857"/>
    <w:rsid w:val="00E33DBD"/>
    <w:rsid w:val="00E452AB"/>
    <w:rsid w:val="00E543EA"/>
    <w:rsid w:val="00E627B1"/>
    <w:rsid w:val="00E70169"/>
    <w:rsid w:val="00E81055"/>
    <w:rsid w:val="00E816CD"/>
    <w:rsid w:val="00E90585"/>
    <w:rsid w:val="00E9254F"/>
    <w:rsid w:val="00E9376C"/>
    <w:rsid w:val="00E95A41"/>
    <w:rsid w:val="00E97A68"/>
    <w:rsid w:val="00EA2025"/>
    <w:rsid w:val="00EA335E"/>
    <w:rsid w:val="00EA528C"/>
    <w:rsid w:val="00EA580C"/>
    <w:rsid w:val="00EC6F8D"/>
    <w:rsid w:val="00EC7B5A"/>
    <w:rsid w:val="00ED52DB"/>
    <w:rsid w:val="00ED5E0D"/>
    <w:rsid w:val="00ED791F"/>
    <w:rsid w:val="00EE3E05"/>
    <w:rsid w:val="00EE3E6A"/>
    <w:rsid w:val="00EE49F4"/>
    <w:rsid w:val="00EF34E2"/>
    <w:rsid w:val="00EF3967"/>
    <w:rsid w:val="00F070D6"/>
    <w:rsid w:val="00F27BC5"/>
    <w:rsid w:val="00F30DC6"/>
    <w:rsid w:val="00F32C23"/>
    <w:rsid w:val="00F460B3"/>
    <w:rsid w:val="00F50FE4"/>
    <w:rsid w:val="00F53DE9"/>
    <w:rsid w:val="00F576CB"/>
    <w:rsid w:val="00F62C28"/>
    <w:rsid w:val="00F7035D"/>
    <w:rsid w:val="00F71A02"/>
    <w:rsid w:val="00F87923"/>
    <w:rsid w:val="00F87C4F"/>
    <w:rsid w:val="00F920A2"/>
    <w:rsid w:val="00F92F7B"/>
    <w:rsid w:val="00F9426C"/>
    <w:rsid w:val="00F96432"/>
    <w:rsid w:val="00F96908"/>
    <w:rsid w:val="00FA0D63"/>
    <w:rsid w:val="00FA6351"/>
    <w:rsid w:val="00FB489F"/>
    <w:rsid w:val="00FC324D"/>
    <w:rsid w:val="00FC44C3"/>
    <w:rsid w:val="00FD1226"/>
    <w:rsid w:val="00FE0A0B"/>
    <w:rsid w:val="00FE1AD7"/>
    <w:rsid w:val="00FE2820"/>
    <w:rsid w:val="00FE57FA"/>
    <w:rsid w:val="00FF0FF4"/>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22DA446"/>
  <w15:docId w15:val="{8CB5EE79-5BE1-454C-A804-9AAB7637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3"/>
      </w:numPr>
      <w:autoSpaceDE w:val="0"/>
      <w:autoSpaceDN w:val="0"/>
      <w:adjustRightInd w:val="0"/>
      <w:spacing w:after="120"/>
      <w:jc w:val="both"/>
    </w:pPr>
    <w:rPr>
      <w:rFonts w:ascii="Arial" w:eastAsia="SimSun" w:hAnsi="Arial" w:cs="Arial"/>
      <w:sz w:val="22"/>
      <w:szCs w:val="22"/>
      <w:u w:val="single"/>
      <w:lang w:val="en-GB"/>
    </w:rPr>
  </w:style>
  <w:style w:type="character" w:styleId="Hyperlink">
    <w:name w:val="Hyperlink"/>
    <w:basedOn w:val="DefaultParagraphFont"/>
    <w:uiPriority w:val="99"/>
    <w:unhideWhenUsed/>
    <w:rsid w:val="00D41C6D"/>
    <w:rPr>
      <w:color w:val="0000FF" w:themeColor="hyperlink"/>
      <w:u w:val="single"/>
    </w:rPr>
  </w:style>
  <w:style w:type="paragraph" w:styleId="FootnoteText">
    <w:name w:val="footnote text"/>
    <w:basedOn w:val="Normal"/>
    <w:link w:val="FootnoteTextChar"/>
    <w:uiPriority w:val="99"/>
    <w:semiHidden/>
    <w:unhideWhenUsed/>
    <w:rsid w:val="004A4F6E"/>
    <w:rPr>
      <w:sz w:val="20"/>
      <w:szCs w:val="20"/>
    </w:rPr>
  </w:style>
  <w:style w:type="character" w:customStyle="1" w:styleId="FootnoteTextChar">
    <w:name w:val="Footnote Text Char"/>
    <w:basedOn w:val="DefaultParagraphFont"/>
    <w:link w:val="FootnoteText"/>
    <w:uiPriority w:val="99"/>
    <w:semiHidden/>
    <w:rsid w:val="004A4F6E"/>
    <w:rPr>
      <w:rFonts w:ascii="Times New Roman" w:eastAsia="Times New Roman" w:hAnsi="Times New Roman"/>
    </w:rPr>
  </w:style>
  <w:style w:type="character" w:styleId="FootnoteReference">
    <w:name w:val="footnote reference"/>
    <w:basedOn w:val="DefaultParagraphFont"/>
    <w:uiPriority w:val="99"/>
    <w:semiHidden/>
    <w:unhideWhenUsed/>
    <w:rsid w:val="004A4F6E"/>
    <w:rPr>
      <w:vertAlign w:val="superscript"/>
    </w:rPr>
  </w:style>
  <w:style w:type="character" w:styleId="FollowedHyperlink">
    <w:name w:val="FollowedHyperlink"/>
    <w:basedOn w:val="DefaultParagraphFont"/>
    <w:uiPriority w:val="99"/>
    <w:semiHidden/>
    <w:unhideWhenUsed/>
    <w:rsid w:val="004A4F6E"/>
    <w:rPr>
      <w:color w:val="800080" w:themeColor="followedHyperlink"/>
      <w:u w:val="single"/>
    </w:rPr>
  </w:style>
  <w:style w:type="character" w:styleId="CommentReference">
    <w:name w:val="annotation reference"/>
    <w:basedOn w:val="DefaultParagraphFont"/>
    <w:uiPriority w:val="99"/>
    <w:semiHidden/>
    <w:unhideWhenUsed/>
    <w:rsid w:val="00E81055"/>
    <w:rPr>
      <w:sz w:val="16"/>
      <w:szCs w:val="16"/>
    </w:rPr>
  </w:style>
  <w:style w:type="paragraph" w:styleId="CommentText">
    <w:name w:val="annotation text"/>
    <w:basedOn w:val="Normal"/>
    <w:link w:val="CommentTextChar"/>
    <w:uiPriority w:val="99"/>
    <w:semiHidden/>
    <w:unhideWhenUsed/>
    <w:rsid w:val="00E81055"/>
    <w:rPr>
      <w:sz w:val="20"/>
      <w:szCs w:val="20"/>
    </w:rPr>
  </w:style>
  <w:style w:type="character" w:customStyle="1" w:styleId="CommentTextChar">
    <w:name w:val="Comment Text Char"/>
    <w:basedOn w:val="DefaultParagraphFont"/>
    <w:link w:val="CommentText"/>
    <w:uiPriority w:val="99"/>
    <w:semiHidden/>
    <w:rsid w:val="00E8105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81055"/>
    <w:rPr>
      <w:b/>
      <w:bCs/>
    </w:rPr>
  </w:style>
  <w:style w:type="character" w:customStyle="1" w:styleId="CommentSubjectChar">
    <w:name w:val="Comment Subject Char"/>
    <w:basedOn w:val="CommentTextChar"/>
    <w:link w:val="CommentSubject"/>
    <w:uiPriority w:val="99"/>
    <w:semiHidden/>
    <w:rsid w:val="00E81055"/>
    <w:rPr>
      <w:rFonts w:ascii="Times New Roman" w:eastAsia="Times New Roman" w:hAnsi="Times New Roman"/>
      <w:b/>
      <w:bCs/>
    </w:rPr>
  </w:style>
  <w:style w:type="paragraph" w:customStyle="1" w:styleId="Texteavecnumro">
    <w:name w:val="Texte avec numéro"/>
    <w:basedOn w:val="ListParagraph"/>
    <w:qFormat/>
    <w:rsid w:val="00F27BC5"/>
    <w:pPr>
      <w:widowControl w:val="0"/>
      <w:numPr>
        <w:numId w:val="5"/>
      </w:numPr>
      <w:autoSpaceDE w:val="0"/>
      <w:autoSpaceDN w:val="0"/>
      <w:adjustRightInd w:val="0"/>
      <w:spacing w:after="120"/>
      <w:ind w:left="785"/>
      <w:contextualSpacing w:val="0"/>
    </w:pPr>
    <w:rPr>
      <w:rFonts w:ascii="Arial" w:eastAsiaTheme="minorEastAsia" w:hAnsi="Arial" w:cs="Arial"/>
      <w:color w:val="363435"/>
      <w:w w:val="94"/>
      <w:sz w:val="22"/>
      <w:szCs w:val="22"/>
      <w:lang w:val="en-US"/>
    </w:rPr>
  </w:style>
  <w:style w:type="paragraph" w:customStyle="1" w:styleId="1">
    <w:name w:val="1."/>
    <w:basedOn w:val="Normal"/>
    <w:link w:val="1Char"/>
    <w:qFormat/>
    <w:rsid w:val="00F27BC5"/>
    <w:pPr>
      <w:widowControl w:val="0"/>
      <w:tabs>
        <w:tab w:val="left" w:pos="1134"/>
      </w:tabs>
      <w:autoSpaceDE w:val="0"/>
      <w:autoSpaceDN w:val="0"/>
      <w:adjustRightInd w:val="0"/>
      <w:spacing w:after="120"/>
      <w:ind w:left="1134" w:hanging="567"/>
    </w:pPr>
    <w:rPr>
      <w:rFonts w:ascii="Arial" w:eastAsia="SimSun" w:hAnsi="Arial" w:cs="Arial"/>
      <w:w w:val="96"/>
      <w:sz w:val="22"/>
      <w:szCs w:val="22"/>
      <w:lang w:val="en-US"/>
    </w:rPr>
  </w:style>
  <w:style w:type="character" w:customStyle="1" w:styleId="1Char">
    <w:name w:val="1. Char"/>
    <w:link w:val="1"/>
    <w:locked/>
    <w:rsid w:val="00F27BC5"/>
    <w:rPr>
      <w:rFonts w:ascii="Arial" w:hAnsi="Arial" w:cs="Arial"/>
      <w:w w:val="96"/>
      <w:sz w:val="22"/>
      <w:szCs w:val="22"/>
      <w:lang w:val="en-US"/>
    </w:rPr>
  </w:style>
  <w:style w:type="paragraph" w:styleId="ListParagraph">
    <w:name w:val="List Paragraph"/>
    <w:basedOn w:val="Normal"/>
    <w:uiPriority w:val="34"/>
    <w:rsid w:val="00F27BC5"/>
    <w:pPr>
      <w:ind w:left="720"/>
      <w:contextualSpacing/>
    </w:pPr>
  </w:style>
  <w:style w:type="character" w:customStyle="1" w:styleId="atenuated">
    <w:name w:val="atenuated"/>
    <w:basedOn w:val="DefaultParagraphFont"/>
    <w:rsid w:val="00D570FC"/>
  </w:style>
  <w:style w:type="table" w:customStyle="1" w:styleId="GridTable2-Accent11">
    <w:name w:val="Grid Table 2 - Accent 11"/>
    <w:basedOn w:val="TableNormal"/>
    <w:uiPriority w:val="47"/>
    <w:rsid w:val="008C2BD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3-Accent51">
    <w:name w:val="Grid Table 3 - Accent 51"/>
    <w:basedOn w:val="TableNormal"/>
    <w:uiPriority w:val="48"/>
    <w:rsid w:val="008C2BD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4-Accent51">
    <w:name w:val="Grid Table 4 - Accent 51"/>
    <w:basedOn w:val="TableNormal"/>
    <w:uiPriority w:val="49"/>
    <w:rsid w:val="008C2BD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U1">
    <w:name w:val="U.1"/>
    <w:basedOn w:val="Normal"/>
    <w:qFormat/>
    <w:rsid w:val="003942C4"/>
    <w:pPr>
      <w:widowControl w:val="0"/>
      <w:tabs>
        <w:tab w:val="left" w:pos="1701"/>
      </w:tabs>
      <w:autoSpaceDE w:val="0"/>
      <w:autoSpaceDN w:val="0"/>
      <w:adjustRightInd w:val="0"/>
      <w:spacing w:after="120"/>
      <w:ind w:left="1701" w:hanging="567"/>
    </w:pPr>
    <w:rPr>
      <w:rFonts w:ascii="Arial" w:eastAsia="SimSun" w:hAnsi="Arial" w:cs="Arial"/>
      <w:sz w:val="22"/>
      <w:szCs w:val="22"/>
      <w:lang w:val="en-US"/>
    </w:rPr>
  </w:style>
  <w:style w:type="paragraph" w:customStyle="1" w:styleId="i">
    <w:name w:val="(i)"/>
    <w:basedOn w:val="Normal"/>
    <w:link w:val="iChar"/>
    <w:autoRedefine/>
    <w:qFormat/>
    <w:rsid w:val="003942C4"/>
    <w:pPr>
      <w:numPr>
        <w:numId w:val="8"/>
      </w:numPr>
      <w:autoSpaceDE w:val="0"/>
      <w:autoSpaceDN w:val="0"/>
      <w:adjustRightInd w:val="0"/>
      <w:spacing w:before="120" w:after="120"/>
      <w:ind w:right="284"/>
      <w:jc w:val="both"/>
    </w:pPr>
    <w:rPr>
      <w:rFonts w:ascii="Arial" w:eastAsia="SimSun" w:hAnsi="Arial" w:cs="Arial"/>
      <w:w w:val="90"/>
      <w:sz w:val="22"/>
      <w:szCs w:val="22"/>
      <w:lang w:val="en-US"/>
    </w:rPr>
  </w:style>
  <w:style w:type="character" w:customStyle="1" w:styleId="iChar">
    <w:name w:val="(i) Char"/>
    <w:link w:val="i"/>
    <w:locked/>
    <w:rsid w:val="003942C4"/>
    <w:rPr>
      <w:rFonts w:ascii="Arial" w:hAnsi="Arial" w:cs="Arial"/>
      <w:w w:val="90"/>
      <w:sz w:val="22"/>
      <w:szCs w:val="22"/>
      <w:lang w:val="en-US"/>
    </w:rPr>
  </w:style>
  <w:style w:type="paragraph" w:styleId="Revision">
    <w:name w:val="Revision"/>
    <w:hidden/>
    <w:uiPriority w:val="99"/>
    <w:semiHidden/>
    <w:rsid w:val="004C134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873231">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213497152">
      <w:bodyDiv w:val="1"/>
      <w:marLeft w:val="0"/>
      <w:marRight w:val="0"/>
      <w:marTop w:val="0"/>
      <w:marBottom w:val="0"/>
      <w:divBdr>
        <w:top w:val="none" w:sz="0" w:space="0" w:color="auto"/>
        <w:left w:val="none" w:sz="0" w:space="0" w:color="auto"/>
        <w:bottom w:val="none" w:sz="0" w:space="0" w:color="auto"/>
        <w:right w:val="none" w:sz="0" w:space="0" w:color="auto"/>
      </w:divBdr>
    </w:div>
    <w:div w:id="1509058338">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ITH-17-12.COM_WG-5-EN.doc" TargetMode="External"/><Relationship Id="rId13" Type="http://schemas.openxmlformats.org/officeDocument/2006/relationships/header" Target="header1.xml"/><Relationship Id="rId18" Type="http://schemas.openxmlformats.org/officeDocument/2006/relationships/hyperlink" Target="https://ich.unesco.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ch.unesco.org/" TargetMode="External"/><Relationship Id="rId7" Type="http://schemas.openxmlformats.org/officeDocument/2006/relationships/endnotes" Target="endnotes.xml"/><Relationship Id="rId12" Type="http://schemas.openxmlformats.org/officeDocument/2006/relationships/hyperlink" Target="https://ich.unesco.org/en/Decisions/10.COM/6.b" TargetMode="External"/><Relationship Id="rId17" Type="http://schemas.openxmlformats.org/officeDocument/2006/relationships/hyperlink" Target="http://www.unesco.org/culture/ic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nesco.org/culture/ich" TargetMode="External"/><Relationship Id="rId20" Type="http://schemas.openxmlformats.org/officeDocument/2006/relationships/hyperlink" Target="http://www.unesco.org/culture/ich"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ITH-17-12.COM-10-EN.docx" TargetMode="External"/><Relationship Id="rId24" Type="http://schemas.openxmlformats.org/officeDocument/2006/relationships/hyperlink" Target="https://ich.unesco.org/"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unesco.org/culture/ich" TargetMode="External"/><Relationship Id="rId10" Type="http://schemas.openxmlformats.org/officeDocument/2006/relationships/hyperlink" Target="https://ich.unesco.org/en/Decisions/12.COM/10" TargetMode="External"/><Relationship Id="rId19" Type="http://schemas.openxmlformats.org/officeDocument/2006/relationships/hyperlink" Target="http://www.unesco.org/culture/ich" TargetMode="External"/><Relationship Id="rId4" Type="http://schemas.openxmlformats.org/officeDocument/2006/relationships/settings" Target="settings.xml"/><Relationship Id="rId9" Type="http://schemas.openxmlformats.org/officeDocument/2006/relationships/hyperlink" Target="https://ich.unesco.org/doc/src/ITH-17-12.COM_WG-7-EN.doc" TargetMode="External"/><Relationship Id="rId14" Type="http://schemas.openxmlformats.org/officeDocument/2006/relationships/header" Target="header2.xml"/><Relationship Id="rId22" Type="http://schemas.openxmlformats.org/officeDocument/2006/relationships/hyperlink" Target="http://www.unesco.org/culture/ich"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FC5EE-ECA3-4390-B599-0DCB80AC7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6</TotalTime>
  <Pages>10</Pages>
  <Words>3268</Words>
  <Characters>18632</Characters>
  <Application>Microsoft Office Word</Application>
  <DocSecurity>0</DocSecurity>
  <Lines>155</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Shin, Eunkyung</cp:lastModifiedBy>
  <cp:revision>4</cp:revision>
  <cp:lastPrinted>2018-04-11T12:26:00Z</cp:lastPrinted>
  <dcterms:created xsi:type="dcterms:W3CDTF">2018-05-31T13:30:00Z</dcterms:created>
  <dcterms:modified xsi:type="dcterms:W3CDTF">2018-05-31T15:00:00Z</dcterms:modified>
</cp:coreProperties>
</file>