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DE300" w14:textId="4A65A70D" w:rsidR="00EC6F8D" w:rsidRPr="001C6031" w:rsidRDefault="00EC6F8D" w:rsidP="005F7CB2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1C6031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1C6031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2CFA454D" w14:textId="77777777" w:rsidR="00EC6F8D" w:rsidRPr="001C6031" w:rsidRDefault="00EC6F8D" w:rsidP="005F7CB2">
      <w:pPr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1C6031">
        <w:rPr>
          <w:rFonts w:ascii="Arial" w:hAnsi="Arial" w:cs="Arial"/>
          <w:b/>
          <w:sz w:val="22"/>
          <w:szCs w:val="22"/>
          <w:lang w:val="en-GB"/>
        </w:rPr>
        <w:t>INTERGOVERNMENTAL COMMITTEE FOR THE</w:t>
      </w:r>
      <w:r w:rsidRPr="001C6031">
        <w:rPr>
          <w:rFonts w:ascii="Arial" w:hAnsi="Arial" w:cs="Arial"/>
          <w:b/>
          <w:sz w:val="22"/>
          <w:szCs w:val="22"/>
          <w:lang w:val="en-GB"/>
        </w:rPr>
        <w:br/>
        <w:t>SAFEGUARDING OF THE INTANGIBLE CULTURAL HERITAGE</w:t>
      </w:r>
    </w:p>
    <w:p w14:paraId="3AB60ED3" w14:textId="77777777" w:rsidR="003B045A" w:rsidRDefault="003B045A" w:rsidP="00364DB9">
      <w:pPr>
        <w:spacing w:before="840"/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Meeting of the Bureau</w:t>
      </w:r>
    </w:p>
    <w:p w14:paraId="61E4EC93" w14:textId="77777777" w:rsidR="003B045A" w:rsidRDefault="003B045A" w:rsidP="00BD52E2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UNESCO Headquarters, Paris, Room VI</w:t>
      </w:r>
    </w:p>
    <w:p w14:paraId="211A0D86" w14:textId="71D332BA" w:rsidR="00EC6F8D" w:rsidRPr="001C6031" w:rsidRDefault="003B045A" w:rsidP="00715C47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7 </w:t>
      </w:r>
      <w:r w:rsidR="007C4398">
        <w:rPr>
          <w:rFonts w:ascii="Arial" w:hAnsi="Arial" w:cs="Arial"/>
          <w:b/>
          <w:sz w:val="22"/>
          <w:szCs w:val="22"/>
          <w:lang w:val="en-GB"/>
        </w:rPr>
        <w:t>June 2018</w:t>
      </w:r>
      <w:r w:rsidR="00715C47">
        <w:rPr>
          <w:rFonts w:ascii="Arial" w:hAnsi="Arial" w:cs="Arial"/>
          <w:b/>
          <w:sz w:val="22"/>
          <w:szCs w:val="22"/>
          <w:lang w:val="en-GB"/>
        </w:rPr>
        <w:t>, 10 a.m. – 1 p.m.</w:t>
      </w:r>
    </w:p>
    <w:p w14:paraId="7F858892" w14:textId="4253C7EF" w:rsidR="00EC6F8D" w:rsidRPr="001C6031" w:rsidRDefault="00A74D6C" w:rsidP="00826FE8">
      <w:pPr>
        <w:pStyle w:val="Sansinterligne2"/>
        <w:spacing w:before="1200" w:after="1200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1C6031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IMPLEMENTATION REPORT </w:t>
      </w:r>
      <w:r w:rsidR="002E646E" w:rsidRPr="001C6031">
        <w:rPr>
          <w:rFonts w:ascii="Arial" w:hAnsi="Arial" w:cs="Arial"/>
          <w:b/>
          <w:sz w:val="22"/>
          <w:szCs w:val="22"/>
          <w:u w:val="single"/>
          <w:lang w:val="en-GB"/>
        </w:rPr>
        <w:t>O</w:t>
      </w:r>
      <w:r w:rsidR="002E646E">
        <w:rPr>
          <w:rFonts w:ascii="Arial" w:hAnsi="Arial" w:cs="Arial"/>
          <w:b/>
          <w:sz w:val="22"/>
          <w:szCs w:val="22"/>
          <w:u w:val="single"/>
          <w:lang w:val="en-GB"/>
        </w:rPr>
        <w:t>N</w:t>
      </w:r>
      <w:r w:rsidR="002E646E" w:rsidRPr="001C6031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r w:rsidRPr="001C6031">
        <w:rPr>
          <w:rFonts w:ascii="Arial" w:hAnsi="Arial" w:cs="Arial"/>
          <w:b/>
          <w:sz w:val="22"/>
          <w:szCs w:val="22"/>
          <w:u w:val="single"/>
          <w:lang w:val="en-GB"/>
        </w:rPr>
        <w:t>THE SPENDING PLAN</w:t>
      </w:r>
      <w:r w:rsidRPr="001C6031">
        <w:rPr>
          <w:rFonts w:ascii="Arial" w:hAnsi="Arial" w:cs="Arial"/>
          <w:b/>
          <w:sz w:val="22"/>
          <w:szCs w:val="22"/>
          <w:u w:val="single"/>
          <w:lang w:val="en-GB"/>
        </w:rPr>
        <w:br/>
        <w:t xml:space="preserve">FOR ‘OTHER </w:t>
      </w:r>
      <w:r w:rsidR="00907D3B" w:rsidRPr="001C6031">
        <w:rPr>
          <w:rFonts w:ascii="Arial" w:hAnsi="Arial" w:cs="Arial"/>
          <w:b/>
          <w:sz w:val="22"/>
          <w:szCs w:val="22"/>
          <w:u w:val="single"/>
          <w:lang w:val="en-GB"/>
        </w:rPr>
        <w:t>FUNCTIONS OF THE COMMITTEE’</w:t>
      </w:r>
      <w:r w:rsidRPr="001C6031">
        <w:rPr>
          <w:rFonts w:ascii="Arial" w:hAnsi="Arial" w:cs="Arial"/>
          <w:b/>
          <w:sz w:val="22"/>
          <w:szCs w:val="22"/>
          <w:u w:val="single"/>
          <w:lang w:val="en-GB"/>
        </w:rPr>
        <w:br/>
      </w:r>
      <w:r w:rsidR="007C4398">
        <w:rPr>
          <w:rFonts w:ascii="Arial" w:hAnsi="Arial" w:cs="Arial"/>
          <w:b/>
          <w:caps/>
          <w:sz w:val="22"/>
          <w:szCs w:val="22"/>
          <w:u w:val="single"/>
          <w:lang w:val="en-GB"/>
        </w:rPr>
        <w:t>1 January 2016 – 31 December 2017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2F00E9" w14:paraId="6AD616F9" w14:textId="77777777" w:rsidTr="00EC6F8D">
        <w:trPr>
          <w:jc w:val="center"/>
        </w:trPr>
        <w:tc>
          <w:tcPr>
            <w:tcW w:w="5670" w:type="dxa"/>
            <w:vAlign w:val="center"/>
          </w:tcPr>
          <w:p w14:paraId="50147088" w14:textId="77777777" w:rsidR="00EC6F8D" w:rsidRPr="001C6031" w:rsidRDefault="00EC6F8D" w:rsidP="005F7CB2">
            <w:pPr>
              <w:pStyle w:val="Sansinterligne1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C6031">
              <w:rPr>
                <w:rFonts w:ascii="Arial" w:hAnsi="Arial" w:cs="Arial"/>
                <w:b/>
                <w:sz w:val="22"/>
                <w:szCs w:val="22"/>
                <w:lang w:val="en-GB"/>
              </w:rPr>
              <w:t>Summary</w:t>
            </w:r>
          </w:p>
          <w:p w14:paraId="6AC38BC6" w14:textId="0427F41B" w:rsidR="00EC6F8D" w:rsidRPr="001C6031" w:rsidRDefault="00882DAE">
            <w:pPr>
              <w:pStyle w:val="NoSpacing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B47C3">
              <w:rPr>
                <w:rFonts w:ascii="Arial" w:hAnsi="Arial" w:cs="Arial"/>
                <w:sz w:val="22"/>
                <w:szCs w:val="22"/>
                <w:lang w:val="en-GB"/>
              </w:rPr>
              <w:t>The Plan for the use of the resources of the Intangible Cultural Heritage Fund approved by the General Assembly for th</w:t>
            </w:r>
            <w:r w:rsidR="007C4398">
              <w:rPr>
                <w:rFonts w:ascii="Arial" w:hAnsi="Arial" w:cs="Arial"/>
                <w:sz w:val="22"/>
                <w:szCs w:val="22"/>
                <w:lang w:val="en-GB"/>
              </w:rPr>
              <w:t>e period 1 January 2016 to 31 December 2017</w:t>
            </w:r>
            <w:r w:rsidRPr="004B47C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4B47C3" w:rsidRPr="004B47C3">
              <w:rPr>
                <w:rFonts w:ascii="Arial" w:hAnsi="Arial" w:cs="Arial"/>
                <w:sz w:val="22"/>
                <w:szCs w:val="22"/>
                <w:lang w:val="en-GB"/>
              </w:rPr>
              <w:t>provided</w:t>
            </w:r>
            <w:r w:rsidRPr="004B47C3">
              <w:rPr>
                <w:rFonts w:ascii="Arial" w:hAnsi="Arial" w:cs="Arial"/>
                <w:sz w:val="22"/>
                <w:szCs w:val="22"/>
                <w:lang w:val="en-GB"/>
              </w:rPr>
              <w:t xml:space="preserve"> that 20% of the resources be allocated to ‘</w:t>
            </w:r>
            <w:r w:rsidR="00365A44"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  <w:r w:rsidR="00365A44" w:rsidRPr="004B47C3">
              <w:rPr>
                <w:rFonts w:ascii="Arial" w:hAnsi="Arial" w:cs="Arial"/>
                <w:sz w:val="22"/>
                <w:szCs w:val="22"/>
                <w:lang w:val="en-GB"/>
              </w:rPr>
              <w:t xml:space="preserve">ther </w:t>
            </w:r>
            <w:r w:rsidRPr="004B47C3">
              <w:rPr>
                <w:rFonts w:ascii="Arial" w:hAnsi="Arial" w:cs="Arial"/>
                <w:sz w:val="22"/>
                <w:szCs w:val="22"/>
                <w:lang w:val="en-GB"/>
              </w:rPr>
              <w:t>functions of the Committee’</w:t>
            </w:r>
            <w:r w:rsidR="002E646E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Pr="004B47C3">
              <w:rPr>
                <w:rFonts w:ascii="Arial" w:hAnsi="Arial" w:cs="Arial"/>
                <w:sz w:val="22"/>
                <w:szCs w:val="22"/>
                <w:lang w:val="en-GB"/>
              </w:rPr>
              <w:t xml:space="preserve"> as described in Article 7</w:t>
            </w:r>
            <w:r w:rsidR="002E646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B47C3">
              <w:rPr>
                <w:rFonts w:ascii="Arial" w:hAnsi="Arial" w:cs="Arial"/>
                <w:sz w:val="22"/>
                <w:szCs w:val="22"/>
                <w:lang w:val="en-GB"/>
              </w:rPr>
              <w:t>of the Convention and the Operational Directives.</w:t>
            </w:r>
            <w:r w:rsidR="004B47C3" w:rsidRPr="004B47C3">
              <w:rPr>
                <w:rFonts w:ascii="Arial" w:hAnsi="Arial" w:cs="Arial"/>
                <w:sz w:val="22"/>
                <w:szCs w:val="22"/>
                <w:lang w:val="en-GB"/>
              </w:rPr>
              <w:t xml:space="preserve"> Exercising the authority delegated to it by the Committee, the Bureau decided upon the utilization of these funds and requested </w:t>
            </w:r>
            <w:r w:rsidR="002E646E">
              <w:rPr>
                <w:rFonts w:ascii="Arial" w:hAnsi="Arial" w:cs="Arial"/>
                <w:sz w:val="22"/>
                <w:szCs w:val="22"/>
                <w:lang w:val="en-GB"/>
              </w:rPr>
              <w:t xml:space="preserve">that </w:t>
            </w:r>
            <w:r w:rsidR="004B47C3" w:rsidRPr="004B47C3">
              <w:rPr>
                <w:rFonts w:ascii="Arial" w:hAnsi="Arial" w:cs="Arial"/>
                <w:sz w:val="22"/>
                <w:szCs w:val="22"/>
                <w:lang w:val="en-GB"/>
              </w:rPr>
              <w:t xml:space="preserve">the Secretariat report on the progress of implementation and the way the funds </w:t>
            </w:r>
            <w:r w:rsidR="00FD55B1">
              <w:rPr>
                <w:rFonts w:ascii="Arial" w:hAnsi="Arial" w:cs="Arial"/>
                <w:sz w:val="22"/>
                <w:szCs w:val="22"/>
                <w:lang w:val="en-GB"/>
              </w:rPr>
              <w:t>were</w:t>
            </w:r>
            <w:r w:rsidR="00FD55B1" w:rsidRPr="004B47C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4B47C3" w:rsidRPr="004B47C3">
              <w:rPr>
                <w:rFonts w:ascii="Arial" w:hAnsi="Arial" w:cs="Arial"/>
                <w:sz w:val="22"/>
                <w:szCs w:val="22"/>
                <w:lang w:val="en-GB"/>
              </w:rPr>
              <w:t>spent</w:t>
            </w:r>
            <w:r w:rsidR="004B47C3">
              <w:rPr>
                <w:rFonts w:ascii="Arial" w:hAnsi="Arial" w:cs="Arial"/>
                <w:sz w:val="22"/>
                <w:szCs w:val="22"/>
                <w:lang w:val="en-GB"/>
              </w:rPr>
              <w:t>. The present document provides a</w:t>
            </w:r>
            <w:r w:rsidR="003F1D48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 w:rsidR="004B47C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D55B1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r w:rsidR="004B47C3">
              <w:rPr>
                <w:rFonts w:ascii="Arial" w:hAnsi="Arial" w:cs="Arial"/>
                <w:sz w:val="22"/>
                <w:szCs w:val="22"/>
                <w:lang w:val="en-GB"/>
              </w:rPr>
              <w:t xml:space="preserve">mplementation </w:t>
            </w:r>
            <w:r w:rsidR="00FD55B1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4B47C3">
              <w:rPr>
                <w:rFonts w:ascii="Arial" w:hAnsi="Arial" w:cs="Arial"/>
                <w:sz w:val="22"/>
                <w:szCs w:val="22"/>
                <w:lang w:val="en-GB"/>
              </w:rPr>
              <w:t xml:space="preserve">eport for the period </w:t>
            </w:r>
            <w:r w:rsidR="007C4398">
              <w:rPr>
                <w:rFonts w:ascii="Arial" w:hAnsi="Arial" w:cs="Arial"/>
                <w:sz w:val="22"/>
                <w:szCs w:val="22"/>
                <w:lang w:val="en-GB"/>
              </w:rPr>
              <w:t>1 January 2016 to 31 December 2017</w:t>
            </w:r>
            <w:r w:rsidR="004B47C3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</w:tbl>
    <w:p w14:paraId="323C4BD0" w14:textId="77777777" w:rsidR="00350080" w:rsidRPr="001C6031" w:rsidRDefault="00655736" w:rsidP="005F7CB2">
      <w:pPr>
        <w:pStyle w:val="COMPara"/>
        <w:jc w:val="both"/>
      </w:pPr>
      <w:r w:rsidRPr="001C6031">
        <w:br w:type="page"/>
      </w:r>
    </w:p>
    <w:p w14:paraId="6439456C" w14:textId="5F719664" w:rsidR="003E346A" w:rsidRPr="003E346A" w:rsidRDefault="003E346A" w:rsidP="00B973F3">
      <w:pPr>
        <w:pStyle w:val="Heading4"/>
        <w:ind w:left="567" w:hanging="567"/>
      </w:pPr>
      <w:r w:rsidRPr="003E346A">
        <w:lastRenderedPageBreak/>
        <w:t>Background</w:t>
      </w:r>
    </w:p>
    <w:p w14:paraId="49A5552B" w14:textId="4692C3F3" w:rsidR="007729FF" w:rsidRPr="00C410E4" w:rsidRDefault="007729FF">
      <w:pPr>
        <w:pStyle w:val="5GAparabodytext"/>
        <w:rPr>
          <w:rStyle w:val="hps"/>
          <w:rFonts w:cs="Times New Roman"/>
          <w:b/>
          <w:caps/>
          <w:szCs w:val="24"/>
        </w:rPr>
      </w:pPr>
      <w:r w:rsidRPr="001C6031">
        <w:t xml:space="preserve">The General Assembly, in its </w:t>
      </w:r>
      <w:hyperlink r:id="rId8" w:history="1">
        <w:r w:rsidR="002B70B6" w:rsidRPr="002B70B6">
          <w:rPr>
            <w:rStyle w:val="Hyperlink"/>
          </w:rPr>
          <w:t>Resolution 6.GA 9</w:t>
        </w:r>
      </w:hyperlink>
      <w:r w:rsidRPr="001C6031">
        <w:t xml:space="preserve">, approved a Plan for the use of the resources of the </w:t>
      </w:r>
      <w:r w:rsidR="003D12B5">
        <w:t xml:space="preserve">Intangible Cultural Heritage </w:t>
      </w:r>
      <w:r w:rsidRPr="001C6031">
        <w:t xml:space="preserve">Fund </w:t>
      </w:r>
      <w:r w:rsidR="003D12B5" w:rsidRPr="00FC5105">
        <w:rPr>
          <w:lang w:val="en-US"/>
        </w:rPr>
        <w:t>[hereafter the Fund]</w:t>
      </w:r>
      <w:r w:rsidR="003D12B5">
        <w:rPr>
          <w:lang w:val="en-US"/>
        </w:rPr>
        <w:t xml:space="preserve"> </w:t>
      </w:r>
      <w:r w:rsidR="006A0FDF" w:rsidRPr="001C6031">
        <w:t>for the period 1 </w:t>
      </w:r>
      <w:r w:rsidRPr="001C6031">
        <w:t>January</w:t>
      </w:r>
      <w:r w:rsidR="00BB3419" w:rsidRPr="001C6031">
        <w:t> </w:t>
      </w:r>
      <w:r w:rsidR="002B70B6">
        <w:t>2016</w:t>
      </w:r>
      <w:r w:rsidRPr="001C6031">
        <w:t xml:space="preserve"> to 31</w:t>
      </w:r>
      <w:r w:rsidR="00BB3419" w:rsidRPr="001C6031">
        <w:t> </w:t>
      </w:r>
      <w:r w:rsidRPr="001C6031">
        <w:t>December</w:t>
      </w:r>
      <w:r w:rsidR="00BB3419" w:rsidRPr="001C6031">
        <w:t> </w:t>
      </w:r>
      <w:r w:rsidR="002B70B6">
        <w:t>2017</w:t>
      </w:r>
      <w:r w:rsidR="002E646E">
        <w:t>,</w:t>
      </w:r>
      <w:r w:rsidRPr="001C6031">
        <w:t xml:space="preserve"> which devoted </w:t>
      </w:r>
      <w:r w:rsidR="003C1A1C" w:rsidRPr="001C6031">
        <w:t xml:space="preserve">20% of </w:t>
      </w:r>
      <w:r w:rsidR="002B70B6">
        <w:t>the budget (US$1,590,</w:t>
      </w:r>
      <w:r w:rsidRPr="001C6031">
        <w:t>7</w:t>
      </w:r>
      <w:r w:rsidR="002B70B6">
        <w:t>46</w:t>
      </w:r>
      <w:r w:rsidRPr="001C6031">
        <w:t>) to ‘</w:t>
      </w:r>
      <w:r w:rsidR="00365A44">
        <w:t>O</w:t>
      </w:r>
      <w:r w:rsidR="00365A44" w:rsidRPr="001C6031">
        <w:t xml:space="preserve">ther </w:t>
      </w:r>
      <w:r w:rsidRPr="001C6031">
        <w:t>functions of the Committee’</w:t>
      </w:r>
      <w:r w:rsidR="002E646E">
        <w:t>,</w:t>
      </w:r>
      <w:r w:rsidRPr="001C6031">
        <w:t xml:space="preserve"> as laid down in Article 7 of the Convention and </w:t>
      </w:r>
      <w:r w:rsidR="006A0FDF" w:rsidRPr="001C6031">
        <w:t>its</w:t>
      </w:r>
      <w:r w:rsidRPr="001C6031">
        <w:t xml:space="preserve"> Operational Directives. By delegation of authority from the Committee (</w:t>
      </w:r>
      <w:hyperlink r:id="rId9" w:history="1">
        <w:r w:rsidR="00BF1566" w:rsidRPr="00BF1566">
          <w:rPr>
            <w:rStyle w:val="Hyperlink"/>
          </w:rPr>
          <w:t>Decision 10.COM 8</w:t>
        </w:r>
      </w:hyperlink>
      <w:r w:rsidRPr="001C6031">
        <w:t>), the Bureau was requested to decide on a specific proposal prepared by the Secretariat for the use of the funds under that category</w:t>
      </w:r>
      <w:r w:rsidR="005D229E" w:rsidRPr="001C6031">
        <w:t>,</w:t>
      </w:r>
      <w:r w:rsidRPr="001C6031">
        <w:t xml:space="preserve"> for the above-mentioned period (</w:t>
      </w:r>
      <w:hyperlink r:id="rId10" w:history="1">
        <w:r w:rsidRPr="002B70B6">
          <w:rPr>
            <w:rStyle w:val="Hyperlink"/>
          </w:rPr>
          <w:t>Decision</w:t>
        </w:r>
        <w:r w:rsidR="003D12B5" w:rsidRPr="002B70B6">
          <w:rPr>
            <w:rStyle w:val="Hyperlink"/>
          </w:rPr>
          <w:t> </w:t>
        </w:r>
        <w:r w:rsidR="002B70B6" w:rsidRPr="002B70B6">
          <w:rPr>
            <w:rStyle w:val="Hyperlink"/>
          </w:rPr>
          <w:t>11</w:t>
        </w:r>
        <w:r w:rsidRPr="002B70B6">
          <w:rPr>
            <w:rStyle w:val="Hyperlink"/>
          </w:rPr>
          <w:t>.</w:t>
        </w:r>
        <w:r w:rsidR="003D12B5" w:rsidRPr="002B70B6">
          <w:rPr>
            <w:rStyle w:val="Hyperlink"/>
          </w:rPr>
          <w:t>COM </w:t>
        </w:r>
        <w:r w:rsidRPr="002B70B6">
          <w:rPr>
            <w:rStyle w:val="Hyperlink"/>
          </w:rPr>
          <w:t>2.BUR</w:t>
        </w:r>
        <w:r w:rsidR="003D12B5" w:rsidRPr="002B70B6">
          <w:rPr>
            <w:rStyle w:val="Hyperlink"/>
          </w:rPr>
          <w:t> </w:t>
        </w:r>
        <w:r w:rsidRPr="002B70B6">
          <w:rPr>
            <w:rStyle w:val="Hyperlink"/>
          </w:rPr>
          <w:t>1</w:t>
        </w:r>
      </w:hyperlink>
      <w:r w:rsidRPr="001C6031">
        <w:t>)</w:t>
      </w:r>
      <w:r w:rsidR="003C1A1C" w:rsidRPr="001C6031">
        <w:rPr>
          <w:rStyle w:val="FootnoteReference"/>
        </w:rPr>
        <w:footnoteReference w:id="1"/>
      </w:r>
      <w:r w:rsidR="00BB3419" w:rsidRPr="001C6031">
        <w:t xml:space="preserve">. In that same decision, the </w:t>
      </w:r>
      <w:r w:rsidR="00BB3419" w:rsidRPr="00C410E4">
        <w:rPr>
          <w:rStyle w:val="hps"/>
        </w:rPr>
        <w:t>Bureau requested</w:t>
      </w:r>
      <w:r w:rsidR="002E646E">
        <w:rPr>
          <w:rStyle w:val="hps"/>
        </w:rPr>
        <w:t xml:space="preserve"> that</w:t>
      </w:r>
      <w:r w:rsidR="00BB3419" w:rsidRPr="00C410E4">
        <w:rPr>
          <w:rStyle w:val="hps"/>
        </w:rPr>
        <w:t xml:space="preserve"> </w:t>
      </w:r>
      <w:r w:rsidR="005D229E" w:rsidRPr="00C410E4">
        <w:rPr>
          <w:rStyle w:val="hps"/>
        </w:rPr>
        <w:t xml:space="preserve">the Secretariat ‘report on the progress of implementation and the way the funds are spent’. </w:t>
      </w:r>
      <w:r w:rsidR="002B70B6" w:rsidRPr="00C410E4">
        <w:rPr>
          <w:rStyle w:val="hps"/>
        </w:rPr>
        <w:t xml:space="preserve">In line with the </w:t>
      </w:r>
      <w:r w:rsidR="002E646E" w:rsidRPr="00C410E4">
        <w:rPr>
          <w:rStyle w:val="hps"/>
        </w:rPr>
        <w:t xml:space="preserve">approved </w:t>
      </w:r>
      <w:r w:rsidR="002B70B6" w:rsidRPr="00C410E4">
        <w:rPr>
          <w:rStyle w:val="hps"/>
        </w:rPr>
        <w:t xml:space="preserve">38C/5 </w:t>
      </w:r>
      <w:r w:rsidR="00024861" w:rsidRPr="00C410E4">
        <w:rPr>
          <w:rStyle w:val="hps"/>
        </w:rPr>
        <w:t xml:space="preserve">and the Organization’s shift towards </w:t>
      </w:r>
      <w:r w:rsidR="00024861" w:rsidRPr="001C6031">
        <w:rPr>
          <w:rStyle w:val="hps"/>
        </w:rPr>
        <w:t xml:space="preserve">integrating the principles of </w:t>
      </w:r>
      <w:r w:rsidR="0005488C">
        <w:rPr>
          <w:rStyle w:val="hps"/>
        </w:rPr>
        <w:t>r</w:t>
      </w:r>
      <w:r w:rsidR="00024861" w:rsidRPr="001C6031">
        <w:rPr>
          <w:rStyle w:val="hps"/>
        </w:rPr>
        <w:t>esults-</w:t>
      </w:r>
      <w:r w:rsidR="0005488C">
        <w:rPr>
          <w:rStyle w:val="hps"/>
        </w:rPr>
        <w:t>b</w:t>
      </w:r>
      <w:r w:rsidR="00024861" w:rsidRPr="001C6031">
        <w:rPr>
          <w:rStyle w:val="hps"/>
        </w:rPr>
        <w:t xml:space="preserve">ased </w:t>
      </w:r>
      <w:r w:rsidR="0005488C">
        <w:rPr>
          <w:rStyle w:val="hps"/>
        </w:rPr>
        <w:t>m</w:t>
      </w:r>
      <w:r w:rsidR="00024861" w:rsidRPr="001C6031">
        <w:rPr>
          <w:rStyle w:val="hps"/>
        </w:rPr>
        <w:t xml:space="preserve">anagement and </w:t>
      </w:r>
      <w:r w:rsidR="0005488C">
        <w:rPr>
          <w:rStyle w:val="hps"/>
        </w:rPr>
        <w:t>r</w:t>
      </w:r>
      <w:r w:rsidR="00024861" w:rsidRPr="001C6031">
        <w:rPr>
          <w:rStyle w:val="hps"/>
        </w:rPr>
        <w:t>esults-</w:t>
      </w:r>
      <w:r w:rsidR="0005488C">
        <w:rPr>
          <w:rStyle w:val="hps"/>
        </w:rPr>
        <w:t>b</w:t>
      </w:r>
      <w:r w:rsidR="00024861" w:rsidRPr="001C6031">
        <w:rPr>
          <w:rStyle w:val="hps"/>
        </w:rPr>
        <w:t xml:space="preserve">ased </w:t>
      </w:r>
      <w:r w:rsidR="0005488C">
        <w:rPr>
          <w:rStyle w:val="hps"/>
        </w:rPr>
        <w:t>b</w:t>
      </w:r>
      <w:r w:rsidR="002B70B6">
        <w:rPr>
          <w:rStyle w:val="hps"/>
        </w:rPr>
        <w:t>udgeting</w:t>
      </w:r>
      <w:r w:rsidR="005D229E" w:rsidRPr="00C410E4">
        <w:rPr>
          <w:rStyle w:val="hps"/>
        </w:rPr>
        <w:t xml:space="preserve">, </w:t>
      </w:r>
      <w:r w:rsidR="00024861" w:rsidRPr="00C410E4">
        <w:rPr>
          <w:rStyle w:val="hps"/>
        </w:rPr>
        <w:t xml:space="preserve">on that occasion </w:t>
      </w:r>
      <w:r w:rsidR="002E646E" w:rsidRPr="00C410E4">
        <w:rPr>
          <w:rStyle w:val="hps"/>
        </w:rPr>
        <w:t xml:space="preserve">the Bureau approved </w:t>
      </w:r>
      <w:r w:rsidR="005D229E" w:rsidRPr="00C410E4">
        <w:rPr>
          <w:rStyle w:val="hps"/>
        </w:rPr>
        <w:t xml:space="preserve">a proposal that integrated a results framework with financial allocations for each </w:t>
      </w:r>
      <w:r w:rsidR="00C410E4">
        <w:rPr>
          <w:rStyle w:val="hps"/>
        </w:rPr>
        <w:t>result.</w:t>
      </w:r>
    </w:p>
    <w:p w14:paraId="150C387F" w14:textId="059EE353" w:rsidR="00556F04" w:rsidRDefault="005D229E">
      <w:pPr>
        <w:pStyle w:val="5GAparabodytext"/>
      </w:pPr>
      <w:r w:rsidRPr="00130C28">
        <w:t xml:space="preserve">The present document </w:t>
      </w:r>
      <w:r w:rsidR="00A573D8" w:rsidRPr="00130C28">
        <w:t xml:space="preserve">is intended to inform States Parties of </w:t>
      </w:r>
      <w:r w:rsidR="00364DB9">
        <w:t xml:space="preserve">the </w:t>
      </w:r>
      <w:r w:rsidR="00B63BBC" w:rsidRPr="00F02711">
        <w:t>status</w:t>
      </w:r>
      <w:r w:rsidR="00B63BBC" w:rsidRPr="00130C28">
        <w:t xml:space="preserve"> </w:t>
      </w:r>
      <w:r w:rsidR="002E646E">
        <w:t>of</w:t>
      </w:r>
      <w:r w:rsidR="00A573D8" w:rsidRPr="00130C28">
        <w:t xml:space="preserve"> execution of </w:t>
      </w:r>
      <w:r w:rsidR="002E646E">
        <w:t xml:space="preserve">the </w:t>
      </w:r>
      <w:r w:rsidR="00A573D8" w:rsidRPr="00130C28">
        <w:t>sp</w:t>
      </w:r>
      <w:r w:rsidR="00830355" w:rsidRPr="00130C28">
        <w:t xml:space="preserve">ending plan adopted in June 2016 </w:t>
      </w:r>
      <w:r w:rsidR="00B63BBC">
        <w:t>for</w:t>
      </w:r>
      <w:r w:rsidR="00B63BBC" w:rsidRPr="00130C28">
        <w:t xml:space="preserve"> </w:t>
      </w:r>
      <w:r w:rsidR="00830355" w:rsidRPr="00130C28">
        <w:t xml:space="preserve">the </w:t>
      </w:r>
      <w:r w:rsidR="00A573D8" w:rsidRPr="00130C28">
        <w:t>biennium</w:t>
      </w:r>
      <w:r w:rsidR="002E646E">
        <w:t xml:space="preserve"> </w:t>
      </w:r>
      <w:r w:rsidR="00556F04" w:rsidRPr="00130C28">
        <w:t>2016-2017</w:t>
      </w:r>
      <w:r w:rsidR="00A573D8" w:rsidRPr="00130C28">
        <w:t xml:space="preserve">. </w:t>
      </w:r>
      <w:r w:rsidR="00556F04">
        <w:t xml:space="preserve">In particular, </w:t>
      </w:r>
      <w:r w:rsidR="00477226">
        <w:t>it</w:t>
      </w:r>
      <w:r w:rsidR="00A573D8" w:rsidRPr="00130C28">
        <w:t xml:space="preserve"> provides assessment of </w:t>
      </w:r>
      <w:r w:rsidR="00F77345">
        <w:t xml:space="preserve">the </w:t>
      </w:r>
      <w:r w:rsidR="00A573D8" w:rsidRPr="00130C28">
        <w:t xml:space="preserve">programme implementation </w:t>
      </w:r>
      <w:r w:rsidR="00556F04">
        <w:t xml:space="preserve">by expected results, together with </w:t>
      </w:r>
      <w:r w:rsidR="002E646E">
        <w:t>an</w:t>
      </w:r>
      <w:r w:rsidR="00556F04">
        <w:t xml:space="preserve"> analysis of </w:t>
      </w:r>
      <w:r w:rsidR="002E646E">
        <w:t xml:space="preserve">the </w:t>
      </w:r>
      <w:r w:rsidR="00F02711">
        <w:t xml:space="preserve">main challenges </w:t>
      </w:r>
      <w:r w:rsidR="00A573D8" w:rsidRPr="00130C28">
        <w:t xml:space="preserve">in </w:t>
      </w:r>
      <w:r w:rsidR="00F77345">
        <w:t>delivering the</w:t>
      </w:r>
      <w:r w:rsidR="00A573D8" w:rsidRPr="00130C28">
        <w:t xml:space="preserve"> outputs approved by the Bureau</w:t>
      </w:r>
      <w:r w:rsidR="00556F04">
        <w:t>.</w:t>
      </w:r>
    </w:p>
    <w:p w14:paraId="72DB5218" w14:textId="0DF7AE05" w:rsidR="00A2086A" w:rsidRPr="002B7C8E" w:rsidRDefault="00477226">
      <w:pPr>
        <w:pStyle w:val="5GAparabodytext"/>
      </w:pPr>
      <w:r>
        <w:t>T</w:t>
      </w:r>
      <w:r w:rsidR="002E646E">
        <w:t xml:space="preserve">he </w:t>
      </w:r>
      <w:r w:rsidR="003E346A">
        <w:t>f</w:t>
      </w:r>
      <w:r w:rsidR="00130C28" w:rsidRPr="0045556F">
        <w:t>unds allocated by t</w:t>
      </w:r>
      <w:r w:rsidR="00340EBB" w:rsidRPr="0045556F">
        <w:t>he General Assembly to ‘O</w:t>
      </w:r>
      <w:r w:rsidR="00130C28" w:rsidRPr="0045556F">
        <w:t xml:space="preserve">ther functions of the Committee’ are crucial </w:t>
      </w:r>
      <w:r w:rsidR="002E646E" w:rsidRPr="00B973F3">
        <w:t>for</w:t>
      </w:r>
      <w:r w:rsidR="002E646E" w:rsidRPr="0045556F">
        <w:t xml:space="preserve"> </w:t>
      </w:r>
      <w:r w:rsidR="00130C28" w:rsidRPr="0045556F">
        <w:t>allow</w:t>
      </w:r>
      <w:r w:rsidR="002E646E">
        <w:t>ing</w:t>
      </w:r>
      <w:r w:rsidR="00130C28" w:rsidRPr="0045556F">
        <w:t xml:space="preserve"> the Committee to effectively exercise its mandate beyond the strict conduct of its sessions and the examination of fi</w:t>
      </w:r>
      <w:r w:rsidR="00EF54C6">
        <w:t>les submitted by States Parties</w:t>
      </w:r>
      <w:r w:rsidR="00130C28" w:rsidRPr="0045556F">
        <w:t xml:space="preserve"> and decisions thereon. </w:t>
      </w:r>
      <w:r>
        <w:t>In summary</w:t>
      </w:r>
      <w:r w:rsidR="00130C28" w:rsidRPr="0045556F">
        <w:t xml:space="preserve">, funds allocated to this budget during the 2016-2017 biennium continued </w:t>
      </w:r>
      <w:r w:rsidR="002E646E" w:rsidRPr="00B973F3">
        <w:t xml:space="preserve">to </w:t>
      </w:r>
      <w:r w:rsidRPr="00B973F3">
        <w:t xml:space="preserve">ensure </w:t>
      </w:r>
      <w:r>
        <w:t>a</w:t>
      </w:r>
      <w:r w:rsidRPr="0045556F">
        <w:t xml:space="preserve"> steady improvement in the </w:t>
      </w:r>
      <w:r w:rsidRPr="007656F8">
        <w:rPr>
          <w:b/>
        </w:rPr>
        <w:t>management of knowledge and information</w:t>
      </w:r>
      <w:r w:rsidRPr="00B973F3">
        <w:t xml:space="preserve"> </w:t>
      </w:r>
      <w:r>
        <w:t xml:space="preserve">(Expected Result 1) and to </w:t>
      </w:r>
      <w:r w:rsidR="002E646E" w:rsidRPr="00B973F3">
        <w:t xml:space="preserve">provide </w:t>
      </w:r>
      <w:r w:rsidR="00130C28" w:rsidRPr="00B973F3">
        <w:t xml:space="preserve">essential support for a number of cross-cutting needs of the </w:t>
      </w:r>
      <w:r w:rsidR="00130C28" w:rsidRPr="007656F8">
        <w:rPr>
          <w:b/>
        </w:rPr>
        <w:t>capacity-building programme</w:t>
      </w:r>
      <w:r w:rsidR="002C026A" w:rsidRPr="00B973F3">
        <w:t xml:space="preserve"> </w:t>
      </w:r>
      <w:r>
        <w:t>(Expected Result 2)</w:t>
      </w:r>
      <w:r w:rsidR="002C026A" w:rsidRPr="0045556F">
        <w:t xml:space="preserve">. </w:t>
      </w:r>
      <w:r>
        <w:t xml:space="preserve">Furthermore and </w:t>
      </w:r>
      <w:r w:rsidRPr="0045556F">
        <w:t>following the ne</w:t>
      </w:r>
      <w:r>
        <w:t>ed</w:t>
      </w:r>
      <w:r w:rsidRPr="0045556F">
        <w:t xml:space="preserve"> to enhance the monitoring process for the implementation of the Convention, funds were </w:t>
      </w:r>
      <w:r>
        <w:t>dedicated</w:t>
      </w:r>
      <w:r w:rsidRPr="0045556F">
        <w:t xml:space="preserve"> to this purpose, supporting the </w:t>
      </w:r>
      <w:r>
        <w:t>development</w:t>
      </w:r>
      <w:r w:rsidRPr="0045556F">
        <w:t xml:space="preserve"> of an </w:t>
      </w:r>
      <w:r w:rsidRPr="007656F8">
        <w:rPr>
          <w:b/>
        </w:rPr>
        <w:t>overall results framework</w:t>
      </w:r>
      <w:r>
        <w:t xml:space="preserve"> for the Convention (Expected Result 3)</w:t>
      </w:r>
      <w:r w:rsidRPr="0045556F">
        <w:t>.</w:t>
      </w:r>
      <w:r w:rsidRPr="006D6A82">
        <w:t xml:space="preserve"> </w:t>
      </w:r>
      <w:r>
        <w:t xml:space="preserve">Finally, </w:t>
      </w:r>
      <w:r w:rsidR="002B1603">
        <w:t xml:space="preserve">the Secretariat was able to initiate </w:t>
      </w:r>
      <w:r w:rsidR="002B1603" w:rsidRPr="007656F8">
        <w:rPr>
          <w:b/>
        </w:rPr>
        <w:t xml:space="preserve">outreach and communication </w:t>
      </w:r>
      <w:r w:rsidR="002B1603" w:rsidRPr="007656F8">
        <w:t xml:space="preserve">related </w:t>
      </w:r>
      <w:r w:rsidR="002B1603" w:rsidRPr="002B1603">
        <w:t>actions</w:t>
      </w:r>
      <w:r w:rsidR="002B1603">
        <w:t xml:space="preserve"> with a view to enhance the understanding and visibility of the Convention </w:t>
      </w:r>
      <w:r>
        <w:t xml:space="preserve">(Expected Result 4). </w:t>
      </w:r>
      <w:r w:rsidR="006D6A82">
        <w:t xml:space="preserve">The detailed information on these activities </w:t>
      </w:r>
      <w:r w:rsidR="002244C9">
        <w:t xml:space="preserve">undertaken by the Secretariat under each of the Expected Results </w:t>
      </w:r>
      <w:r w:rsidR="001F0ABB">
        <w:t>is given</w:t>
      </w:r>
      <w:r w:rsidR="006D6A82">
        <w:t xml:space="preserve"> in the working document ‘Report</w:t>
      </w:r>
      <w:r w:rsidR="000B03CE">
        <w:t xml:space="preserve"> </w:t>
      </w:r>
      <w:r w:rsidR="006D6A82">
        <w:t>of the Secretariat</w:t>
      </w:r>
      <w:r w:rsidR="000B03CE">
        <w:t xml:space="preserve"> on its activities</w:t>
      </w:r>
      <w:r w:rsidR="006D6A82">
        <w:t>’ submitted to the seventh session of the General Assembly (</w:t>
      </w:r>
      <w:hyperlink r:id="rId11" w:history="1">
        <w:r w:rsidR="006D6A82" w:rsidRPr="002F00E9">
          <w:rPr>
            <w:rStyle w:val="Hyperlink"/>
          </w:rPr>
          <w:t>ITH/18/7.GA/7</w:t>
        </w:r>
      </w:hyperlink>
      <w:r w:rsidR="006D6A82">
        <w:t>), which covers the same reporting period.</w:t>
      </w:r>
    </w:p>
    <w:p w14:paraId="67ADAE88" w14:textId="273F1E0E" w:rsidR="00B47893" w:rsidRDefault="00E57F64">
      <w:pPr>
        <w:pStyle w:val="5GAparabodytext"/>
      </w:pPr>
      <w:r>
        <w:t>During the 38 C/5 biennium</w:t>
      </w:r>
      <w:r w:rsidR="00F77345">
        <w:t>,</w:t>
      </w:r>
      <w:r>
        <w:t xml:space="preserve"> </w:t>
      </w:r>
      <w:r w:rsidR="00C3333E">
        <w:t xml:space="preserve">the total expenditure registered under </w:t>
      </w:r>
      <w:r w:rsidR="00AA431A">
        <w:t>‘</w:t>
      </w:r>
      <w:r w:rsidR="00C3333E">
        <w:t xml:space="preserve">Other functions of the </w:t>
      </w:r>
      <w:r w:rsidR="00C3333E" w:rsidRPr="00B973F3">
        <w:rPr>
          <w:rStyle w:val="hps"/>
        </w:rPr>
        <w:t>Committee’</w:t>
      </w:r>
      <w:r w:rsidR="00C3333E">
        <w:t xml:space="preserve"> </w:t>
      </w:r>
      <w:r w:rsidR="00FD01DA">
        <w:t>was</w:t>
      </w:r>
      <w:r w:rsidR="00C3333E">
        <w:t xml:space="preserve"> </w:t>
      </w:r>
      <w:r w:rsidR="00AA431A">
        <w:t>US</w:t>
      </w:r>
      <w:r w:rsidR="00C3333E">
        <w:t xml:space="preserve">$1,476,390,21. This </w:t>
      </w:r>
      <w:r w:rsidR="00000098">
        <w:t>represented</w:t>
      </w:r>
      <w:r w:rsidR="00C3333E">
        <w:t xml:space="preserve"> 92</w:t>
      </w:r>
      <w:r w:rsidR="00AA431A">
        <w:t>.</w:t>
      </w:r>
      <w:r w:rsidR="00C3333E">
        <w:t>8% of the total budget approved for the biennium</w:t>
      </w:r>
      <w:r w:rsidR="00000098">
        <w:t xml:space="preserve"> and an increase of 2</w:t>
      </w:r>
      <w:r w:rsidR="00FD01DA">
        <w:t>.</w:t>
      </w:r>
      <w:r w:rsidR="007656F8">
        <w:t>6</w:t>
      </w:r>
      <w:r w:rsidR="00000098">
        <w:t xml:space="preserve">% </w:t>
      </w:r>
      <w:r w:rsidR="00FD01DA">
        <w:t>compared</w:t>
      </w:r>
      <w:r w:rsidR="00000098">
        <w:t xml:space="preserve"> to the previous exercise, maintaining</w:t>
      </w:r>
      <w:r w:rsidR="00C3333E">
        <w:t xml:space="preserve"> </w:t>
      </w:r>
      <w:r w:rsidR="00000098">
        <w:t>the</w:t>
      </w:r>
      <w:r w:rsidR="00C3333E">
        <w:t xml:space="preserve"> positive trend experienced by this section of the Fund during the past biennia. </w:t>
      </w:r>
      <w:r w:rsidR="00FD01DA">
        <w:t xml:space="preserve">An analysis of </w:t>
      </w:r>
      <w:r w:rsidR="00C3333E">
        <w:t xml:space="preserve">its </w:t>
      </w:r>
      <w:r w:rsidR="005F658A">
        <w:t xml:space="preserve">evolution </w:t>
      </w:r>
      <w:r w:rsidR="00321C2E">
        <w:t xml:space="preserve">during the last </w:t>
      </w:r>
      <w:r w:rsidR="00000098">
        <w:t>four</w:t>
      </w:r>
      <w:r w:rsidR="00321C2E">
        <w:t xml:space="preserve"> exercises (</w:t>
      </w:r>
      <w:r w:rsidR="002F7D7E">
        <w:t>Figure 1</w:t>
      </w:r>
      <w:r w:rsidR="00321C2E">
        <w:t>)</w:t>
      </w:r>
      <w:r w:rsidR="00FD01DA">
        <w:t xml:space="preserve"> reveals </w:t>
      </w:r>
      <w:r w:rsidR="00321C2E">
        <w:t xml:space="preserve">that a continuous increase </w:t>
      </w:r>
      <w:r w:rsidR="00FD01DA">
        <w:t xml:space="preserve">in </w:t>
      </w:r>
      <w:r w:rsidR="00321C2E">
        <w:t xml:space="preserve">the total allocation approved is </w:t>
      </w:r>
      <w:r w:rsidR="002F7D7E">
        <w:t xml:space="preserve">always </w:t>
      </w:r>
      <w:r w:rsidR="00321C2E">
        <w:t>followed by an equivalent increase in the amount of funds implemented</w:t>
      </w:r>
      <w:r w:rsidR="00000098">
        <w:t>. This</w:t>
      </w:r>
      <w:r w:rsidR="00FD01DA">
        <w:t xml:space="preserve"> results in</w:t>
      </w:r>
      <w:r w:rsidR="00321C2E">
        <w:t xml:space="preserve"> a</w:t>
      </w:r>
      <w:r w:rsidR="002F7D7E">
        <w:t xml:space="preserve"> high</w:t>
      </w:r>
      <w:r w:rsidR="00FD01DA">
        <w:t>,</w:t>
      </w:r>
      <w:r w:rsidR="002F7D7E">
        <w:t xml:space="preserve"> </w:t>
      </w:r>
      <w:r w:rsidR="00321C2E">
        <w:t>stable expenditure rate (</w:t>
      </w:r>
      <w:r w:rsidR="00000098">
        <w:t>normally</w:t>
      </w:r>
      <w:r w:rsidR="00321C2E">
        <w:t xml:space="preserve"> </w:t>
      </w:r>
      <w:r w:rsidR="00000098">
        <w:t>above</w:t>
      </w:r>
      <w:r w:rsidR="00321C2E">
        <w:t xml:space="preserve"> 90%)</w:t>
      </w:r>
      <w:r w:rsidR="00000098">
        <w:t xml:space="preserve">, </w:t>
      </w:r>
      <w:r w:rsidR="001A5C77">
        <w:t xml:space="preserve">which could </w:t>
      </w:r>
      <w:r w:rsidR="002F7D7E">
        <w:t xml:space="preserve">reaffirm the importance and usefulness of this </w:t>
      </w:r>
      <w:r w:rsidR="001A5C77">
        <w:t>part</w:t>
      </w:r>
      <w:r w:rsidR="000E58F2">
        <w:t xml:space="preserve"> </w:t>
      </w:r>
      <w:r w:rsidR="002F7D7E">
        <w:t xml:space="preserve">of the Fund for </w:t>
      </w:r>
      <w:r w:rsidR="001A5C77">
        <w:t>the effective</w:t>
      </w:r>
      <w:r w:rsidR="002F7D7E">
        <w:t xml:space="preserve"> </w:t>
      </w:r>
      <w:r w:rsidR="001A5C77">
        <w:t xml:space="preserve">implementation of </w:t>
      </w:r>
      <w:r w:rsidR="002F7D7E">
        <w:t>the 2003 Convention.</w:t>
      </w:r>
    </w:p>
    <w:p w14:paraId="3777724C" w14:textId="7349282E" w:rsidR="002F7D7E" w:rsidRPr="00E57F64" w:rsidRDefault="00000098" w:rsidP="007656F8">
      <w:pPr>
        <w:pStyle w:val="5GAparabodytext"/>
        <w:numPr>
          <w:ilvl w:val="0"/>
          <w:numId w:val="0"/>
        </w:numPr>
        <w:ind w:left="567"/>
      </w:pPr>
      <w:r>
        <w:rPr>
          <w:noProof/>
          <w:lang w:val="fr-FR" w:eastAsia="fr-FR"/>
        </w:rPr>
        <w:lastRenderedPageBreak/>
        <w:drawing>
          <wp:inline distT="0" distB="0" distL="0" distR="0" wp14:anchorId="58977381" wp14:editId="54A6BC12">
            <wp:extent cx="5760000" cy="2743200"/>
            <wp:effectExtent l="0" t="0" r="1270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82E0EF6" w14:textId="07BD760D" w:rsidR="00FE57B6" w:rsidRDefault="00FE57B6" w:rsidP="00C410E4">
      <w:pPr>
        <w:pStyle w:val="Paragraph"/>
        <w:numPr>
          <w:ilvl w:val="0"/>
          <w:numId w:val="0"/>
        </w:numPr>
        <w:spacing w:after="120"/>
        <w:ind w:left="567"/>
        <w:rPr>
          <w:sz w:val="18"/>
          <w:szCs w:val="18"/>
        </w:rPr>
      </w:pPr>
      <w:r w:rsidRPr="0027119A">
        <w:rPr>
          <w:b/>
          <w:sz w:val="18"/>
          <w:szCs w:val="18"/>
        </w:rPr>
        <w:t xml:space="preserve">Figure </w:t>
      </w:r>
      <w:r w:rsidRPr="0027119A">
        <w:rPr>
          <w:b/>
          <w:i/>
          <w:sz w:val="18"/>
          <w:szCs w:val="18"/>
        </w:rPr>
        <w:fldChar w:fldCharType="begin"/>
      </w:r>
      <w:r w:rsidRPr="0027119A">
        <w:rPr>
          <w:b/>
          <w:sz w:val="18"/>
          <w:szCs w:val="18"/>
        </w:rPr>
        <w:instrText xml:space="preserve"> SEQ Figure \* ARABIC </w:instrText>
      </w:r>
      <w:r w:rsidRPr="0027119A">
        <w:rPr>
          <w:b/>
          <w:i/>
          <w:sz w:val="18"/>
          <w:szCs w:val="18"/>
        </w:rPr>
        <w:fldChar w:fldCharType="separate"/>
      </w:r>
      <w:r w:rsidR="0006578F">
        <w:rPr>
          <w:b/>
          <w:noProof/>
          <w:sz w:val="18"/>
          <w:szCs w:val="18"/>
        </w:rPr>
        <w:t>1</w:t>
      </w:r>
      <w:r w:rsidRPr="0027119A">
        <w:rPr>
          <w:b/>
          <w:i/>
          <w:sz w:val="18"/>
          <w:szCs w:val="18"/>
        </w:rPr>
        <w:fldChar w:fldCharType="end"/>
      </w:r>
      <w:r w:rsidRPr="0027119A">
        <w:rPr>
          <w:sz w:val="18"/>
          <w:szCs w:val="18"/>
        </w:rPr>
        <w:t xml:space="preserve">: </w:t>
      </w:r>
      <w:r w:rsidRPr="00243077">
        <w:rPr>
          <w:sz w:val="18"/>
          <w:szCs w:val="18"/>
        </w:rPr>
        <w:t xml:space="preserve">Evolution of </w:t>
      </w:r>
      <w:r>
        <w:rPr>
          <w:sz w:val="18"/>
          <w:szCs w:val="18"/>
        </w:rPr>
        <w:t>the implementation of ‘Other functions of the Committee”</w:t>
      </w:r>
      <w:r w:rsidR="00000098">
        <w:rPr>
          <w:sz w:val="18"/>
          <w:szCs w:val="18"/>
        </w:rPr>
        <w:t xml:space="preserve"> during the last four biennia</w:t>
      </w:r>
    </w:p>
    <w:p w14:paraId="2F4C80B7" w14:textId="3DF18B62" w:rsidR="00A74D6C" w:rsidRDefault="00A74D6C" w:rsidP="00826FE8">
      <w:pPr>
        <w:pStyle w:val="Heading4"/>
        <w:ind w:left="567" w:hanging="567"/>
      </w:pPr>
      <w:r w:rsidRPr="001C6031">
        <w:t>Assessment by Expected Result</w:t>
      </w:r>
    </w:p>
    <w:tbl>
      <w:tblPr>
        <w:tblW w:w="4996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3877"/>
        <w:gridCol w:w="1878"/>
      </w:tblGrid>
      <w:tr w:rsidR="00285CCF" w:rsidRPr="001C6031" w14:paraId="7B1620B8" w14:textId="77777777" w:rsidTr="00B973F3">
        <w:tc>
          <w:tcPr>
            <w:tcW w:w="2009" w:type="pct"/>
            <w:shd w:val="clear" w:color="auto" w:fill="C6D9F1"/>
          </w:tcPr>
          <w:p w14:paraId="68168AB9" w14:textId="77777777" w:rsidR="00285CCF" w:rsidRPr="001C6031" w:rsidRDefault="00285CCF" w:rsidP="00473C13">
            <w:pPr>
              <w:keepNext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Allocation</w:t>
            </w:r>
          </w:p>
        </w:tc>
        <w:tc>
          <w:tcPr>
            <w:tcW w:w="2015" w:type="pct"/>
            <w:shd w:val="clear" w:color="auto" w:fill="C6D9F1"/>
          </w:tcPr>
          <w:p w14:paraId="43D4BDAA" w14:textId="77777777" w:rsidR="00285CCF" w:rsidRPr="001C6031" w:rsidRDefault="00285CCF" w:rsidP="00473C13">
            <w:pPr>
              <w:keepNext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Expenditures</w:t>
            </w:r>
          </w:p>
        </w:tc>
        <w:tc>
          <w:tcPr>
            <w:tcW w:w="976" w:type="pct"/>
            <w:shd w:val="clear" w:color="auto" w:fill="C6D9F1"/>
          </w:tcPr>
          <w:p w14:paraId="537CF028" w14:textId="77777777" w:rsidR="00285CCF" w:rsidRPr="001C6031" w:rsidRDefault="00285CCF" w:rsidP="00473C13">
            <w:pPr>
              <w:keepNext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Exp. Rate %</w:t>
            </w:r>
          </w:p>
        </w:tc>
      </w:tr>
      <w:tr w:rsidR="00285CCF" w:rsidRPr="001C6031" w14:paraId="76873211" w14:textId="77777777" w:rsidTr="00B973F3">
        <w:tc>
          <w:tcPr>
            <w:tcW w:w="2009" w:type="pct"/>
            <w:shd w:val="clear" w:color="auto" w:fill="auto"/>
          </w:tcPr>
          <w:p w14:paraId="1AF22C28" w14:textId="3B70D1A9" w:rsidR="00285CCF" w:rsidRPr="001C6031" w:rsidRDefault="0076712C" w:rsidP="00473C13">
            <w:pPr>
              <w:keepNext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1,590,746</w:t>
            </w:r>
            <w:r w:rsidR="00285CCF">
              <w:rPr>
                <w:rStyle w:val="FootnoteReference"/>
                <w:rFonts w:ascii="Arial" w:eastAsia="Calibri" w:hAnsi="Arial" w:cs="Arial"/>
                <w:sz w:val="20"/>
                <w:szCs w:val="20"/>
                <w:lang w:val="en-GB"/>
              </w:rPr>
              <w:footnoteReference w:id="2"/>
            </w:r>
          </w:p>
        </w:tc>
        <w:tc>
          <w:tcPr>
            <w:tcW w:w="2015" w:type="pct"/>
            <w:shd w:val="clear" w:color="auto" w:fill="auto"/>
          </w:tcPr>
          <w:p w14:paraId="5794B101" w14:textId="722808B3" w:rsidR="00285CCF" w:rsidRPr="001C6031" w:rsidRDefault="0076712C" w:rsidP="00473C13">
            <w:pPr>
              <w:keepNext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1,476,390</w:t>
            </w:r>
          </w:p>
        </w:tc>
        <w:tc>
          <w:tcPr>
            <w:tcW w:w="976" w:type="pct"/>
            <w:shd w:val="clear" w:color="auto" w:fill="auto"/>
          </w:tcPr>
          <w:p w14:paraId="7E574F39" w14:textId="056BD5EA" w:rsidR="00285CCF" w:rsidRPr="001C6031" w:rsidRDefault="0076712C" w:rsidP="00473C13">
            <w:pPr>
              <w:keepNext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92.8</w:t>
            </w:r>
            <w:r w:rsidR="00285CCF" w:rsidRPr="001C6031">
              <w:rPr>
                <w:rFonts w:ascii="Arial" w:eastAsia="Calibri" w:hAnsi="Arial" w:cs="Arial"/>
                <w:sz w:val="20"/>
                <w:szCs w:val="20"/>
                <w:lang w:val="en-GB"/>
              </w:rPr>
              <w:t>%</w:t>
            </w:r>
          </w:p>
        </w:tc>
      </w:tr>
    </w:tbl>
    <w:p w14:paraId="25F2ACAF" w14:textId="37296DE0" w:rsidR="0076712C" w:rsidRDefault="00A74D6C" w:rsidP="0076712C">
      <w:pPr>
        <w:keepNext/>
        <w:spacing w:before="240" w:after="120"/>
        <w:ind w:left="851" w:hanging="851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1C6031">
        <w:rPr>
          <w:rFonts w:ascii="Arial" w:hAnsi="Arial" w:cs="Arial"/>
          <w:b/>
          <w:sz w:val="22"/>
          <w:szCs w:val="22"/>
          <w:lang w:val="en-GB"/>
        </w:rPr>
        <w:t>ER 1:</w:t>
      </w:r>
      <w:r w:rsidRPr="001C6031">
        <w:rPr>
          <w:rFonts w:ascii="Arial" w:hAnsi="Arial" w:cs="Arial"/>
          <w:b/>
          <w:sz w:val="22"/>
          <w:szCs w:val="22"/>
          <w:lang w:val="en-GB"/>
        </w:rPr>
        <w:tab/>
      </w:r>
      <w:r w:rsidR="0076712C" w:rsidRPr="00696A00">
        <w:rPr>
          <w:rFonts w:ascii="Arial" w:hAnsi="Arial" w:cs="Arial"/>
          <w:b/>
          <w:bCs/>
          <w:sz w:val="22"/>
          <w:szCs w:val="22"/>
          <w:lang w:val="en-GB"/>
        </w:rPr>
        <w:t>Sound governance of the 2003 Convention facilitated by enhanced knowledge management services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3876"/>
        <w:gridCol w:w="1877"/>
      </w:tblGrid>
      <w:tr w:rsidR="00A74D6C" w:rsidRPr="001C6031" w14:paraId="48A6B705" w14:textId="77777777" w:rsidTr="00B973F3">
        <w:tc>
          <w:tcPr>
            <w:tcW w:w="2012" w:type="pct"/>
            <w:shd w:val="clear" w:color="auto" w:fill="C6D9F1"/>
          </w:tcPr>
          <w:p w14:paraId="0ECEFF10" w14:textId="77777777" w:rsidR="00A74D6C" w:rsidRPr="001C6031" w:rsidRDefault="00A74D6C" w:rsidP="00C02163">
            <w:pPr>
              <w:keepNext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Allocation</w:t>
            </w:r>
          </w:p>
        </w:tc>
        <w:tc>
          <w:tcPr>
            <w:tcW w:w="2013" w:type="pct"/>
            <w:shd w:val="clear" w:color="auto" w:fill="C6D9F1"/>
          </w:tcPr>
          <w:p w14:paraId="361BB984" w14:textId="77777777" w:rsidR="00A74D6C" w:rsidRPr="001C6031" w:rsidRDefault="00A74D6C" w:rsidP="005F7CB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Expenditures</w:t>
            </w:r>
          </w:p>
        </w:tc>
        <w:tc>
          <w:tcPr>
            <w:tcW w:w="975" w:type="pct"/>
            <w:shd w:val="clear" w:color="auto" w:fill="C6D9F1"/>
          </w:tcPr>
          <w:p w14:paraId="60A8D957" w14:textId="77777777" w:rsidR="00A74D6C" w:rsidRPr="001C6031" w:rsidRDefault="00A74D6C" w:rsidP="005F7CB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Exp. Rate %</w:t>
            </w:r>
          </w:p>
        </w:tc>
      </w:tr>
      <w:tr w:rsidR="00A74D6C" w:rsidRPr="001C6031" w14:paraId="7DF6C5C1" w14:textId="77777777" w:rsidTr="00B973F3">
        <w:tc>
          <w:tcPr>
            <w:tcW w:w="2012" w:type="pct"/>
            <w:shd w:val="clear" w:color="auto" w:fill="auto"/>
          </w:tcPr>
          <w:p w14:paraId="3EC8218B" w14:textId="04E29FBC" w:rsidR="00A74D6C" w:rsidRPr="001C6031" w:rsidRDefault="0076712C" w:rsidP="00212493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386,900</w:t>
            </w:r>
          </w:p>
        </w:tc>
        <w:tc>
          <w:tcPr>
            <w:tcW w:w="2013" w:type="pct"/>
            <w:shd w:val="clear" w:color="auto" w:fill="auto"/>
          </w:tcPr>
          <w:p w14:paraId="1EBBAC76" w14:textId="0516A792" w:rsidR="00A74D6C" w:rsidRPr="001C6031" w:rsidRDefault="0076712C" w:rsidP="005F7CB2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384,30</w:t>
            </w:r>
            <w:r w:rsidR="007656F8">
              <w:rPr>
                <w:rFonts w:ascii="Arial" w:eastAsia="Calibri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975" w:type="pct"/>
            <w:shd w:val="clear" w:color="auto" w:fill="auto"/>
          </w:tcPr>
          <w:p w14:paraId="20D3F1FA" w14:textId="08FCA2C5" w:rsidR="00A74D6C" w:rsidRPr="001C6031" w:rsidRDefault="0076712C" w:rsidP="005F7CB2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99.3</w:t>
            </w:r>
            <w:r w:rsidR="00A74D6C" w:rsidRPr="001C6031">
              <w:rPr>
                <w:rFonts w:ascii="Arial" w:eastAsia="Calibri" w:hAnsi="Arial" w:cs="Arial"/>
                <w:sz w:val="20"/>
                <w:szCs w:val="20"/>
                <w:lang w:val="en-GB"/>
              </w:rPr>
              <w:t>%</w:t>
            </w:r>
          </w:p>
        </w:tc>
      </w:tr>
    </w:tbl>
    <w:p w14:paraId="7F0D7751" w14:textId="77777777" w:rsidR="00A74D6C" w:rsidRPr="00B973F3" w:rsidRDefault="00A74D6C" w:rsidP="00B973F3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3930"/>
        <w:gridCol w:w="1757"/>
      </w:tblGrid>
      <w:tr w:rsidR="00C2282C" w:rsidRPr="001C6031" w14:paraId="578B2FB9" w14:textId="52FF82AB" w:rsidTr="007656F8">
        <w:trPr>
          <w:tblHeader/>
          <w:jc w:val="center"/>
        </w:trPr>
        <w:tc>
          <w:tcPr>
            <w:tcW w:w="3948" w:type="dxa"/>
            <w:shd w:val="clear" w:color="auto" w:fill="D9D9D9" w:themeFill="background1" w:themeFillShade="D9"/>
            <w:vAlign w:val="center"/>
          </w:tcPr>
          <w:p w14:paraId="42A76885" w14:textId="77777777" w:rsidR="00C2282C" w:rsidRPr="001C6031" w:rsidRDefault="00C2282C" w:rsidP="005F7CB2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Output (O)</w:t>
            </w: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br/>
              <w:t>Indicators/Benchmark (B)</w:t>
            </w:r>
          </w:p>
        </w:tc>
        <w:tc>
          <w:tcPr>
            <w:tcW w:w="3940" w:type="dxa"/>
            <w:shd w:val="clear" w:color="auto" w:fill="D9D9D9" w:themeFill="background1" w:themeFillShade="D9"/>
            <w:vAlign w:val="center"/>
          </w:tcPr>
          <w:p w14:paraId="2B61872A" w14:textId="7AED07E1" w:rsidR="00C2282C" w:rsidRPr="001C6031" w:rsidRDefault="00C2282C" w:rsidP="005F7CB2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As</w:t>
            </w:r>
            <w:r w:rsidR="00E657AF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sessment of progress:</w:t>
            </w:r>
            <w:r w:rsidR="00E657AF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br/>
              <w:t>01/01/2016 to 31/12/2017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2F44C006" w14:textId="5FA2E794" w:rsidR="00C2282C" w:rsidRPr="001C6031" w:rsidRDefault="00C2282C" w:rsidP="005F7CB2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Assessment of implementation</w:t>
            </w:r>
          </w:p>
        </w:tc>
      </w:tr>
      <w:tr w:rsidR="00C2282C" w:rsidRPr="008C6B02" w14:paraId="511449EA" w14:textId="7B878137" w:rsidTr="007656F8">
        <w:trPr>
          <w:jc w:val="center"/>
        </w:trPr>
        <w:tc>
          <w:tcPr>
            <w:tcW w:w="3948" w:type="dxa"/>
            <w:shd w:val="clear" w:color="auto" w:fill="auto"/>
          </w:tcPr>
          <w:p w14:paraId="11B2A167" w14:textId="5E4A59C4" w:rsidR="00C2282C" w:rsidRPr="001C6031" w:rsidRDefault="00C2282C" w:rsidP="005F7CB2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O:</w:t>
            </w:r>
          </w:p>
          <w:p w14:paraId="3A0A8734" w14:textId="0A540DCB" w:rsidR="001D1004" w:rsidRPr="001D1004" w:rsidRDefault="001D1004" w:rsidP="00B973F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1D1004">
              <w:rPr>
                <w:rFonts w:ascii="Arial" w:eastAsia="Calibri" w:hAnsi="Arial" w:cs="Arial"/>
                <w:sz w:val="20"/>
                <w:szCs w:val="20"/>
                <w:lang w:val="en-GB"/>
              </w:rPr>
              <w:t>External and internal access to information increased and processes, workflows and response time optimized thanks to monitoring interfaces</w:t>
            </w:r>
          </w:p>
          <w:p w14:paraId="09962314" w14:textId="22FD3713" w:rsidR="00C2282C" w:rsidRPr="001C6031" w:rsidRDefault="00C2282C" w:rsidP="005F7C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 </w:t>
            </w:r>
            <w:r w:rsidR="001D1004">
              <w:rPr>
                <w:rFonts w:ascii="Arial" w:hAnsi="Arial" w:cs="Arial"/>
                <w:b/>
                <w:sz w:val="20"/>
                <w:szCs w:val="20"/>
                <w:lang w:val="en-GB"/>
              </w:rPr>
              <w:t>2016-2017</w:t>
            </w: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5FCC6D43" w14:textId="55A1CD48" w:rsidR="00C2282C" w:rsidRPr="00DC1529" w:rsidRDefault="00DC1529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1529">
              <w:rPr>
                <w:rFonts w:ascii="Arial" w:eastAsia="Calibri" w:hAnsi="Arial" w:cs="Arial"/>
                <w:sz w:val="20"/>
                <w:szCs w:val="20"/>
                <w:lang w:val="en-GB"/>
              </w:rPr>
              <w:t>3</w:t>
            </w:r>
            <w:r w:rsidR="00C2282C" w:rsidRPr="00DC1529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="00712F43" w:rsidRPr="00DC1529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new </w:t>
            </w:r>
            <w:r w:rsidR="001D1004" w:rsidRPr="00DC1529">
              <w:rPr>
                <w:rFonts w:ascii="Arial" w:eastAsia="Calibri" w:hAnsi="Arial" w:cs="Arial"/>
                <w:sz w:val="20"/>
                <w:szCs w:val="20"/>
                <w:lang w:val="en-GB"/>
              </w:rPr>
              <w:t>monitoring interfaces</w:t>
            </w:r>
          </w:p>
        </w:tc>
        <w:tc>
          <w:tcPr>
            <w:tcW w:w="3940" w:type="dxa"/>
            <w:shd w:val="clear" w:color="auto" w:fill="auto"/>
          </w:tcPr>
          <w:p w14:paraId="0D8DC892" w14:textId="2E3474A3" w:rsidR="00E657AF" w:rsidRDefault="008C6B02" w:rsidP="00B973F3">
            <w:pPr>
              <w:pStyle w:val="ListParagraph"/>
              <w:numPr>
                <w:ilvl w:val="0"/>
                <w:numId w:val="37"/>
              </w:numPr>
              <w:spacing w:before="360" w:after="60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Public interface displaying deadlines and status of periodic reports, country by country, and element by element</w:t>
            </w:r>
          </w:p>
          <w:p w14:paraId="73F703D1" w14:textId="3B4D2743" w:rsidR="008C6B02" w:rsidRDefault="008C6B02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Internal dashboard for regional officers synthetizing all statutory and project</w:t>
            </w:r>
            <w:r w:rsidR="00FD01DA">
              <w:rPr>
                <w:rFonts w:ascii="Arial" w:eastAsia="Calibri" w:hAnsi="Arial" w:cs="Arial"/>
                <w:sz w:val="20"/>
                <w:szCs w:val="20"/>
                <w:lang w:val="en-GB"/>
              </w:rPr>
              <w:t>-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related tasks</w:t>
            </w:r>
          </w:p>
          <w:p w14:paraId="4088899E" w14:textId="74B83F1B" w:rsidR="00630B09" w:rsidRPr="00B973F3" w:rsidRDefault="008C6B02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Accredited NGO display of renewal dates and activity reports</w:t>
            </w:r>
            <w:r w:rsidR="00A2529F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submitted</w:t>
            </w:r>
            <w:r w:rsidR="00A6475B">
              <w:rPr>
                <w:rFonts w:ascii="Arial" w:eastAsia="Calibri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757" w:type="dxa"/>
          </w:tcPr>
          <w:p w14:paraId="18750F6C" w14:textId="7D3F0A49" w:rsidR="008C6B02" w:rsidRPr="00630B09" w:rsidRDefault="008C6B02" w:rsidP="00B973F3">
            <w:pPr>
              <w:spacing w:before="360" w:after="60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630B09">
              <w:rPr>
                <w:rFonts w:ascii="Arial" w:eastAsia="Calibri" w:hAnsi="Arial" w:cs="Arial"/>
                <w:sz w:val="20"/>
                <w:szCs w:val="20"/>
                <w:lang w:val="en-GB"/>
              </w:rPr>
              <w:t>Accomplished</w:t>
            </w:r>
          </w:p>
        </w:tc>
      </w:tr>
      <w:tr w:rsidR="00C2282C" w:rsidRPr="008C6B02" w14:paraId="64EDC56A" w14:textId="5DDD6033" w:rsidTr="007656F8">
        <w:trPr>
          <w:jc w:val="center"/>
        </w:trPr>
        <w:tc>
          <w:tcPr>
            <w:tcW w:w="3948" w:type="dxa"/>
            <w:shd w:val="clear" w:color="auto" w:fill="auto"/>
          </w:tcPr>
          <w:p w14:paraId="126475D8" w14:textId="1B03DA6E" w:rsidR="00C2282C" w:rsidRPr="001C6031" w:rsidRDefault="00C2282C" w:rsidP="005F7CB2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O:</w:t>
            </w:r>
          </w:p>
          <w:p w14:paraId="37637265" w14:textId="5B59F05C" w:rsidR="001D1004" w:rsidRPr="001D1004" w:rsidRDefault="001D1004" w:rsidP="00B973F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1D1004">
              <w:rPr>
                <w:rFonts w:ascii="Arial" w:eastAsia="Calibri" w:hAnsi="Arial" w:cs="Arial"/>
                <w:sz w:val="20"/>
                <w:szCs w:val="20"/>
                <w:lang w:val="en-GB"/>
              </w:rPr>
              <w:t>Improved accessibility and usability of Convention documents and decisions; better indexing and improved search capacities</w:t>
            </w:r>
          </w:p>
          <w:p w14:paraId="07AEE1DB" w14:textId="77777777" w:rsidR="001D1004" w:rsidRPr="001C6031" w:rsidRDefault="001D1004" w:rsidP="001D100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2016-2017</w:t>
            </w: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7792A6DD" w14:textId="2466D583" w:rsidR="00DC1529" w:rsidRDefault="001D1004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8 additional decision documents uploaded </w:t>
            </w:r>
            <w:r w:rsidR="00A2529F">
              <w:rPr>
                <w:rFonts w:ascii="Arial" w:eastAsia="Calibri" w:hAnsi="Arial" w:cs="Arial"/>
                <w:sz w:val="20"/>
                <w:szCs w:val="20"/>
                <w:lang w:val="en-GB"/>
              </w:rPr>
              <w:t>onto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UNESDOC </w:t>
            </w:r>
          </w:p>
          <w:p w14:paraId="0D390310" w14:textId="067ADD80" w:rsidR="00C2282C" w:rsidRPr="001C6031" w:rsidRDefault="001D1004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lastRenderedPageBreak/>
              <w:t>70 additional decisions/resolutions referenced in the KMS</w:t>
            </w:r>
            <w:r w:rsidR="00D5473B">
              <w:rPr>
                <w:rFonts w:ascii="Arial" w:eastAsia="Calibri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3940" w:type="dxa"/>
            <w:shd w:val="clear" w:color="auto" w:fill="auto"/>
          </w:tcPr>
          <w:p w14:paraId="434E5C8C" w14:textId="2EC64C33" w:rsidR="00C2282C" w:rsidRDefault="008C6B02" w:rsidP="00B973F3">
            <w:pPr>
              <w:pStyle w:val="ListParagraph"/>
              <w:numPr>
                <w:ilvl w:val="0"/>
                <w:numId w:val="37"/>
              </w:numPr>
              <w:spacing w:before="360" w:after="60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lastRenderedPageBreak/>
              <w:t>78 decisions and resolutions individually referenced in the KMS</w:t>
            </w:r>
          </w:p>
          <w:p w14:paraId="69601CAF" w14:textId="086619FF" w:rsidR="00AF1187" w:rsidRDefault="00AF1187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470 elements, 147 accredited NGOs and 40 projects indexed against </w:t>
            </w:r>
            <w:r w:rsidR="00FD01DA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UNESCO Thesaurus to filter them against content-related criteria</w:t>
            </w:r>
          </w:p>
          <w:p w14:paraId="5F373B60" w14:textId="39E77299" w:rsidR="00630B09" w:rsidRPr="00B973F3" w:rsidRDefault="00FD01DA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lastRenderedPageBreak/>
              <w:t>L</w:t>
            </w:r>
            <w:r w:rsidR="008C6B02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oading of documents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onto </w:t>
            </w:r>
            <w:r w:rsidR="008C6B02">
              <w:rPr>
                <w:rFonts w:ascii="Arial" w:eastAsia="Calibri" w:hAnsi="Arial" w:cs="Arial"/>
                <w:sz w:val="20"/>
                <w:szCs w:val="20"/>
                <w:lang w:val="en-GB"/>
              </w:rPr>
              <w:t>UNESDOC temporarily suspended, as this UNESCO-wide system is to be renovated shortly</w:t>
            </w:r>
            <w:r w:rsidR="00E05F2F">
              <w:rPr>
                <w:rFonts w:ascii="Arial" w:eastAsia="Calibri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757" w:type="dxa"/>
            <w:shd w:val="clear" w:color="auto" w:fill="auto"/>
          </w:tcPr>
          <w:p w14:paraId="10C066B0" w14:textId="26A63AA8" w:rsidR="00C2282C" w:rsidRPr="001C6031" w:rsidRDefault="00573AE2" w:rsidP="00B973F3">
            <w:pPr>
              <w:spacing w:before="360" w:after="60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lastRenderedPageBreak/>
              <w:t>Partly</w:t>
            </w:r>
            <w:r w:rsidR="00FF738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="00B0545E">
              <w:rPr>
                <w:rFonts w:ascii="Arial" w:eastAsia="Calibri" w:hAnsi="Arial" w:cs="Arial"/>
                <w:sz w:val="20"/>
                <w:szCs w:val="20"/>
                <w:lang w:val="en-GB"/>
              </w:rPr>
              <w:t>a</w:t>
            </w:r>
            <w:r w:rsidR="008C6B02">
              <w:rPr>
                <w:rFonts w:ascii="Arial" w:eastAsia="Calibri" w:hAnsi="Arial" w:cs="Arial"/>
                <w:sz w:val="20"/>
                <w:szCs w:val="20"/>
                <w:lang w:val="en-GB"/>
              </w:rPr>
              <w:t>ccomplished</w:t>
            </w:r>
          </w:p>
        </w:tc>
      </w:tr>
      <w:tr w:rsidR="00C2282C" w:rsidRPr="008C6B02" w14:paraId="03B45BFE" w14:textId="40301F77" w:rsidTr="007656F8">
        <w:trPr>
          <w:jc w:val="center"/>
        </w:trPr>
        <w:tc>
          <w:tcPr>
            <w:tcW w:w="3948" w:type="dxa"/>
            <w:shd w:val="clear" w:color="auto" w:fill="auto"/>
          </w:tcPr>
          <w:p w14:paraId="10BB50CC" w14:textId="5F5F2455" w:rsidR="00C2282C" w:rsidRPr="001C6031" w:rsidRDefault="00C2282C" w:rsidP="005F7CB2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O:</w:t>
            </w:r>
          </w:p>
          <w:p w14:paraId="685427CD" w14:textId="77777777" w:rsidR="00E657AF" w:rsidRPr="00E657AF" w:rsidRDefault="00E657AF" w:rsidP="00B973F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657AF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New online functionalities for external stakeholders </w:t>
            </w:r>
          </w:p>
          <w:p w14:paraId="7C0829F0" w14:textId="77777777" w:rsidR="00E657AF" w:rsidRPr="001C6031" w:rsidRDefault="00E657AF" w:rsidP="00E657A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2016-2017</w:t>
            </w: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0254AFBF" w14:textId="32902EB9" w:rsidR="00C2282C" w:rsidRPr="00DC1529" w:rsidRDefault="00E657AF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1529">
              <w:rPr>
                <w:rFonts w:ascii="Arial" w:eastAsia="Calibri" w:hAnsi="Arial" w:cs="Arial"/>
                <w:sz w:val="20"/>
                <w:szCs w:val="20"/>
                <w:lang w:val="en-GB"/>
              </w:rPr>
              <w:t>3 new online processe</w:t>
            </w:r>
            <w:r w:rsidR="00712F43" w:rsidRPr="00DC1529">
              <w:rPr>
                <w:rFonts w:ascii="Arial" w:eastAsia="Calibri" w:hAnsi="Arial" w:cs="Arial"/>
                <w:sz w:val="20"/>
                <w:szCs w:val="20"/>
                <w:lang w:val="en-GB"/>
              </w:rPr>
              <w:t>s</w:t>
            </w:r>
            <w:r w:rsidR="00D5473B">
              <w:rPr>
                <w:rFonts w:ascii="Arial" w:eastAsia="Calibri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3940" w:type="dxa"/>
            <w:shd w:val="clear" w:color="auto" w:fill="auto"/>
          </w:tcPr>
          <w:p w14:paraId="4ACB25AC" w14:textId="5224F880" w:rsidR="008C6B02" w:rsidRDefault="008C6B02" w:rsidP="00B973F3">
            <w:pPr>
              <w:pStyle w:val="ListParagraph"/>
              <w:numPr>
                <w:ilvl w:val="0"/>
                <w:numId w:val="37"/>
              </w:numPr>
              <w:spacing w:before="360" w:after="60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External stakeholders can create an individual account on the KMS and update their data</w:t>
            </w:r>
          </w:p>
          <w:p w14:paraId="723048B3" w14:textId="4F5A986F" w:rsidR="008C6B02" w:rsidRDefault="008C6B02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Connected external users can report issues</w:t>
            </w:r>
            <w:r w:rsidR="00FD01DA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concerning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data provided on the website</w:t>
            </w:r>
          </w:p>
          <w:p w14:paraId="05E6D635" w14:textId="6196C638" w:rsidR="00630B09" w:rsidRPr="00B973F3" w:rsidRDefault="008C6B02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Automated online request form to allow external users to access CAP materials</w:t>
            </w:r>
            <w:r w:rsidR="00E05F2F">
              <w:rPr>
                <w:rFonts w:ascii="Arial" w:eastAsia="Calibri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757" w:type="dxa"/>
          </w:tcPr>
          <w:p w14:paraId="1133F48C" w14:textId="7FF5642B" w:rsidR="00C2282C" w:rsidRPr="001C6031" w:rsidRDefault="008C6B02" w:rsidP="00B973F3">
            <w:pPr>
              <w:spacing w:before="360" w:after="60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Accomplished</w:t>
            </w:r>
          </w:p>
        </w:tc>
      </w:tr>
      <w:tr w:rsidR="00C2282C" w:rsidRPr="008C6B02" w14:paraId="1C83238D" w14:textId="113949F2" w:rsidTr="007656F8">
        <w:trPr>
          <w:jc w:val="center"/>
        </w:trPr>
        <w:tc>
          <w:tcPr>
            <w:tcW w:w="3948" w:type="dxa"/>
            <w:shd w:val="clear" w:color="auto" w:fill="auto"/>
          </w:tcPr>
          <w:p w14:paraId="3939D43D" w14:textId="703F41C2" w:rsidR="00C2282C" w:rsidRPr="001C6031" w:rsidRDefault="00C2282C" w:rsidP="00C421B8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O:</w:t>
            </w:r>
          </w:p>
          <w:p w14:paraId="68E83901" w14:textId="77777777" w:rsidR="00E657AF" w:rsidRPr="00E657AF" w:rsidRDefault="00E657AF" w:rsidP="00B973F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657AF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Convention website enhanced with improved navigation and ergonomics, search engine optimization and additional multilingual web content </w:t>
            </w:r>
          </w:p>
          <w:p w14:paraId="1AC7DE55" w14:textId="77777777" w:rsidR="00E657AF" w:rsidRPr="001C6031" w:rsidRDefault="00E657AF" w:rsidP="00E657A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2016-2017</w:t>
            </w: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5F362622" w14:textId="0C551171" w:rsidR="00DC1529" w:rsidRPr="00DC1529" w:rsidRDefault="006E7A23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1529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4,500,000 </w:t>
            </w:r>
            <w:r w:rsidR="008C6B02">
              <w:rPr>
                <w:rFonts w:ascii="Arial" w:eastAsia="Calibri" w:hAnsi="Arial" w:cs="Arial"/>
                <w:sz w:val="20"/>
                <w:szCs w:val="20"/>
                <w:lang w:val="en-GB"/>
              </w:rPr>
              <w:t>page views</w:t>
            </w:r>
            <w:r w:rsidR="008C6B02" w:rsidRPr="00DC1529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="00FD01DA">
              <w:rPr>
                <w:rFonts w:ascii="Arial" w:eastAsia="Calibri" w:hAnsi="Arial" w:cs="Arial"/>
                <w:sz w:val="20"/>
                <w:szCs w:val="20"/>
                <w:lang w:val="en-GB"/>
              </w:rPr>
              <w:t>on</w:t>
            </w:r>
            <w:r w:rsidR="00FD01DA" w:rsidRPr="00DC1529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Pr="00DC1529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the 2003 </w:t>
            </w:r>
            <w:r w:rsidR="00A6475B">
              <w:rPr>
                <w:rFonts w:ascii="Arial" w:eastAsia="Calibri" w:hAnsi="Arial" w:cs="Arial"/>
                <w:sz w:val="20"/>
                <w:szCs w:val="20"/>
                <w:lang w:val="en-GB"/>
              </w:rPr>
              <w:t>C</w:t>
            </w:r>
            <w:r w:rsidRPr="00DC1529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onvention </w:t>
            </w:r>
            <w:r w:rsidR="00DC1529" w:rsidRPr="00DC1529">
              <w:rPr>
                <w:rFonts w:ascii="Arial" w:eastAsia="Calibri" w:hAnsi="Arial" w:cs="Arial"/>
                <w:sz w:val="20"/>
                <w:szCs w:val="20"/>
                <w:lang w:val="en-GB"/>
              </w:rPr>
              <w:t>webpage</w:t>
            </w:r>
          </w:p>
          <w:p w14:paraId="7847EB55" w14:textId="368ACAA8" w:rsidR="00DC1529" w:rsidRPr="00DC1529" w:rsidRDefault="006E7A23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1529">
              <w:rPr>
                <w:rFonts w:ascii="Arial" w:eastAsia="Calibri" w:hAnsi="Arial" w:cs="Arial"/>
                <w:sz w:val="20"/>
                <w:szCs w:val="20"/>
                <w:lang w:val="en-GB"/>
              </w:rPr>
              <w:t>200 new web pages published in English, French and Spanish</w:t>
            </w:r>
          </w:p>
          <w:p w14:paraId="46C16F5D" w14:textId="1CE045FB" w:rsidR="00C702DA" w:rsidRPr="00C410E4" w:rsidRDefault="00FD01DA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W</w:t>
            </w:r>
            <w:r w:rsidR="006E7A23" w:rsidRPr="00DC1529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ebpage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developed </w:t>
            </w:r>
            <w:r w:rsidR="006E7A23" w:rsidRPr="00DC1529">
              <w:rPr>
                <w:rFonts w:ascii="Arial" w:eastAsia="Calibri" w:hAnsi="Arial" w:cs="Arial"/>
                <w:sz w:val="20"/>
                <w:szCs w:val="20"/>
                <w:lang w:val="en-GB"/>
              </w:rPr>
              <w:t>to provide optimal viewing and interaction from mobile devices.</w:t>
            </w:r>
          </w:p>
        </w:tc>
        <w:tc>
          <w:tcPr>
            <w:tcW w:w="3940" w:type="dxa"/>
            <w:shd w:val="clear" w:color="auto" w:fill="auto"/>
          </w:tcPr>
          <w:p w14:paraId="576FE402" w14:textId="62E9640E" w:rsidR="008C6B02" w:rsidRDefault="008C6B02" w:rsidP="00B973F3">
            <w:pPr>
              <w:pStyle w:val="ListParagraph"/>
              <w:numPr>
                <w:ilvl w:val="0"/>
                <w:numId w:val="37"/>
              </w:numPr>
              <w:spacing w:before="360" w:after="60"/>
              <w:ind w:left="360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7,454,000 page views over the biennium (+60% compared to previous biennium)</w:t>
            </w:r>
          </w:p>
          <w:p w14:paraId="254CC2C0" w14:textId="2EB05DEE" w:rsidR="008C6B02" w:rsidRDefault="008C6B02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Creation of 84 pages related to elements, 91 to news, </w:t>
            </w:r>
            <w:r w:rsidR="00FD01DA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and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74 to workshops and events</w:t>
            </w:r>
          </w:p>
          <w:p w14:paraId="05DA2326" w14:textId="6669CCF0" w:rsidR="008C6B02" w:rsidRPr="00C410E4" w:rsidRDefault="008C6B02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Website fully responsive to smartphones, tablets and large screen</w:t>
            </w:r>
            <w:r w:rsidR="00FD01DA">
              <w:rPr>
                <w:rFonts w:ascii="Arial" w:eastAsia="Calibri" w:hAnsi="Arial" w:cs="Arial"/>
                <w:sz w:val="20"/>
                <w:szCs w:val="20"/>
                <w:lang w:val="en-GB"/>
              </w:rPr>
              <w:t>s</w:t>
            </w:r>
            <w:r w:rsidR="00E05F2F">
              <w:rPr>
                <w:rFonts w:ascii="Arial" w:eastAsia="Calibri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757" w:type="dxa"/>
          </w:tcPr>
          <w:p w14:paraId="5DD68D66" w14:textId="7EF1D412" w:rsidR="008C6B02" w:rsidRPr="00C410E4" w:rsidRDefault="008C6B02" w:rsidP="00B973F3">
            <w:pPr>
              <w:spacing w:before="360" w:after="60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C410E4">
              <w:rPr>
                <w:rFonts w:ascii="Arial" w:eastAsia="Calibri" w:hAnsi="Arial" w:cs="Arial"/>
                <w:sz w:val="20"/>
                <w:szCs w:val="20"/>
                <w:lang w:val="en-GB"/>
              </w:rPr>
              <w:t>Accomplished</w:t>
            </w:r>
          </w:p>
        </w:tc>
      </w:tr>
      <w:tr w:rsidR="00C2282C" w:rsidRPr="00487E82" w14:paraId="3678BAAA" w14:textId="0AFB5CA6" w:rsidTr="007656F8">
        <w:trPr>
          <w:trHeight w:val="2831"/>
          <w:jc w:val="center"/>
        </w:trPr>
        <w:tc>
          <w:tcPr>
            <w:tcW w:w="3948" w:type="dxa"/>
            <w:shd w:val="clear" w:color="auto" w:fill="auto"/>
          </w:tcPr>
          <w:p w14:paraId="6DF79B48" w14:textId="71CC53ED" w:rsidR="00C2282C" w:rsidRPr="001C6031" w:rsidRDefault="00C2282C" w:rsidP="00473C13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O:</w:t>
            </w:r>
          </w:p>
          <w:p w14:paraId="7D776E21" w14:textId="3F103C11" w:rsidR="006E7A23" w:rsidRPr="006E7A23" w:rsidRDefault="006E7A23" w:rsidP="00B973F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6E7A23">
              <w:rPr>
                <w:rFonts w:ascii="Arial" w:eastAsia="Calibri" w:hAnsi="Arial" w:cs="Arial"/>
                <w:sz w:val="20"/>
                <w:szCs w:val="20"/>
                <w:lang w:val="en-GB"/>
              </w:rPr>
              <w:t>Basic Texts of the Convention and other statutory publication</w:t>
            </w:r>
            <w:r w:rsidR="00FD01DA">
              <w:rPr>
                <w:rFonts w:ascii="Arial" w:eastAsia="Calibri" w:hAnsi="Arial" w:cs="Arial"/>
                <w:sz w:val="20"/>
                <w:szCs w:val="20"/>
                <w:lang w:val="en-GB"/>
              </w:rPr>
              <w:t>s</w:t>
            </w:r>
            <w:r w:rsidRPr="006E7A2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revised and published</w:t>
            </w:r>
          </w:p>
          <w:p w14:paraId="4DB63ECC" w14:textId="77777777" w:rsidR="006E7A23" w:rsidRPr="001C6031" w:rsidRDefault="006E7A23" w:rsidP="006E7A2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2016-2017</w:t>
            </w: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17B6B804" w14:textId="6CDD3263" w:rsidR="00C2282C" w:rsidRPr="00DC1529" w:rsidRDefault="00712F43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1529">
              <w:rPr>
                <w:rFonts w:ascii="Arial" w:eastAsia="Calibri" w:hAnsi="Arial" w:cs="Arial"/>
                <w:sz w:val="20"/>
                <w:szCs w:val="20"/>
                <w:lang w:val="en-GB"/>
              </w:rPr>
              <w:t>Publication of both the 2016 version of the Basic Texts and the 2014-2015</w:t>
            </w:r>
            <w:r w:rsidR="00FD01DA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Lists of the</w:t>
            </w:r>
            <w:r w:rsidRPr="00DC1529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Convention.</w:t>
            </w:r>
          </w:p>
        </w:tc>
        <w:tc>
          <w:tcPr>
            <w:tcW w:w="3940" w:type="dxa"/>
            <w:shd w:val="clear" w:color="auto" w:fill="auto"/>
          </w:tcPr>
          <w:p w14:paraId="57BE315E" w14:textId="7CE2F47A" w:rsidR="00AB42FF" w:rsidRPr="00C410E4" w:rsidRDefault="00487E82" w:rsidP="00B973F3">
            <w:pPr>
              <w:pStyle w:val="ListParagraph"/>
              <w:numPr>
                <w:ilvl w:val="0"/>
                <w:numId w:val="37"/>
              </w:numPr>
              <w:spacing w:before="360" w:after="60"/>
              <w:ind w:left="360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524C74">
              <w:rPr>
                <w:rFonts w:ascii="Arial" w:eastAsia="Calibri" w:hAnsi="Arial" w:cs="Arial"/>
                <w:sz w:val="20"/>
                <w:szCs w:val="20"/>
                <w:lang w:val="en-GB"/>
              </w:rPr>
              <w:t>The 2016 edition of the Basic Texts of the Convention</w:t>
            </w:r>
            <w:r w:rsidR="00630B09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, </w:t>
            </w:r>
            <w:r w:rsidRPr="00630B09">
              <w:rPr>
                <w:rFonts w:ascii="Arial" w:eastAsia="Calibri" w:hAnsi="Arial" w:cs="Arial"/>
                <w:sz w:val="20"/>
                <w:szCs w:val="20"/>
                <w:lang w:val="en-GB"/>
              </w:rPr>
              <w:t>integrating the amendments to the Operational Directives adopted by the sixth session of the General Assembly and amendments to the Committee’s Rules of Procedure adopted at its tenth session</w:t>
            </w:r>
            <w:r w:rsidR="00630B09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, </w:t>
            </w:r>
            <w:r w:rsidRPr="00630B09">
              <w:rPr>
                <w:rFonts w:ascii="Arial" w:eastAsia="Calibri" w:hAnsi="Arial" w:cs="Arial"/>
                <w:sz w:val="20"/>
                <w:szCs w:val="20"/>
                <w:lang w:val="en-GB"/>
              </w:rPr>
              <w:t>designed, edited and published in the six working l</w:t>
            </w:r>
            <w:r w:rsidR="00E941EB">
              <w:rPr>
                <w:rFonts w:ascii="Arial" w:eastAsia="Calibri" w:hAnsi="Arial" w:cs="Arial"/>
                <w:sz w:val="20"/>
                <w:szCs w:val="20"/>
                <w:lang w:val="en-GB"/>
              </w:rPr>
              <w:t>anguages of the General Assembly</w:t>
            </w:r>
            <w:r w:rsidR="00AB33B9">
              <w:rPr>
                <w:rFonts w:ascii="Arial" w:eastAsia="Calibri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757" w:type="dxa"/>
          </w:tcPr>
          <w:p w14:paraId="681DF091" w14:textId="3F5EC6A3" w:rsidR="00C2282C" w:rsidRPr="001C6031" w:rsidRDefault="00573AE2" w:rsidP="00B973F3">
            <w:pPr>
              <w:spacing w:before="360" w:after="60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Partly</w:t>
            </w:r>
            <w:r w:rsidR="00FF738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="00B0545E">
              <w:rPr>
                <w:rFonts w:ascii="Arial" w:eastAsia="Calibri" w:hAnsi="Arial" w:cs="Arial"/>
                <w:sz w:val="20"/>
                <w:szCs w:val="20"/>
                <w:lang w:val="en-GB"/>
              </w:rPr>
              <w:t>a</w:t>
            </w:r>
            <w:r w:rsidR="00487E82" w:rsidRPr="005563A5">
              <w:rPr>
                <w:rFonts w:ascii="Arial" w:eastAsia="Calibri" w:hAnsi="Arial" w:cs="Arial"/>
                <w:sz w:val="20"/>
                <w:szCs w:val="20"/>
                <w:lang w:val="en-GB"/>
              </w:rPr>
              <w:t>ccomplished</w:t>
            </w:r>
          </w:p>
        </w:tc>
      </w:tr>
    </w:tbl>
    <w:p w14:paraId="14FEDFB3" w14:textId="77777777" w:rsidR="00E941EB" w:rsidRPr="001C6031" w:rsidRDefault="00E941EB" w:rsidP="00E941EB">
      <w:pPr>
        <w:keepNext/>
        <w:spacing w:before="240" w:after="120"/>
        <w:rPr>
          <w:rFonts w:ascii="Arial" w:hAnsi="Arial" w:cs="Arial"/>
          <w:b/>
          <w:sz w:val="22"/>
          <w:szCs w:val="22"/>
          <w:lang w:val="en-GB"/>
        </w:rPr>
      </w:pPr>
      <w:r w:rsidRPr="001C6031">
        <w:rPr>
          <w:rFonts w:ascii="Arial" w:hAnsi="Arial" w:cs="Arial"/>
          <w:b/>
          <w:sz w:val="22"/>
          <w:szCs w:val="22"/>
          <w:lang w:val="en-GB"/>
        </w:rPr>
        <w:t>Challenges and risks in implementation and remedial actions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E941EB" w:rsidRPr="001C6031" w14:paraId="10D9F919" w14:textId="77777777" w:rsidTr="00FD01DA">
        <w:trPr>
          <w:tblHeader/>
        </w:trPr>
        <w:tc>
          <w:tcPr>
            <w:tcW w:w="2500" w:type="pct"/>
            <w:shd w:val="clear" w:color="auto" w:fill="D9D9D9" w:themeFill="background1" w:themeFillShade="D9"/>
          </w:tcPr>
          <w:p w14:paraId="10D8A2E8" w14:textId="77777777" w:rsidR="00E941EB" w:rsidRPr="001C6031" w:rsidRDefault="00E941EB" w:rsidP="00FD01DA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>Key challenges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61EE5FB1" w14:textId="77777777" w:rsidR="00E941EB" w:rsidRPr="001C6031" w:rsidRDefault="00E941EB" w:rsidP="00FD01DA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>Remedial actions</w:t>
            </w:r>
          </w:p>
        </w:tc>
      </w:tr>
      <w:tr w:rsidR="00E941EB" w:rsidRPr="002F00E9" w14:paraId="10E696B8" w14:textId="77777777" w:rsidTr="00FD01DA">
        <w:tc>
          <w:tcPr>
            <w:tcW w:w="2500" w:type="pct"/>
            <w:shd w:val="clear" w:color="auto" w:fill="auto"/>
          </w:tcPr>
          <w:p w14:paraId="1535E7DC" w14:textId="51274F53" w:rsidR="00E941EB" w:rsidRPr="001C6031" w:rsidRDefault="0006578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Since its creation in 2006, t</w:t>
            </w:r>
            <w:r w:rsidR="00E941EB">
              <w:rPr>
                <w:rFonts w:ascii="Arial" w:hAnsi="Arial" w:cs="Arial"/>
                <w:sz w:val="20"/>
                <w:szCs w:val="20"/>
                <w:lang w:val="en-GB"/>
              </w:rPr>
              <w:t>he K</w:t>
            </w:r>
            <w:r w:rsidR="003E346A">
              <w:rPr>
                <w:rFonts w:ascii="Arial" w:hAnsi="Arial" w:cs="Arial"/>
                <w:sz w:val="20"/>
                <w:szCs w:val="20"/>
                <w:lang w:val="en-GB"/>
              </w:rPr>
              <w:t xml:space="preserve">nowledge </w:t>
            </w:r>
            <w:r w:rsidR="00E941EB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="003E346A">
              <w:rPr>
                <w:rFonts w:ascii="Arial" w:hAnsi="Arial" w:cs="Arial"/>
                <w:sz w:val="20"/>
                <w:szCs w:val="20"/>
                <w:lang w:val="en-GB"/>
              </w:rPr>
              <w:t xml:space="preserve">anagement </w:t>
            </w:r>
            <w:r w:rsidR="00E941EB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3E346A">
              <w:rPr>
                <w:rFonts w:ascii="Arial" w:hAnsi="Arial" w:cs="Arial"/>
                <w:sz w:val="20"/>
                <w:szCs w:val="20"/>
                <w:lang w:val="en-GB"/>
              </w:rPr>
              <w:t>ervice</w:t>
            </w:r>
            <w:r w:rsidR="00600A76">
              <w:rPr>
                <w:rFonts w:ascii="Arial" w:hAnsi="Arial" w:cs="Arial"/>
                <w:sz w:val="20"/>
                <w:szCs w:val="20"/>
                <w:lang w:val="en-GB"/>
              </w:rPr>
              <w:t xml:space="preserve"> has been</w:t>
            </w:r>
            <w:r w:rsidR="00E941EB">
              <w:rPr>
                <w:rFonts w:ascii="Arial" w:hAnsi="Arial" w:cs="Arial"/>
                <w:sz w:val="20"/>
                <w:szCs w:val="20"/>
                <w:lang w:val="en-GB"/>
              </w:rPr>
              <w:t xml:space="preserve"> constantly adapting to the objectives of </w:t>
            </w:r>
            <w:r w:rsidR="00600A76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E941EB">
              <w:rPr>
                <w:rFonts w:ascii="Arial" w:hAnsi="Arial" w:cs="Arial"/>
                <w:sz w:val="20"/>
                <w:szCs w:val="20"/>
                <w:lang w:val="en-GB"/>
              </w:rPr>
              <w:t xml:space="preserve">Committee and the evolution of the Convention </w:t>
            </w:r>
            <w:r w:rsidR="003E346A">
              <w:rPr>
                <w:rFonts w:ascii="Arial" w:hAnsi="Arial" w:cs="Arial"/>
                <w:sz w:val="20"/>
                <w:szCs w:val="20"/>
                <w:lang w:val="en-GB"/>
              </w:rPr>
              <w:t>particular</w:t>
            </w:r>
            <w:r w:rsidR="00600A76">
              <w:rPr>
                <w:rFonts w:ascii="Arial" w:hAnsi="Arial" w:cs="Arial"/>
                <w:sz w:val="20"/>
                <w:szCs w:val="20"/>
                <w:lang w:val="en-GB"/>
              </w:rPr>
              <w:t>ly</w:t>
            </w:r>
            <w:r w:rsidR="003E346A">
              <w:rPr>
                <w:rFonts w:ascii="Arial" w:hAnsi="Arial" w:cs="Arial"/>
                <w:sz w:val="20"/>
                <w:szCs w:val="20"/>
                <w:lang w:val="en-GB"/>
              </w:rPr>
              <w:t xml:space="preserve"> by</w:t>
            </w:r>
            <w:r w:rsidR="00E941EB">
              <w:rPr>
                <w:rFonts w:ascii="Arial" w:hAnsi="Arial" w:cs="Arial"/>
                <w:sz w:val="20"/>
                <w:szCs w:val="20"/>
                <w:lang w:val="en-GB"/>
              </w:rPr>
              <w:t xml:space="preserve"> adding new functionalities. With more than 300 tables of data and related data management interfaces, </w:t>
            </w:r>
            <w:r w:rsidR="003E346A">
              <w:rPr>
                <w:rFonts w:ascii="Arial" w:hAnsi="Arial" w:cs="Arial"/>
                <w:sz w:val="20"/>
                <w:szCs w:val="20"/>
                <w:lang w:val="en-GB"/>
              </w:rPr>
              <w:t>the system</w:t>
            </w:r>
            <w:r w:rsidR="00E941EB">
              <w:rPr>
                <w:rFonts w:ascii="Arial" w:hAnsi="Arial" w:cs="Arial"/>
                <w:sz w:val="20"/>
                <w:szCs w:val="20"/>
                <w:lang w:val="en-GB"/>
              </w:rPr>
              <w:t xml:space="preserve"> is </w:t>
            </w:r>
            <w:r w:rsidR="00600A76">
              <w:rPr>
                <w:rFonts w:ascii="Arial" w:hAnsi="Arial" w:cs="Arial"/>
                <w:sz w:val="20"/>
                <w:szCs w:val="20"/>
                <w:lang w:val="en-GB"/>
              </w:rPr>
              <w:t>becoming increasingly</w:t>
            </w:r>
            <w:r w:rsidR="00E941EB">
              <w:rPr>
                <w:rFonts w:ascii="Arial" w:hAnsi="Arial" w:cs="Arial"/>
                <w:sz w:val="20"/>
                <w:szCs w:val="20"/>
                <w:lang w:val="en-GB"/>
              </w:rPr>
              <w:t xml:space="preserve"> complex wit</w:t>
            </w:r>
            <w:r w:rsidR="00600A76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="00E941EB">
              <w:rPr>
                <w:rFonts w:ascii="Arial" w:hAnsi="Arial" w:cs="Arial"/>
                <w:sz w:val="20"/>
                <w:szCs w:val="20"/>
                <w:lang w:val="en-GB"/>
              </w:rPr>
              <w:t xml:space="preserve"> time. A major challenge </w:t>
            </w:r>
            <w:r w:rsidR="00FD55B1">
              <w:rPr>
                <w:rFonts w:ascii="Arial" w:hAnsi="Arial" w:cs="Arial"/>
                <w:sz w:val="20"/>
                <w:szCs w:val="20"/>
                <w:lang w:val="en-GB"/>
              </w:rPr>
              <w:t>lies in</w:t>
            </w:r>
            <w:r w:rsidR="003E346A">
              <w:rPr>
                <w:rFonts w:ascii="Arial" w:hAnsi="Arial" w:cs="Arial"/>
                <w:sz w:val="20"/>
                <w:szCs w:val="20"/>
                <w:lang w:val="en-GB"/>
              </w:rPr>
              <w:t xml:space="preserve"> the need </w:t>
            </w:r>
            <w:r w:rsidR="00E941EB"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 w:rsidR="003E346A">
              <w:rPr>
                <w:rFonts w:ascii="Arial" w:hAnsi="Arial" w:cs="Arial"/>
                <w:sz w:val="20"/>
                <w:szCs w:val="20"/>
                <w:lang w:val="en-GB"/>
              </w:rPr>
              <w:t>master the technicalit</w:t>
            </w:r>
            <w:r w:rsidR="00600A76">
              <w:rPr>
                <w:rFonts w:ascii="Arial" w:hAnsi="Arial" w:cs="Arial"/>
                <w:sz w:val="20"/>
                <w:szCs w:val="20"/>
                <w:lang w:val="en-GB"/>
              </w:rPr>
              <w:t>ies</w:t>
            </w:r>
            <w:r w:rsidR="003E346A">
              <w:rPr>
                <w:rFonts w:ascii="Arial" w:hAnsi="Arial" w:cs="Arial"/>
                <w:sz w:val="20"/>
                <w:szCs w:val="20"/>
                <w:lang w:val="en-GB"/>
              </w:rPr>
              <w:t xml:space="preserve"> of additional services in such a way </w:t>
            </w:r>
            <w:r w:rsidR="00600A76">
              <w:rPr>
                <w:rFonts w:ascii="Arial" w:hAnsi="Arial" w:cs="Arial"/>
                <w:sz w:val="20"/>
                <w:szCs w:val="20"/>
                <w:lang w:val="en-GB"/>
              </w:rPr>
              <w:t xml:space="preserve">as to </w:t>
            </w:r>
            <w:r w:rsidR="00E941EB">
              <w:rPr>
                <w:rFonts w:ascii="Arial" w:hAnsi="Arial" w:cs="Arial"/>
                <w:sz w:val="20"/>
                <w:szCs w:val="20"/>
                <w:lang w:val="en-GB"/>
              </w:rPr>
              <w:t>ensur</w:t>
            </w:r>
            <w:r w:rsidR="003E346A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E941EB">
              <w:rPr>
                <w:rFonts w:ascii="Arial" w:hAnsi="Arial" w:cs="Arial"/>
                <w:sz w:val="20"/>
                <w:szCs w:val="20"/>
                <w:lang w:val="en-GB"/>
              </w:rPr>
              <w:t xml:space="preserve"> the sustainability </w:t>
            </w:r>
            <w:r w:rsidR="003E346A">
              <w:rPr>
                <w:rFonts w:ascii="Arial" w:hAnsi="Arial" w:cs="Arial"/>
                <w:sz w:val="20"/>
                <w:szCs w:val="20"/>
                <w:lang w:val="en-GB"/>
              </w:rPr>
              <w:t xml:space="preserve">and stability </w:t>
            </w:r>
            <w:r w:rsidR="00E941EB">
              <w:rPr>
                <w:rFonts w:ascii="Arial" w:hAnsi="Arial" w:cs="Arial"/>
                <w:sz w:val="20"/>
                <w:szCs w:val="20"/>
                <w:lang w:val="en-GB"/>
              </w:rPr>
              <w:t>of the overall system.</w:t>
            </w:r>
          </w:p>
        </w:tc>
        <w:tc>
          <w:tcPr>
            <w:tcW w:w="2500" w:type="pct"/>
          </w:tcPr>
          <w:p w14:paraId="500CAA1A" w14:textId="14BFCF57" w:rsidR="00E941EB" w:rsidRPr="001C6031" w:rsidRDefault="00E941E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When developing new functionalities, the Secretariat </w:t>
            </w:r>
            <w:r w:rsidR="00446578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FD55B1">
              <w:rPr>
                <w:rFonts w:ascii="Arial" w:hAnsi="Arial" w:cs="Arial"/>
                <w:sz w:val="20"/>
                <w:szCs w:val="20"/>
                <w:lang w:val="en-GB"/>
              </w:rPr>
              <w:t>ook</w:t>
            </w:r>
            <w:r w:rsidR="00446578">
              <w:rPr>
                <w:rFonts w:ascii="Arial" w:hAnsi="Arial" w:cs="Arial"/>
                <w:sz w:val="20"/>
                <w:szCs w:val="20"/>
                <w:lang w:val="en-GB"/>
              </w:rPr>
              <w:t xml:space="preserve"> the opportunity to gradually rework and update</w:t>
            </w:r>
            <w:r w:rsidR="00580117">
              <w:rPr>
                <w:rFonts w:ascii="Arial" w:hAnsi="Arial" w:cs="Arial"/>
                <w:sz w:val="20"/>
                <w:szCs w:val="20"/>
                <w:lang w:val="en-GB"/>
              </w:rPr>
              <w:t xml:space="preserve"> the whole system </w:t>
            </w:r>
            <w:r w:rsidR="00446578">
              <w:rPr>
                <w:rFonts w:ascii="Arial" w:hAnsi="Arial" w:cs="Arial"/>
                <w:sz w:val="20"/>
                <w:szCs w:val="20"/>
                <w:lang w:val="en-GB"/>
              </w:rPr>
              <w:t>to maintain its sustainability</w:t>
            </w:r>
            <w:r w:rsidR="00580117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3E346A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or instance</w:t>
            </w:r>
            <w:r w:rsidR="003E346A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when implementing the responsive design (= </w:t>
            </w:r>
            <w:r w:rsidR="00580117">
              <w:rPr>
                <w:rFonts w:ascii="Arial" w:hAnsi="Arial" w:cs="Arial"/>
                <w:sz w:val="20"/>
                <w:szCs w:val="20"/>
                <w:lang w:val="en-GB"/>
              </w:rPr>
              <w:t xml:space="preserve">which allows an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adaptability to </w:t>
            </w:r>
            <w:r w:rsidR="00580117">
              <w:rPr>
                <w:rFonts w:ascii="Arial" w:hAnsi="Arial" w:cs="Arial"/>
                <w:sz w:val="20"/>
                <w:szCs w:val="20"/>
                <w:lang w:val="en-GB"/>
              </w:rPr>
              <w:t xml:space="preserve">various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browsing devices)</w:t>
            </w:r>
            <w:r w:rsidR="00877CDC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46578">
              <w:rPr>
                <w:rFonts w:ascii="Arial" w:hAnsi="Arial" w:cs="Arial"/>
                <w:sz w:val="20"/>
                <w:szCs w:val="20"/>
                <w:lang w:val="en-GB"/>
              </w:rPr>
              <w:t xml:space="preserve">the Secretariat decided to reorganize all </w:t>
            </w:r>
            <w:r w:rsidR="007B43A5">
              <w:rPr>
                <w:rFonts w:ascii="Arial" w:hAnsi="Arial" w:cs="Arial"/>
                <w:sz w:val="20"/>
                <w:szCs w:val="20"/>
                <w:lang w:val="en-GB"/>
              </w:rPr>
              <w:t xml:space="preserve">design-related </w:t>
            </w:r>
            <w:r w:rsidR="00446578">
              <w:rPr>
                <w:rFonts w:ascii="Arial" w:hAnsi="Arial" w:cs="Arial"/>
                <w:sz w:val="20"/>
                <w:szCs w:val="20"/>
                <w:lang w:val="en-GB"/>
              </w:rPr>
              <w:t xml:space="preserve">coding </w:t>
            </w:r>
            <w:r w:rsidR="007B43A5">
              <w:rPr>
                <w:rFonts w:ascii="Arial" w:hAnsi="Arial" w:cs="Arial"/>
                <w:sz w:val="20"/>
                <w:szCs w:val="20"/>
                <w:lang w:val="en-GB"/>
              </w:rPr>
              <w:t>to follow current best practices, ensuring an easier maintenance of the system</w:t>
            </w:r>
            <w:r w:rsidR="0058011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E941EB" w:rsidRPr="002F00E9" w14:paraId="6A1B6417" w14:textId="77777777" w:rsidTr="00DD6C76">
        <w:trPr>
          <w:cantSplit/>
        </w:trPr>
        <w:tc>
          <w:tcPr>
            <w:tcW w:w="2500" w:type="pct"/>
            <w:shd w:val="clear" w:color="auto" w:fill="auto"/>
          </w:tcPr>
          <w:p w14:paraId="7930BA33" w14:textId="09B25006" w:rsidR="00E941EB" w:rsidRDefault="00E941EB" w:rsidP="00EE728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1D21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The Secretariat continues to invest time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E728B">
              <w:rPr>
                <w:rFonts w:ascii="Arial" w:hAnsi="Arial" w:cs="Arial"/>
                <w:sz w:val="20"/>
                <w:szCs w:val="20"/>
                <w:lang w:val="en-GB"/>
              </w:rPr>
              <w:t xml:space="preserve">and effort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in</w:t>
            </w:r>
            <w:r w:rsidRPr="00D71D2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77CDC">
              <w:rPr>
                <w:rFonts w:ascii="Arial" w:hAnsi="Arial" w:cs="Arial"/>
                <w:sz w:val="20"/>
                <w:szCs w:val="20"/>
                <w:lang w:val="en-GB"/>
              </w:rPr>
              <w:t>publishing</w:t>
            </w:r>
            <w:r w:rsidRPr="00D71D21">
              <w:rPr>
                <w:rFonts w:ascii="Arial" w:hAnsi="Arial" w:cs="Arial"/>
                <w:sz w:val="20"/>
                <w:szCs w:val="20"/>
                <w:lang w:val="en-GB"/>
              </w:rPr>
              <w:t xml:space="preserve"> the Basic Texts of the Convention in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D71D21">
              <w:rPr>
                <w:rFonts w:ascii="Arial" w:hAnsi="Arial" w:cs="Arial"/>
                <w:sz w:val="20"/>
                <w:szCs w:val="20"/>
                <w:lang w:val="en-GB"/>
              </w:rPr>
              <w:t xml:space="preserve">six </w:t>
            </w:r>
            <w:r w:rsidR="00877CDC">
              <w:rPr>
                <w:rFonts w:ascii="Arial" w:hAnsi="Arial" w:cs="Arial"/>
                <w:sz w:val="20"/>
                <w:szCs w:val="20"/>
                <w:lang w:val="en-GB"/>
              </w:rPr>
              <w:t xml:space="preserve">UN </w:t>
            </w:r>
            <w:r w:rsidRPr="00D71D21">
              <w:rPr>
                <w:rFonts w:ascii="Arial" w:hAnsi="Arial" w:cs="Arial"/>
                <w:sz w:val="20"/>
                <w:szCs w:val="20"/>
                <w:lang w:val="en-GB"/>
              </w:rPr>
              <w:t xml:space="preserve">languages, </w:t>
            </w:r>
            <w:r w:rsidR="00EE728B">
              <w:rPr>
                <w:rFonts w:ascii="Arial" w:hAnsi="Arial" w:cs="Arial"/>
                <w:sz w:val="20"/>
                <w:szCs w:val="20"/>
                <w:lang w:val="en-GB"/>
              </w:rPr>
              <w:t>which reflects</w:t>
            </w:r>
            <w:r w:rsidR="00EE728B" w:rsidRPr="00D71D2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D71D21">
              <w:rPr>
                <w:rFonts w:ascii="Arial" w:hAnsi="Arial" w:cs="Arial"/>
                <w:sz w:val="20"/>
                <w:szCs w:val="20"/>
                <w:lang w:val="en-GB"/>
              </w:rPr>
              <w:t xml:space="preserve">amendments adopted by the General Assembly and the Committee.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This work</w:t>
            </w:r>
            <w:r w:rsidRPr="00D71D21">
              <w:rPr>
                <w:rFonts w:ascii="Arial" w:hAnsi="Arial" w:cs="Arial"/>
                <w:sz w:val="20"/>
                <w:szCs w:val="20"/>
                <w:lang w:val="en-GB"/>
              </w:rPr>
              <w:t xml:space="preserve"> requires not only language skills but also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an </w:t>
            </w:r>
            <w:r w:rsidR="00EE728B">
              <w:rPr>
                <w:rFonts w:ascii="Arial" w:hAnsi="Arial" w:cs="Arial"/>
                <w:sz w:val="20"/>
                <w:szCs w:val="20"/>
                <w:lang w:val="en-GB"/>
              </w:rPr>
              <w:t>advanced</w:t>
            </w:r>
            <w:r w:rsidR="00EE728B" w:rsidRPr="00D71D2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D71D21">
              <w:rPr>
                <w:rFonts w:ascii="Arial" w:hAnsi="Arial" w:cs="Arial"/>
                <w:sz w:val="20"/>
                <w:szCs w:val="20"/>
                <w:lang w:val="en-GB"/>
              </w:rPr>
              <w:t xml:space="preserve">command of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terminology of the </w:t>
            </w:r>
            <w:r w:rsidRPr="00D71D21">
              <w:rPr>
                <w:rFonts w:ascii="Arial" w:hAnsi="Arial" w:cs="Arial"/>
                <w:sz w:val="20"/>
                <w:szCs w:val="20"/>
                <w:lang w:val="en-GB"/>
              </w:rPr>
              <w:t xml:space="preserve">Convention, making it difficult to outsource. While translations are outsourced, </w:t>
            </w:r>
            <w:r w:rsidR="00EE728B">
              <w:rPr>
                <w:rFonts w:ascii="Arial" w:hAnsi="Arial" w:cs="Arial"/>
                <w:sz w:val="20"/>
                <w:szCs w:val="20"/>
                <w:lang w:val="en-GB"/>
              </w:rPr>
              <w:t xml:space="preserve">native </w:t>
            </w:r>
            <w:r w:rsidRPr="00D71D21">
              <w:rPr>
                <w:rFonts w:ascii="Arial" w:hAnsi="Arial" w:cs="Arial"/>
                <w:sz w:val="20"/>
                <w:szCs w:val="20"/>
                <w:lang w:val="en-GB"/>
              </w:rPr>
              <w:t>speak</w:t>
            </w:r>
            <w:r w:rsidR="00EE728B">
              <w:rPr>
                <w:rFonts w:ascii="Arial" w:hAnsi="Arial" w:cs="Arial"/>
                <w:sz w:val="20"/>
                <w:szCs w:val="20"/>
                <w:lang w:val="en-GB"/>
              </w:rPr>
              <w:t xml:space="preserve">ers of these languages within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D71D21">
              <w:rPr>
                <w:rFonts w:ascii="Arial" w:hAnsi="Arial" w:cs="Arial"/>
                <w:sz w:val="20"/>
                <w:szCs w:val="20"/>
                <w:lang w:val="en-GB"/>
              </w:rPr>
              <w:t>Section undertake the revision</w:t>
            </w:r>
            <w:r w:rsidR="00877CDC">
              <w:rPr>
                <w:rFonts w:ascii="Arial" w:hAnsi="Arial" w:cs="Arial"/>
                <w:sz w:val="20"/>
                <w:szCs w:val="20"/>
                <w:lang w:val="en-GB"/>
              </w:rPr>
              <w:t xml:space="preserve"> work required</w:t>
            </w:r>
            <w:r w:rsidR="00EE728B">
              <w:rPr>
                <w:rFonts w:ascii="Arial" w:hAnsi="Arial" w:cs="Arial"/>
                <w:sz w:val="20"/>
                <w:szCs w:val="20"/>
                <w:lang w:val="en-GB"/>
              </w:rPr>
              <w:t xml:space="preserve"> to finalize the texts</w:t>
            </w:r>
            <w:r w:rsidRPr="00D71D2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2500" w:type="pct"/>
          </w:tcPr>
          <w:p w14:paraId="5D6440EB" w14:textId="66F9F6E6" w:rsidR="00E941EB" w:rsidRPr="001C6031" w:rsidRDefault="00EE728B" w:rsidP="00FD01D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E941EB" w:rsidRPr="00D71D21">
              <w:rPr>
                <w:rFonts w:ascii="Arial" w:hAnsi="Arial" w:cs="Arial"/>
                <w:sz w:val="20"/>
                <w:szCs w:val="20"/>
                <w:lang w:val="en-GB"/>
              </w:rPr>
              <w:t>ossible remedial action, but which was not taken during the reporting period, would be to publish the Basic Texts in English and French</w:t>
            </w:r>
            <w:r w:rsidR="00E941EB">
              <w:rPr>
                <w:rFonts w:ascii="Arial" w:hAnsi="Arial" w:cs="Arial"/>
                <w:sz w:val="20"/>
                <w:szCs w:val="20"/>
                <w:lang w:val="en-GB"/>
              </w:rPr>
              <w:t xml:space="preserve"> only</w:t>
            </w:r>
            <w:r w:rsidR="00E941EB" w:rsidRPr="00D71D2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14:paraId="45417E5E" w14:textId="5E7FB91D" w:rsidR="00A74D6C" w:rsidRDefault="00A74D6C" w:rsidP="0076712C">
      <w:pPr>
        <w:keepNext/>
        <w:spacing w:before="240" w:after="120"/>
        <w:ind w:left="851" w:hanging="851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1C6031">
        <w:rPr>
          <w:rFonts w:ascii="Arial" w:hAnsi="Arial" w:cs="Arial"/>
          <w:b/>
          <w:sz w:val="22"/>
          <w:szCs w:val="22"/>
          <w:lang w:val="en-GB"/>
        </w:rPr>
        <w:t>ER 2:</w:t>
      </w:r>
      <w:r w:rsidRPr="001C6031">
        <w:rPr>
          <w:rFonts w:ascii="Arial" w:hAnsi="Arial" w:cs="Arial"/>
          <w:b/>
          <w:sz w:val="22"/>
          <w:szCs w:val="22"/>
          <w:lang w:val="en-GB"/>
        </w:rPr>
        <w:tab/>
      </w:r>
      <w:r w:rsidR="0076712C" w:rsidRPr="00696A00">
        <w:rPr>
          <w:rFonts w:ascii="Arial" w:hAnsi="Arial" w:cs="Arial"/>
          <w:b/>
          <w:bCs/>
          <w:sz w:val="22"/>
          <w:szCs w:val="22"/>
          <w:lang w:val="en-GB"/>
        </w:rPr>
        <w:t>Implementation of the Convention in Member States encouraged through a strengthened capacity-building programme and guidance on safeguarding measures and good practices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3876"/>
        <w:gridCol w:w="1876"/>
      </w:tblGrid>
      <w:tr w:rsidR="00A74D6C" w:rsidRPr="001C6031" w14:paraId="2C37D01B" w14:textId="77777777" w:rsidTr="00203F98">
        <w:tc>
          <w:tcPr>
            <w:tcW w:w="2013" w:type="pct"/>
            <w:shd w:val="clear" w:color="auto" w:fill="C6D9F1"/>
          </w:tcPr>
          <w:p w14:paraId="7C99C160" w14:textId="77777777" w:rsidR="00A74D6C" w:rsidRPr="001C6031" w:rsidRDefault="00A74D6C" w:rsidP="005F7CB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Allocation</w:t>
            </w:r>
          </w:p>
        </w:tc>
        <w:tc>
          <w:tcPr>
            <w:tcW w:w="2013" w:type="pct"/>
            <w:shd w:val="clear" w:color="auto" w:fill="C6D9F1"/>
          </w:tcPr>
          <w:p w14:paraId="319C68ED" w14:textId="77777777" w:rsidR="00A74D6C" w:rsidRPr="001C6031" w:rsidRDefault="00A74D6C" w:rsidP="005F7CB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Expenditures</w:t>
            </w:r>
          </w:p>
        </w:tc>
        <w:tc>
          <w:tcPr>
            <w:tcW w:w="974" w:type="pct"/>
            <w:shd w:val="clear" w:color="auto" w:fill="C6D9F1"/>
          </w:tcPr>
          <w:p w14:paraId="5872190C" w14:textId="77777777" w:rsidR="00A74D6C" w:rsidRPr="001C6031" w:rsidRDefault="00A74D6C" w:rsidP="005F7CB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Exp. Rate %</w:t>
            </w:r>
          </w:p>
        </w:tc>
      </w:tr>
      <w:tr w:rsidR="00A74D6C" w:rsidRPr="001C6031" w14:paraId="27506049" w14:textId="77777777" w:rsidTr="00203F98">
        <w:tc>
          <w:tcPr>
            <w:tcW w:w="2013" w:type="pct"/>
            <w:shd w:val="clear" w:color="auto" w:fill="auto"/>
          </w:tcPr>
          <w:p w14:paraId="7437611D" w14:textId="1D81F0AF" w:rsidR="00A74D6C" w:rsidRPr="001C6031" w:rsidRDefault="0076712C" w:rsidP="005F7CB2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817,346</w:t>
            </w:r>
          </w:p>
        </w:tc>
        <w:tc>
          <w:tcPr>
            <w:tcW w:w="2013" w:type="pct"/>
            <w:shd w:val="clear" w:color="auto" w:fill="auto"/>
          </w:tcPr>
          <w:p w14:paraId="0B95966A" w14:textId="1CFB2645" w:rsidR="00A74D6C" w:rsidRPr="001C6031" w:rsidRDefault="0076712C" w:rsidP="005F7CB2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778,759</w:t>
            </w:r>
          </w:p>
        </w:tc>
        <w:tc>
          <w:tcPr>
            <w:tcW w:w="974" w:type="pct"/>
            <w:shd w:val="clear" w:color="auto" w:fill="auto"/>
          </w:tcPr>
          <w:p w14:paraId="04B8242C" w14:textId="5B031833" w:rsidR="00A74D6C" w:rsidRPr="001C6031" w:rsidRDefault="00A74D6C" w:rsidP="005F7CB2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sz w:val="20"/>
                <w:szCs w:val="20"/>
                <w:lang w:val="en-GB"/>
              </w:rPr>
              <w:t>9</w:t>
            </w:r>
            <w:r w:rsidR="0076712C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0076712C">
              <w:rPr>
                <w:rFonts w:ascii="Arial" w:eastAsia="Calibri" w:hAnsi="Arial" w:cs="Arial"/>
                <w:sz w:val="20"/>
                <w:szCs w:val="20"/>
                <w:lang w:val="en-GB"/>
              </w:rPr>
              <w:t>.3</w:t>
            </w:r>
            <w:r w:rsidRPr="001C6031">
              <w:rPr>
                <w:rFonts w:ascii="Arial" w:eastAsia="Calibri" w:hAnsi="Arial" w:cs="Arial"/>
                <w:sz w:val="20"/>
                <w:szCs w:val="20"/>
                <w:lang w:val="en-GB"/>
              </w:rPr>
              <w:t>%</w:t>
            </w:r>
          </w:p>
        </w:tc>
      </w:tr>
    </w:tbl>
    <w:p w14:paraId="518AA21E" w14:textId="428A6E35" w:rsidR="00A74D6C" w:rsidRPr="00B973F3" w:rsidRDefault="00A74D6C" w:rsidP="00B973F3">
      <w:pPr>
        <w:rPr>
          <w:rFonts w:ascii="Arial" w:hAnsi="Arial" w:cs="Arial"/>
          <w:bCs/>
          <w:sz w:val="22"/>
          <w:szCs w:val="22"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  <w:gridCol w:w="3856"/>
        <w:gridCol w:w="1908"/>
      </w:tblGrid>
      <w:tr w:rsidR="00414596" w:rsidRPr="001C6031" w14:paraId="1203F919" w14:textId="6656DE57" w:rsidTr="007656F8">
        <w:trPr>
          <w:trHeight w:val="274"/>
          <w:tblHeader/>
          <w:jc w:val="center"/>
        </w:trPr>
        <w:tc>
          <w:tcPr>
            <w:tcW w:w="3969" w:type="dxa"/>
            <w:shd w:val="clear" w:color="auto" w:fill="D9D9D9" w:themeFill="background1" w:themeFillShade="D9"/>
          </w:tcPr>
          <w:p w14:paraId="4E7A2B52" w14:textId="77777777" w:rsidR="00842D1A" w:rsidRPr="001C6031" w:rsidRDefault="00842D1A" w:rsidP="005F7CB2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Output (O)</w:t>
            </w: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br/>
              <w:t>Indicators/Benchmark (B)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FDCBB23" w14:textId="3530A22F" w:rsidR="00842D1A" w:rsidRPr="001C6031" w:rsidRDefault="00842D1A" w:rsidP="005F7CB2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As</w:t>
            </w:r>
            <w:r w:rsidR="009253C3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sessment of progress:</w:t>
            </w:r>
            <w:r w:rsidR="009253C3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br/>
              <w:t>01/01/2016</w:t>
            </w: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 to </w:t>
            </w:r>
            <w:r w:rsidR="009253C3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31/12/2017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2D9CA2EC" w14:textId="2D9F80BC" w:rsidR="00842D1A" w:rsidRPr="001C6031" w:rsidRDefault="00842D1A" w:rsidP="005F7CB2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Assessment of implementation</w:t>
            </w:r>
          </w:p>
        </w:tc>
      </w:tr>
      <w:tr w:rsidR="00B973F3" w:rsidRPr="00CF409A" w14:paraId="7E7C4760" w14:textId="1DDB9ADA" w:rsidTr="007656F8">
        <w:trPr>
          <w:jc w:val="center"/>
        </w:trPr>
        <w:tc>
          <w:tcPr>
            <w:tcW w:w="3969" w:type="dxa"/>
            <w:shd w:val="clear" w:color="auto" w:fill="auto"/>
          </w:tcPr>
          <w:p w14:paraId="3D77DD38" w14:textId="1E81BCF5" w:rsidR="00B973F3" w:rsidRPr="001C6031" w:rsidRDefault="00B973F3" w:rsidP="00F16E8D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O:</w:t>
            </w:r>
          </w:p>
          <w:p w14:paraId="0E041A03" w14:textId="7D126AC7" w:rsidR="00B973F3" w:rsidRPr="001C6031" w:rsidRDefault="00B973F3" w:rsidP="00F16E8D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sz w:val="20"/>
                <w:szCs w:val="20"/>
                <w:lang w:val="en-GB"/>
              </w:rPr>
              <w:t>Facilitators’ network strengthened</w:t>
            </w:r>
          </w:p>
          <w:p w14:paraId="74C91068" w14:textId="77777777" w:rsidR="00B973F3" w:rsidRPr="001C6031" w:rsidRDefault="00B973F3" w:rsidP="00F16E8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2016-2017</w:t>
            </w: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53C9F86B" w14:textId="40B9A35B" w:rsidR="00B973F3" w:rsidRDefault="00B973F3" w:rsidP="00951F05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 w:hanging="357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4</w:t>
            </w:r>
            <w:r w:rsidRPr="001C603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regional workshops to train facilitators and update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their </w:t>
            </w:r>
            <w:r w:rsidRPr="001C603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skills, contingent on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host-country or partner support</w:t>
            </w:r>
          </w:p>
          <w:p w14:paraId="788DE352" w14:textId="245739BE" w:rsidR="00B973F3" w:rsidRDefault="00B973F3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A global workshop on reviewing the </w:t>
            </w:r>
            <w:r w:rsidRPr="00DC1529">
              <w:rPr>
                <w:rFonts w:ascii="Arial" w:eastAsia="Calibri" w:hAnsi="Arial" w:cs="Arial"/>
                <w:sz w:val="20"/>
                <w:szCs w:val="20"/>
                <w:lang w:val="en-GB"/>
              </w:rPr>
              <w:t>capacity-building programme and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Pr="00DC1529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introduction to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the provision of</w:t>
            </w:r>
            <w:r w:rsidRPr="00DC1529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support for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I</w:t>
            </w:r>
            <w:r w:rsidRPr="00DC1529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nternational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A</w:t>
            </w:r>
            <w:r w:rsidRPr="00DC1529">
              <w:rPr>
                <w:rFonts w:ascii="Arial" w:eastAsia="Calibri" w:hAnsi="Arial" w:cs="Arial"/>
                <w:sz w:val="20"/>
                <w:szCs w:val="20"/>
                <w:lang w:val="en-GB"/>
              </w:rPr>
              <w:t>ssistance requests</w:t>
            </w:r>
          </w:p>
          <w:p w14:paraId="6C1390EC" w14:textId="414EE8B1" w:rsidR="00B973F3" w:rsidRDefault="00B973F3" w:rsidP="00951F05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 w:hanging="357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 </w:t>
            </w:r>
            <w:r w:rsidRPr="00DC1529">
              <w:rPr>
                <w:rFonts w:ascii="Arial" w:eastAsia="Calibri" w:hAnsi="Arial" w:cs="Arial"/>
                <w:sz w:val="20"/>
                <w:szCs w:val="20"/>
                <w:lang w:val="en-GB"/>
              </w:rPr>
              <w:t>audio-visual tutorials developed on selected topics</w:t>
            </w:r>
          </w:p>
          <w:p w14:paraId="7E263D68" w14:textId="355A80FF" w:rsidR="00B973F3" w:rsidRPr="001C6031" w:rsidRDefault="00B973F3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1529">
              <w:rPr>
                <w:rFonts w:ascii="Arial" w:eastAsia="Calibri" w:hAnsi="Arial" w:cs="Arial"/>
                <w:sz w:val="20"/>
                <w:szCs w:val="20"/>
                <w:lang w:val="en-GB"/>
              </w:rPr>
              <w:t>IT functionalities updated for the capacity-building programme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14AEDADB" w14:textId="77777777" w:rsidR="00B973F3" w:rsidRPr="001C6031" w:rsidRDefault="00B973F3" w:rsidP="00B973F3">
            <w:pPr>
              <w:pStyle w:val="ListParagraph"/>
              <w:numPr>
                <w:ilvl w:val="0"/>
                <w:numId w:val="37"/>
              </w:numPr>
              <w:spacing w:before="360" w:after="60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C410E4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Three regional workshops for facilitators organized during the biennium to share lessons learnt and update their knowledge on recent developments under the Convention,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benefitting </w:t>
            </w:r>
            <w:r w:rsidRPr="001C6031">
              <w:rPr>
                <w:rFonts w:ascii="Arial" w:eastAsia="Calibri" w:hAnsi="Arial" w:cs="Arial"/>
                <w:sz w:val="20"/>
                <w:szCs w:val="20"/>
                <w:lang w:val="en-GB"/>
              </w:rPr>
              <w:t>from the generous support o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f</w:t>
            </w:r>
            <w:r w:rsidRPr="001C603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different host institutions:</w:t>
            </w:r>
          </w:p>
          <w:p w14:paraId="130EC68C" w14:textId="77777777" w:rsidR="00B973F3" w:rsidRDefault="00B973F3">
            <w:pPr>
              <w:pStyle w:val="ListParagraph"/>
              <w:numPr>
                <w:ilvl w:val="1"/>
                <w:numId w:val="27"/>
              </w:numPr>
              <w:spacing w:before="60" w:after="60"/>
              <w:ind w:left="714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T</w:t>
            </w:r>
            <w:r w:rsidRPr="00C410E4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he Regional Centre for the Safeguarding of the Intangible Cultural Heritage of Latin America (CRESPIAL) for a workshop on policy development for facilitators from Latin America and the Caribbean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(</w:t>
            </w:r>
            <w:r w:rsidRPr="00C410E4">
              <w:rPr>
                <w:rFonts w:ascii="Arial" w:eastAsia="Calibri" w:hAnsi="Arial" w:cs="Arial"/>
                <w:sz w:val="20"/>
                <w:szCs w:val="20"/>
                <w:lang w:val="en-GB"/>
              </w:rPr>
              <w:t>Lima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, </w:t>
            </w:r>
            <w:r w:rsidRPr="00C410E4">
              <w:rPr>
                <w:rFonts w:ascii="Arial" w:eastAsia="Calibri" w:hAnsi="Arial" w:cs="Arial"/>
                <w:sz w:val="20"/>
                <w:szCs w:val="20"/>
                <w:lang w:val="en-GB"/>
              </w:rPr>
              <w:t>October 2016)</w:t>
            </w:r>
          </w:p>
          <w:p w14:paraId="38E3AB2C" w14:textId="77777777" w:rsidR="00B973F3" w:rsidRPr="00C410E4" w:rsidRDefault="00B973F3">
            <w:pPr>
              <w:pStyle w:val="ListParagraph"/>
              <w:numPr>
                <w:ilvl w:val="1"/>
                <w:numId w:val="27"/>
              </w:numPr>
              <w:spacing w:before="60" w:after="60"/>
              <w:ind w:left="714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T</w:t>
            </w:r>
            <w:r w:rsidRPr="00DF06FA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he </w:t>
            </w:r>
            <w:r w:rsidRPr="00C410E4">
              <w:rPr>
                <w:rFonts w:ascii="Arial" w:eastAsia="Calibri" w:hAnsi="Arial" w:cs="Arial"/>
                <w:sz w:val="20"/>
                <w:szCs w:val="20"/>
                <w:lang w:val="en-GB"/>
              </w:rPr>
              <w:t>National Commission of the Kyrgyz Republic for UNESCO</w:t>
            </w:r>
            <w:r w:rsidRPr="00DF06FA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with support from the International Training Centre for Intangible Cultural Heritage in the Asia-Pacific Region (CRIHAP)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for a sub</w:t>
            </w:r>
            <w:r w:rsidRPr="00172B3B">
              <w:rPr>
                <w:rFonts w:ascii="Arial" w:eastAsia="Calibri" w:hAnsi="Arial" w:cs="Arial"/>
                <w:sz w:val="20"/>
                <w:szCs w:val="20"/>
                <w:lang w:val="en-GB"/>
              </w:rPr>
              <w:t>-regional</w:t>
            </w:r>
            <w:r w:rsidRPr="00C410E4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facilitators’ network for Central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Asia </w:t>
            </w:r>
            <w:r w:rsidRPr="00C410E4">
              <w:rPr>
                <w:rFonts w:ascii="Arial" w:eastAsia="Calibri" w:hAnsi="Arial" w:cs="Arial"/>
                <w:sz w:val="20"/>
                <w:szCs w:val="20"/>
                <w:lang w:val="en-GB"/>
              </w:rPr>
              <w:t>in (Bishkek, June 2017)</w:t>
            </w:r>
          </w:p>
          <w:p w14:paraId="112A8750" w14:textId="77777777" w:rsidR="00B973F3" w:rsidRPr="001C6031" w:rsidRDefault="00B973F3">
            <w:pPr>
              <w:pStyle w:val="ListParagraph"/>
              <w:numPr>
                <w:ilvl w:val="1"/>
                <w:numId w:val="27"/>
              </w:numPr>
              <w:spacing w:before="60" w:after="60"/>
              <w:ind w:left="714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T</w:t>
            </w:r>
            <w:r w:rsidRPr="001C603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he Regional Centre for the Safeguarding of Intangible Cultural Heritage in South-Eastern Europe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based </w:t>
            </w:r>
            <w:r w:rsidRPr="001C603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in Sofia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(</w:t>
            </w:r>
            <w:r w:rsidRPr="001C6031">
              <w:rPr>
                <w:rFonts w:ascii="Arial" w:eastAsia="Calibri" w:hAnsi="Arial" w:cs="Arial"/>
                <w:sz w:val="20"/>
                <w:szCs w:val="20"/>
                <w:lang w:val="en-GB"/>
              </w:rPr>
              <w:t>Bulgaria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), for the European network branch on safeguarding plans (Sofia, September 2017)</w:t>
            </w:r>
          </w:p>
          <w:p w14:paraId="2795B0C0" w14:textId="77777777" w:rsidR="00B973F3" w:rsidRDefault="00B973F3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lastRenderedPageBreak/>
              <w:t>1 global meeting organized entitled ‘</w:t>
            </w:r>
            <w:r w:rsidRPr="00C410E4">
              <w:rPr>
                <w:rFonts w:ascii="Arial" w:eastAsia="Calibri" w:hAnsi="Arial" w:cs="Arial"/>
                <w:sz w:val="20"/>
                <w:szCs w:val="20"/>
                <w:lang w:val="en-GB"/>
              </w:rPr>
              <w:t>Envisioning the future of the global capacity-building programme and its facilitators’ network - Strategy meeting with facilitators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’ from all regions</w:t>
            </w:r>
            <w:r w:rsidRPr="00C410E4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(Bangkok, March 2017)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, resulting in proposed new strategic orientations</w:t>
            </w:r>
          </w:p>
          <w:p w14:paraId="34AA816E" w14:textId="77777777" w:rsidR="00B973F3" w:rsidRDefault="00B973F3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 </w:t>
            </w:r>
            <w:r w:rsidRPr="00DC1529">
              <w:rPr>
                <w:rFonts w:ascii="Arial" w:eastAsia="Calibri" w:hAnsi="Arial" w:cs="Arial"/>
                <w:sz w:val="20"/>
                <w:szCs w:val="20"/>
                <w:lang w:val="en-GB"/>
              </w:rPr>
              <w:t>audio-visual t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raining videos developed:</w:t>
            </w:r>
          </w:p>
          <w:p w14:paraId="0C341DF9" w14:textId="77777777" w:rsidR="00B973F3" w:rsidRDefault="00B973F3">
            <w:pPr>
              <w:pStyle w:val="ListParagraph"/>
              <w:numPr>
                <w:ilvl w:val="1"/>
                <w:numId w:val="27"/>
              </w:numPr>
              <w:spacing w:before="60" w:after="60"/>
              <w:ind w:left="714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Preparing safeguarding plans</w:t>
            </w:r>
          </w:p>
          <w:p w14:paraId="466E9819" w14:textId="77777777" w:rsidR="00B973F3" w:rsidRDefault="00B973F3">
            <w:pPr>
              <w:pStyle w:val="ListParagraph"/>
              <w:numPr>
                <w:ilvl w:val="1"/>
                <w:numId w:val="27"/>
              </w:numPr>
              <w:spacing w:before="60" w:after="60"/>
              <w:ind w:left="714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Providing support for policy development</w:t>
            </w:r>
          </w:p>
          <w:p w14:paraId="1BCDCB3B" w14:textId="77777777" w:rsidR="00B973F3" w:rsidRDefault="00B973F3">
            <w:pPr>
              <w:pStyle w:val="ListParagraph"/>
              <w:numPr>
                <w:ilvl w:val="1"/>
                <w:numId w:val="27"/>
              </w:numPr>
              <w:spacing w:before="60" w:after="60"/>
              <w:ind w:left="714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Intangible cultural heritage and gender</w:t>
            </w:r>
          </w:p>
          <w:p w14:paraId="72C84434" w14:textId="40FA493C" w:rsidR="00B973F3" w:rsidRPr="001C6031" w:rsidRDefault="00B973F3" w:rsidP="00951F05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Online reporting tool for facilitators integrated into the interface for preparing workshops.</w:t>
            </w:r>
          </w:p>
        </w:tc>
        <w:tc>
          <w:tcPr>
            <w:tcW w:w="1922" w:type="dxa"/>
            <w:shd w:val="clear" w:color="auto" w:fill="auto"/>
          </w:tcPr>
          <w:p w14:paraId="0CD06B46" w14:textId="15590EB7" w:rsidR="00B973F3" w:rsidRPr="00CF409A" w:rsidRDefault="00B973F3" w:rsidP="00B973F3">
            <w:pPr>
              <w:spacing w:before="360" w:after="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lastRenderedPageBreak/>
              <w:t xml:space="preserve">Partly </w:t>
            </w:r>
            <w:r w:rsidRPr="005563A5">
              <w:rPr>
                <w:rFonts w:ascii="Arial" w:eastAsia="Calibri" w:hAnsi="Arial" w:cs="Arial"/>
                <w:sz w:val="20"/>
                <w:szCs w:val="20"/>
                <w:lang w:val="en-GB"/>
              </w:rPr>
              <w:t>accomplished</w:t>
            </w:r>
          </w:p>
        </w:tc>
      </w:tr>
      <w:tr w:rsidR="00F16E8D" w:rsidRPr="002F3744" w14:paraId="4FD5306A" w14:textId="07ED7FD9" w:rsidTr="007656F8">
        <w:trPr>
          <w:jc w:val="center"/>
        </w:trPr>
        <w:tc>
          <w:tcPr>
            <w:tcW w:w="3969" w:type="dxa"/>
            <w:shd w:val="clear" w:color="auto" w:fill="auto"/>
          </w:tcPr>
          <w:p w14:paraId="00CB1FC5" w14:textId="77777777" w:rsidR="00F16E8D" w:rsidRPr="001C6031" w:rsidRDefault="00F16E8D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O:</w:t>
            </w:r>
          </w:p>
          <w:p w14:paraId="3B4BD70C" w14:textId="77777777" w:rsidR="00F16E8D" w:rsidRPr="00414596" w:rsidRDefault="00F16E8D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414596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Content and format of the capacity-building programme reviewed and adapted to respond to major implementation challenges </w:t>
            </w:r>
          </w:p>
          <w:p w14:paraId="7F28BE99" w14:textId="77777777" w:rsidR="00F16E8D" w:rsidRPr="001C6031" w:rsidRDefault="00F16E8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2016-2017</w:t>
            </w: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295BEDDD" w14:textId="57A157E3" w:rsidR="00F16E8D" w:rsidRPr="00414596" w:rsidRDefault="00F16E8D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7656F8">
              <w:rPr>
                <w:rFonts w:ascii="Arial" w:eastAsia="Calibri" w:hAnsi="Arial" w:cs="Arial"/>
                <w:sz w:val="20"/>
                <w:szCs w:val="20"/>
                <w:lang w:val="en-GB"/>
              </w:rPr>
              <w:t>20 core curriculum materials updated in 3 la</w:t>
            </w:r>
            <w:r w:rsidRPr="00FB5E3F">
              <w:rPr>
                <w:rFonts w:ascii="Arial" w:eastAsia="Calibri" w:hAnsi="Arial" w:cs="Arial"/>
                <w:sz w:val="20"/>
                <w:szCs w:val="20"/>
                <w:lang w:val="en-GB"/>
              </w:rPr>
              <w:t>nguages</w:t>
            </w:r>
            <w:r w:rsidRPr="00414596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to reflect decisions </w:t>
            </w:r>
            <w:r w:rsidR="00A2529F">
              <w:rPr>
                <w:rFonts w:ascii="Arial" w:eastAsia="Calibri" w:hAnsi="Arial" w:cs="Arial"/>
                <w:sz w:val="20"/>
                <w:szCs w:val="20"/>
                <w:lang w:val="en-GB"/>
              </w:rPr>
              <w:t>taken during</w:t>
            </w:r>
            <w:r w:rsidR="00A2529F" w:rsidRPr="00414596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Pr="00414596">
              <w:rPr>
                <w:rFonts w:ascii="Arial" w:eastAsia="Calibri" w:hAnsi="Arial" w:cs="Arial"/>
                <w:sz w:val="20"/>
                <w:szCs w:val="20"/>
                <w:lang w:val="en-GB"/>
              </w:rPr>
              <w:t>statutory meetings</w:t>
            </w:r>
          </w:p>
          <w:p w14:paraId="46C0F972" w14:textId="6558E622" w:rsidR="00F16E8D" w:rsidRPr="00414596" w:rsidRDefault="00A2529F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C</w:t>
            </w:r>
            <w:r w:rsidR="00F16E8D" w:rsidRPr="00414596">
              <w:rPr>
                <w:rFonts w:ascii="Arial" w:eastAsia="Calibri" w:hAnsi="Arial" w:cs="Arial"/>
                <w:sz w:val="20"/>
                <w:szCs w:val="20"/>
                <w:lang w:val="en-GB"/>
              </w:rPr>
              <w:t>ore curriculum</w:t>
            </w:r>
            <w:r w:rsidR="00F16E8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developed</w:t>
            </w:r>
            <w:r w:rsidR="00F16E8D" w:rsidRPr="00414596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="00F16E8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in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2 </w:t>
            </w:r>
            <w:r w:rsidR="00F16E8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languages </w:t>
            </w:r>
            <w:r w:rsidR="00F16E8D" w:rsidRPr="00414596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on preparing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I</w:t>
            </w:r>
            <w:r w:rsidR="00F16E8D" w:rsidRPr="00414596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nternational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Assistance </w:t>
            </w:r>
            <w:r w:rsidR="00F16E8D">
              <w:rPr>
                <w:rFonts w:ascii="Arial" w:eastAsia="Calibri" w:hAnsi="Arial" w:cs="Arial"/>
                <w:sz w:val="20"/>
                <w:szCs w:val="20"/>
                <w:lang w:val="en-GB"/>
              </w:rPr>
              <w:t>requests available</w:t>
            </w:r>
          </w:p>
          <w:p w14:paraId="742E7329" w14:textId="2D3C17A0" w:rsidR="00F16E8D" w:rsidRPr="00414596" w:rsidRDefault="00F16E8D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7 new curricular content</w:t>
            </w:r>
            <w:r w:rsidR="00A2529F">
              <w:rPr>
                <w:rFonts w:ascii="Arial" w:eastAsia="Calibri" w:hAnsi="Arial" w:cs="Arial"/>
                <w:sz w:val="20"/>
                <w:szCs w:val="20"/>
                <w:lang w:val="en-GB"/>
              </w:rPr>
              <w:t>s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developed in </w:t>
            </w:r>
            <w:r w:rsidR="00A2529F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1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language: </w:t>
            </w:r>
            <w:r w:rsidR="00A2529F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1 </w:t>
            </w:r>
            <w:r w:rsidRPr="00414596">
              <w:rPr>
                <w:rFonts w:ascii="Arial" w:eastAsia="Calibri" w:hAnsi="Arial" w:cs="Arial"/>
                <w:sz w:val="20"/>
                <w:szCs w:val="20"/>
                <w:lang w:val="en-GB"/>
              </w:rPr>
              <w:t>unit based on new O</w:t>
            </w:r>
            <w:r w:rsidR="00DE7E4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perational </w:t>
            </w:r>
            <w:r w:rsidRPr="00414596">
              <w:rPr>
                <w:rFonts w:ascii="Arial" w:eastAsia="Calibri" w:hAnsi="Arial" w:cs="Arial"/>
                <w:sz w:val="20"/>
                <w:szCs w:val="20"/>
                <w:lang w:val="en-GB"/>
              </w:rPr>
              <w:t>D</w:t>
            </w:r>
            <w:r w:rsidR="00DE7E4B">
              <w:rPr>
                <w:rFonts w:ascii="Arial" w:eastAsia="Calibri" w:hAnsi="Arial" w:cs="Arial"/>
                <w:sz w:val="20"/>
                <w:szCs w:val="20"/>
                <w:lang w:val="en-GB"/>
              </w:rPr>
              <w:t>irective</w:t>
            </w:r>
            <w:r w:rsidRPr="00414596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s on </w:t>
            </w:r>
            <w:r w:rsidR="00781EE1">
              <w:rPr>
                <w:rFonts w:ascii="Arial" w:eastAsia="Calibri" w:hAnsi="Arial" w:cs="Arial"/>
                <w:sz w:val="20"/>
                <w:szCs w:val="20"/>
                <w:lang w:val="en-GB"/>
              </w:rPr>
              <w:t>intangible cultural heritage</w:t>
            </w:r>
            <w:r w:rsidRPr="00414596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and sustainable development and </w:t>
            </w:r>
            <w:r w:rsidR="00A2529F">
              <w:rPr>
                <w:rFonts w:ascii="Arial" w:eastAsia="Calibri" w:hAnsi="Arial" w:cs="Arial"/>
                <w:sz w:val="20"/>
                <w:szCs w:val="20"/>
                <w:lang w:val="en-GB"/>
              </w:rPr>
              <w:t>6</w:t>
            </w:r>
            <w:r w:rsidR="00A2529F" w:rsidRPr="00414596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Pr="00414596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case studies on policy processes, </w:t>
            </w:r>
            <w:r w:rsidR="00781EE1">
              <w:rPr>
                <w:rFonts w:ascii="Arial" w:eastAsia="Calibri" w:hAnsi="Arial" w:cs="Arial"/>
                <w:sz w:val="20"/>
                <w:szCs w:val="20"/>
                <w:lang w:val="en-GB"/>
              </w:rPr>
              <w:t>intangible cultural heritage</w:t>
            </w:r>
            <w:r w:rsidRPr="00414596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safeguarding in urban settings and gender</w:t>
            </w:r>
          </w:p>
          <w:p w14:paraId="3504E98D" w14:textId="7572D4EA" w:rsidR="00F16E8D" w:rsidRPr="00414596" w:rsidRDefault="00B062AD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F</w:t>
            </w:r>
            <w:r w:rsidR="00F16E8D" w:rsidRPr="00414596">
              <w:rPr>
                <w:rFonts w:ascii="Arial" w:eastAsia="Calibri" w:hAnsi="Arial" w:cs="Arial"/>
                <w:sz w:val="20"/>
                <w:szCs w:val="20"/>
                <w:lang w:val="en-GB"/>
              </w:rPr>
              <w:t>easibility study on using educational technology for online learning undertaken</w:t>
            </w:r>
          </w:p>
          <w:p w14:paraId="0AB0F6C4" w14:textId="515F00FB" w:rsidR="00F16E8D" w:rsidRPr="001C6031" w:rsidRDefault="00F16E8D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414596">
              <w:rPr>
                <w:rFonts w:ascii="Arial" w:eastAsia="Calibri" w:hAnsi="Arial" w:cs="Arial"/>
                <w:sz w:val="20"/>
                <w:szCs w:val="20"/>
                <w:lang w:val="en-GB"/>
              </w:rPr>
              <w:t>IT functionalities updated for the capacity-building programme</w:t>
            </w:r>
            <w:r w:rsidR="00AB33B9">
              <w:rPr>
                <w:rFonts w:ascii="Arial" w:eastAsia="Calibri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D41EEC9" w14:textId="5E38D243" w:rsidR="002B2767" w:rsidRDefault="002A21B7" w:rsidP="00B973F3">
            <w:pPr>
              <w:pStyle w:val="ListParagraph"/>
              <w:numPr>
                <w:ilvl w:val="0"/>
                <w:numId w:val="37"/>
              </w:numPr>
              <w:spacing w:before="360" w:after="60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C</w:t>
            </w:r>
            <w:r w:rsidR="002B2767" w:rsidRPr="00414596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ore curriculum materials </w:t>
            </w:r>
            <w:r w:rsidR="002B2767" w:rsidRPr="001463D4">
              <w:rPr>
                <w:rFonts w:ascii="Arial" w:eastAsia="Calibri" w:hAnsi="Arial" w:cs="Arial"/>
                <w:sz w:val="20"/>
                <w:szCs w:val="20"/>
                <w:lang w:val="en-GB"/>
              </w:rPr>
              <w:t>(Units</w:t>
            </w:r>
            <w:r w:rsidR="001463D4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1</w:t>
            </w:r>
            <w:r w:rsidR="002B2767" w:rsidRPr="001463D4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to</w:t>
            </w:r>
            <w:r w:rsidR="001463D4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15</w:t>
            </w:r>
            <w:r w:rsidR="002B2767" w:rsidRPr="001463D4">
              <w:rPr>
                <w:rFonts w:ascii="Arial" w:eastAsia="Calibri" w:hAnsi="Arial" w:cs="Arial"/>
                <w:sz w:val="20"/>
                <w:szCs w:val="20"/>
                <w:lang w:val="en-GB"/>
              </w:rPr>
              <w:t>)</w:t>
            </w:r>
            <w:r w:rsidR="002B276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="002B2767" w:rsidRPr="00414596">
              <w:rPr>
                <w:rFonts w:ascii="Arial" w:eastAsia="Calibri" w:hAnsi="Arial" w:cs="Arial"/>
                <w:sz w:val="20"/>
                <w:szCs w:val="20"/>
                <w:lang w:val="en-GB"/>
              </w:rPr>
              <w:t>updated</w:t>
            </w:r>
            <w:r w:rsidR="002B276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in </w:t>
            </w:r>
            <w:r w:rsidR="00A2529F">
              <w:rPr>
                <w:rFonts w:ascii="Arial" w:eastAsia="Calibri" w:hAnsi="Arial" w:cs="Arial"/>
                <w:sz w:val="20"/>
                <w:szCs w:val="20"/>
                <w:lang w:val="en-GB"/>
              </w:rPr>
              <w:t>3</w:t>
            </w:r>
            <w:r w:rsidR="002B276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languages and the issues of gender and ethics mainstreamed according to</w:t>
            </w:r>
            <w:r w:rsidR="002B2767" w:rsidRPr="00414596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="002B276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decisions </w:t>
            </w:r>
            <w:r w:rsidR="00A61364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taken during </w:t>
            </w:r>
            <w:r w:rsidR="002B2767">
              <w:rPr>
                <w:rFonts w:ascii="Arial" w:eastAsia="Calibri" w:hAnsi="Arial" w:cs="Arial"/>
                <w:sz w:val="20"/>
                <w:szCs w:val="20"/>
                <w:lang w:val="en-GB"/>
              </w:rPr>
              <w:t>statutory meetings</w:t>
            </w:r>
          </w:p>
          <w:p w14:paraId="647A0E0F" w14:textId="433AFFE5" w:rsidR="002B2767" w:rsidRPr="00414596" w:rsidRDefault="002B2767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Materials for </w:t>
            </w:r>
            <w:r w:rsidR="00A61364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a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training workshop on </w:t>
            </w:r>
            <w:r w:rsidRPr="00414596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preparing </w:t>
            </w:r>
            <w:r w:rsidR="00A61364">
              <w:rPr>
                <w:rFonts w:ascii="Arial" w:eastAsia="Calibri" w:hAnsi="Arial" w:cs="Arial"/>
                <w:sz w:val="20"/>
                <w:szCs w:val="20"/>
                <w:lang w:val="en-GB"/>
              </w:rPr>
              <w:t>I</w:t>
            </w:r>
            <w:r w:rsidRPr="00414596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nternational </w:t>
            </w:r>
            <w:r w:rsidR="00A61364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Assistance requests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developed and available in </w:t>
            </w:r>
            <w:r w:rsidR="00A2529F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2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languages</w:t>
            </w:r>
          </w:p>
          <w:p w14:paraId="6061DE1A" w14:textId="17F05D96" w:rsidR="00A53C15" w:rsidRDefault="00F3010F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More than </w:t>
            </w:r>
            <w:r w:rsidR="00A2529F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7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new</w:t>
            </w:r>
            <w:r w:rsidR="002B276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cur</w:t>
            </w:r>
            <w:r w:rsidR="00A53C15">
              <w:rPr>
                <w:rFonts w:ascii="Arial" w:eastAsia="Calibri" w:hAnsi="Arial" w:cs="Arial"/>
                <w:sz w:val="20"/>
                <w:szCs w:val="20"/>
                <w:lang w:val="en-GB"/>
              </w:rPr>
              <w:t>ricular content</w:t>
            </w:r>
            <w:r w:rsidR="00A61364">
              <w:rPr>
                <w:rFonts w:ascii="Arial" w:eastAsia="Calibri" w:hAnsi="Arial" w:cs="Arial"/>
                <w:sz w:val="20"/>
                <w:szCs w:val="20"/>
                <w:lang w:val="en-GB"/>
              </w:rPr>
              <w:t>s</w:t>
            </w:r>
            <w:r w:rsidR="00A53C15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developed</w:t>
            </w:r>
            <w:r w:rsidR="00A61364">
              <w:rPr>
                <w:rFonts w:ascii="Arial" w:eastAsia="Calibri" w:hAnsi="Arial" w:cs="Arial"/>
                <w:sz w:val="20"/>
                <w:szCs w:val="20"/>
                <w:lang w:val="en-GB"/>
              </w:rPr>
              <w:t>,</w:t>
            </w:r>
            <w:r w:rsidR="00A53C15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as follows:</w:t>
            </w:r>
          </w:p>
          <w:p w14:paraId="1B8D82C3" w14:textId="2C70D787" w:rsidR="00A53C15" w:rsidRDefault="001463D4">
            <w:pPr>
              <w:pStyle w:val="ListParagraph"/>
              <w:numPr>
                <w:ilvl w:val="1"/>
                <w:numId w:val="27"/>
              </w:numPr>
              <w:spacing w:before="60" w:after="60"/>
              <w:ind w:left="714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35</w:t>
            </w:r>
            <w:r w:rsidR="00A53C15" w:rsidRPr="001463D4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="00A53C15">
              <w:rPr>
                <w:rFonts w:ascii="Arial" w:eastAsia="Calibri" w:hAnsi="Arial" w:cs="Arial"/>
                <w:sz w:val="20"/>
                <w:szCs w:val="20"/>
                <w:lang w:val="en-GB"/>
              </w:rPr>
              <w:t>case studies to support States in understanding and using the O</w:t>
            </w:r>
            <w:r w:rsidR="00DE7E4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perational </w:t>
            </w:r>
            <w:r w:rsidR="00A53C15">
              <w:rPr>
                <w:rFonts w:ascii="Arial" w:eastAsia="Calibri" w:hAnsi="Arial" w:cs="Arial"/>
                <w:sz w:val="20"/>
                <w:szCs w:val="20"/>
                <w:lang w:val="en-GB"/>
              </w:rPr>
              <w:t>D</w:t>
            </w:r>
            <w:r w:rsidR="00DE7E4B">
              <w:rPr>
                <w:rFonts w:ascii="Arial" w:eastAsia="Calibri" w:hAnsi="Arial" w:cs="Arial"/>
                <w:sz w:val="20"/>
                <w:szCs w:val="20"/>
                <w:lang w:val="en-GB"/>
              </w:rPr>
              <w:t>irective</w:t>
            </w:r>
            <w:r w:rsidR="00A53C15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s on </w:t>
            </w:r>
            <w:r w:rsidR="00765472">
              <w:rPr>
                <w:rFonts w:ascii="Arial" w:eastAsia="Calibri" w:hAnsi="Arial" w:cs="Arial"/>
                <w:sz w:val="20"/>
                <w:szCs w:val="20"/>
                <w:lang w:val="en-GB"/>
              </w:rPr>
              <w:t>intangible cultural heritage</w:t>
            </w:r>
            <w:r w:rsidR="00A53C15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and sustainable development compiled to be integrated into an online toolbox together with introductory guidance</w:t>
            </w:r>
            <w:r w:rsidR="00A61364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materials</w:t>
            </w:r>
          </w:p>
          <w:p w14:paraId="618DD130" w14:textId="68415B5F" w:rsidR="002B2767" w:rsidRDefault="00A53C15">
            <w:pPr>
              <w:pStyle w:val="ListParagraph"/>
              <w:numPr>
                <w:ilvl w:val="1"/>
                <w:numId w:val="27"/>
              </w:numPr>
              <w:spacing w:before="60" w:after="60"/>
              <w:ind w:left="714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Additional case studies </w:t>
            </w:r>
            <w:r w:rsidR="00A61364">
              <w:rPr>
                <w:rFonts w:ascii="Arial" w:eastAsia="Calibri" w:hAnsi="Arial" w:cs="Arial"/>
                <w:sz w:val="20"/>
                <w:szCs w:val="20"/>
                <w:lang w:val="en-GB"/>
              </w:rPr>
              <w:t>developed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on different subjects: </w:t>
            </w:r>
            <w:r w:rsidR="00A2529F">
              <w:rPr>
                <w:rFonts w:ascii="Arial" w:eastAsia="Calibri" w:hAnsi="Arial" w:cs="Arial"/>
                <w:sz w:val="20"/>
                <w:szCs w:val="20"/>
                <w:lang w:val="en-GB"/>
              </w:rPr>
              <w:t>2</w:t>
            </w:r>
            <w:r w:rsidR="00A2529F" w:rsidRPr="001463D4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Pr="001463D4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on gender and </w:t>
            </w:r>
            <w:r w:rsidR="00765472">
              <w:rPr>
                <w:rFonts w:ascii="Arial" w:eastAsia="Calibri" w:hAnsi="Arial" w:cs="Arial"/>
                <w:sz w:val="20"/>
                <w:szCs w:val="20"/>
                <w:lang w:val="en-GB"/>
              </w:rPr>
              <w:t>intangible cultural heritage</w:t>
            </w:r>
            <w:r w:rsidRPr="001463D4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; </w:t>
            </w:r>
            <w:r w:rsidR="00A2529F">
              <w:rPr>
                <w:rFonts w:ascii="Arial" w:eastAsia="Calibri" w:hAnsi="Arial" w:cs="Arial"/>
                <w:sz w:val="20"/>
                <w:szCs w:val="20"/>
                <w:lang w:val="en-GB"/>
              </w:rPr>
              <w:t>1</w:t>
            </w:r>
            <w:r w:rsidR="00A2529F" w:rsidRPr="001463D4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Pr="001463D4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on </w:t>
            </w:r>
            <w:r w:rsidR="00F3010F" w:rsidRPr="001463D4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safeguarding plans and </w:t>
            </w:r>
            <w:r w:rsidR="00A2529F">
              <w:rPr>
                <w:rFonts w:ascii="Arial" w:eastAsia="Calibri" w:hAnsi="Arial" w:cs="Arial"/>
                <w:sz w:val="20"/>
                <w:szCs w:val="20"/>
                <w:lang w:val="en-GB"/>
              </w:rPr>
              <w:t>1</w:t>
            </w:r>
            <w:r w:rsidR="00A2529F" w:rsidRPr="001463D4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="00F3010F" w:rsidRPr="001463D4">
              <w:rPr>
                <w:rFonts w:ascii="Arial" w:eastAsia="Calibri" w:hAnsi="Arial" w:cs="Arial"/>
                <w:sz w:val="20"/>
                <w:szCs w:val="20"/>
                <w:lang w:val="en-GB"/>
              </w:rPr>
              <w:t>on safeguarding</w:t>
            </w:r>
            <w:r w:rsidR="00F3010F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and policy implications</w:t>
            </w:r>
          </w:p>
          <w:p w14:paraId="42ECC24F" w14:textId="3DE45DAE" w:rsidR="00A53C15" w:rsidRDefault="00A2529F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1 </w:t>
            </w:r>
            <w:r w:rsidR="00CA3532">
              <w:rPr>
                <w:rFonts w:ascii="Arial" w:eastAsia="Calibri" w:hAnsi="Arial" w:cs="Arial"/>
                <w:sz w:val="20"/>
                <w:szCs w:val="20"/>
                <w:lang w:val="en-GB"/>
              </w:rPr>
              <w:t>f</w:t>
            </w:r>
            <w:r w:rsidR="00F3010F">
              <w:rPr>
                <w:rFonts w:ascii="Arial" w:eastAsia="Calibri" w:hAnsi="Arial" w:cs="Arial"/>
                <w:sz w:val="20"/>
                <w:szCs w:val="20"/>
                <w:lang w:val="en-GB"/>
              </w:rPr>
              <w:t>easibility study on using educational technology for online learning prepared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,</w:t>
            </w:r>
            <w:r w:rsidR="00F3010F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leading</w:t>
            </w:r>
            <w:r w:rsidR="00F3010F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to the identification </w:t>
            </w:r>
            <w:r w:rsidR="00F3010F" w:rsidRPr="001463D4">
              <w:rPr>
                <w:rFonts w:ascii="Arial" w:eastAsia="Calibri" w:hAnsi="Arial" w:cs="Arial"/>
                <w:sz w:val="20"/>
                <w:szCs w:val="20"/>
                <w:lang w:val="en-GB"/>
              </w:rPr>
              <w:t>partner</w:t>
            </w:r>
            <w:r w:rsidR="00F3010F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universities potentially interested in further collaboration</w:t>
            </w:r>
          </w:p>
          <w:p w14:paraId="41F785CF" w14:textId="6EF57EDA" w:rsidR="00F16E8D" w:rsidRPr="00B0545E" w:rsidRDefault="00A2529F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 w:hanging="357"/>
              <w:contextualSpacing w:val="0"/>
              <w:rPr>
                <w:rFonts w:eastAsia="Calibri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I</w:t>
            </w:r>
            <w:r w:rsidR="00F3010F" w:rsidRPr="00F7622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nterface </w:t>
            </w:r>
            <w:r w:rsidR="003F6F36" w:rsidRPr="00F7622D">
              <w:rPr>
                <w:rFonts w:ascii="Arial" w:eastAsia="Calibri" w:hAnsi="Arial" w:cs="Arial"/>
                <w:sz w:val="20"/>
                <w:szCs w:val="20"/>
                <w:lang w:val="en-GB"/>
              </w:rPr>
              <w:t>for preparing workshops improved with new functionalitie</w:t>
            </w:r>
            <w:r w:rsidR="003F6F36" w:rsidRPr="00B0545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s for </w:t>
            </w:r>
            <w:r w:rsidR="003F6F36" w:rsidRPr="00B0545E">
              <w:rPr>
                <w:rFonts w:ascii="Arial" w:eastAsia="Calibri" w:hAnsi="Arial" w:cs="Arial"/>
                <w:sz w:val="20"/>
                <w:szCs w:val="20"/>
                <w:lang w:val="en-GB"/>
              </w:rPr>
              <w:lastRenderedPageBreak/>
              <w:t>selecting materials and tracking workshop participants.</w:t>
            </w:r>
          </w:p>
        </w:tc>
        <w:tc>
          <w:tcPr>
            <w:tcW w:w="1922" w:type="dxa"/>
          </w:tcPr>
          <w:p w14:paraId="3D4E4C2C" w14:textId="0FAF1DF7" w:rsidR="00F16E8D" w:rsidRPr="001C6031" w:rsidRDefault="00B8492A" w:rsidP="00B973F3">
            <w:pPr>
              <w:spacing w:before="360" w:after="60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lastRenderedPageBreak/>
              <w:t>Accomplished</w:t>
            </w:r>
          </w:p>
        </w:tc>
      </w:tr>
      <w:tr w:rsidR="00F16E8D" w:rsidRPr="002F3744" w14:paraId="03469A00" w14:textId="7FCD117E" w:rsidTr="007656F8">
        <w:trPr>
          <w:jc w:val="center"/>
        </w:trPr>
        <w:tc>
          <w:tcPr>
            <w:tcW w:w="3969" w:type="dxa"/>
            <w:shd w:val="clear" w:color="auto" w:fill="auto"/>
          </w:tcPr>
          <w:p w14:paraId="40AF20A9" w14:textId="75475555" w:rsidR="00F16E8D" w:rsidRPr="001C6031" w:rsidRDefault="00F16E8D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O:</w:t>
            </w:r>
          </w:p>
          <w:p w14:paraId="588B7B5F" w14:textId="5B106B54" w:rsidR="00F16E8D" w:rsidRPr="00A176A4" w:rsidRDefault="00F16E8D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A176A4">
              <w:rPr>
                <w:rFonts w:ascii="Arial" w:eastAsia="Calibri" w:hAnsi="Arial" w:cs="Arial"/>
                <w:sz w:val="20"/>
                <w:szCs w:val="20"/>
                <w:lang w:val="en-GB"/>
              </w:rPr>
              <w:t>Preliminary follow-up and evaluation mechanism for capacity building piloted</w:t>
            </w:r>
          </w:p>
          <w:p w14:paraId="430EA9C9" w14:textId="77777777" w:rsidR="00F16E8D" w:rsidRPr="001C6031" w:rsidRDefault="00F16E8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2016-2017</w:t>
            </w: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3CFBD62E" w14:textId="1FF2525B" w:rsidR="00F16E8D" w:rsidRDefault="00F16E8D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3 pilot tracer studies conducted in beneficiary countries</w:t>
            </w:r>
          </w:p>
          <w:p w14:paraId="2B18C1B5" w14:textId="2E4E228F" w:rsidR="00F16E8D" w:rsidRPr="00A176A4" w:rsidRDefault="00B062AD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1 </w:t>
            </w:r>
            <w:r w:rsidR="00F16E8D">
              <w:rPr>
                <w:rFonts w:ascii="Arial" w:eastAsia="Calibri" w:hAnsi="Arial" w:cs="Arial"/>
                <w:sz w:val="20"/>
                <w:szCs w:val="20"/>
                <w:lang w:val="en-GB"/>
              </w:rPr>
              <w:t>survey on the use of UNESCO capacity-building materials by other institutions.</w:t>
            </w:r>
          </w:p>
        </w:tc>
        <w:tc>
          <w:tcPr>
            <w:tcW w:w="3969" w:type="dxa"/>
            <w:shd w:val="clear" w:color="auto" w:fill="auto"/>
          </w:tcPr>
          <w:p w14:paraId="1CCF061F" w14:textId="3DCAB495" w:rsidR="00F16E8D" w:rsidRDefault="00CA3532" w:rsidP="00B973F3">
            <w:pPr>
              <w:pStyle w:val="ListParagraph"/>
              <w:numPr>
                <w:ilvl w:val="0"/>
                <w:numId w:val="37"/>
              </w:numPr>
              <w:spacing w:before="360" w:after="60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A p</w:t>
            </w:r>
            <w:r w:rsidR="003F6F36" w:rsidRPr="003F6F36">
              <w:rPr>
                <w:rFonts w:ascii="Arial" w:eastAsia="Calibri" w:hAnsi="Arial" w:cs="Arial"/>
                <w:sz w:val="20"/>
                <w:szCs w:val="20"/>
                <w:lang w:val="en-GB"/>
              </w:rPr>
              <w:t>ilot</w:t>
            </w:r>
            <w:r w:rsidR="003F6F36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tracer study was conducted in </w:t>
            </w:r>
            <w:r w:rsidR="00A2529F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3 </w:t>
            </w:r>
            <w:r w:rsidR="003F6F36">
              <w:rPr>
                <w:rFonts w:ascii="Arial" w:eastAsia="Calibri" w:hAnsi="Arial" w:cs="Arial"/>
                <w:sz w:val="20"/>
                <w:szCs w:val="20"/>
                <w:lang w:val="en-GB"/>
              </w:rPr>
              <w:t>countrie</w:t>
            </w:r>
            <w:r w:rsidR="00B062AD">
              <w:rPr>
                <w:rFonts w:ascii="Arial" w:eastAsia="Calibri" w:hAnsi="Arial" w:cs="Arial"/>
                <w:sz w:val="20"/>
                <w:szCs w:val="20"/>
                <w:lang w:val="en-GB"/>
              </w:rPr>
              <w:t>s (</w:t>
            </w:r>
            <w:r w:rsidR="003F6F36">
              <w:rPr>
                <w:rFonts w:ascii="Arial" w:eastAsia="Calibri" w:hAnsi="Arial" w:cs="Arial"/>
                <w:sz w:val="20"/>
                <w:szCs w:val="20"/>
                <w:lang w:val="en-GB"/>
              </w:rPr>
              <w:t>Nepal, Namibia and Tunisia</w:t>
            </w:r>
            <w:r w:rsidR="00B062AD">
              <w:rPr>
                <w:rFonts w:ascii="Arial" w:eastAsia="Calibri" w:hAnsi="Arial" w:cs="Arial"/>
                <w:sz w:val="20"/>
                <w:szCs w:val="20"/>
                <w:lang w:val="en-GB"/>
              </w:rPr>
              <w:t>)</w:t>
            </w:r>
            <w:r w:rsidR="003F6F36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and a report was prepared</w:t>
            </w:r>
          </w:p>
          <w:p w14:paraId="6FCC14CB" w14:textId="247E9E2F" w:rsidR="00826A53" w:rsidRPr="00B973F3" w:rsidRDefault="00CA3532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A s</w:t>
            </w:r>
            <w:r w:rsidR="003F6F36">
              <w:rPr>
                <w:rFonts w:ascii="Arial" w:eastAsia="Calibri" w:hAnsi="Arial" w:cs="Arial"/>
                <w:sz w:val="20"/>
                <w:szCs w:val="20"/>
                <w:lang w:val="en-GB"/>
              </w:rPr>
              <w:t>urvey was conducted on the use of UNESCO capacity-building materials by external users: 93 respondents answered the survey and a final report was prepared</w:t>
            </w:r>
            <w:r w:rsidR="00DE7E4B">
              <w:rPr>
                <w:rFonts w:ascii="Arial" w:eastAsia="Calibri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922" w:type="dxa"/>
          </w:tcPr>
          <w:p w14:paraId="792502FC" w14:textId="00794AFC" w:rsidR="00F16E8D" w:rsidRPr="001C6031" w:rsidRDefault="00B8492A" w:rsidP="00B973F3">
            <w:pPr>
              <w:spacing w:before="360" w:after="60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Accomplished</w:t>
            </w:r>
          </w:p>
        </w:tc>
      </w:tr>
      <w:tr w:rsidR="00F16E8D" w:rsidRPr="002F3744" w14:paraId="207F6DEF" w14:textId="1BF07343" w:rsidTr="007656F8">
        <w:trPr>
          <w:jc w:val="center"/>
        </w:trPr>
        <w:tc>
          <w:tcPr>
            <w:tcW w:w="3969" w:type="dxa"/>
            <w:shd w:val="clear" w:color="auto" w:fill="auto"/>
          </w:tcPr>
          <w:p w14:paraId="468E94FE" w14:textId="288733B0" w:rsidR="00F16E8D" w:rsidRPr="001C6031" w:rsidRDefault="00F16E8D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O:</w:t>
            </w:r>
          </w:p>
          <w:p w14:paraId="1E6344A6" w14:textId="65D6ACC5" w:rsidR="00F16E8D" w:rsidRPr="007605B2" w:rsidRDefault="00F16E8D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7605B2">
              <w:rPr>
                <w:rFonts w:ascii="Arial" w:eastAsia="Calibri" w:hAnsi="Arial" w:cs="Arial"/>
                <w:sz w:val="20"/>
                <w:szCs w:val="20"/>
                <w:lang w:val="en-GB"/>
              </w:rPr>
              <w:t>Guidance on safeguarding measures and good practices strengthened</w:t>
            </w:r>
          </w:p>
          <w:p w14:paraId="0570EBF3" w14:textId="77777777" w:rsidR="00F16E8D" w:rsidRPr="001C6031" w:rsidRDefault="00F16E8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2016-2017</w:t>
            </w: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42D25B27" w14:textId="77AEE67E" w:rsidR="00F16E8D" w:rsidRPr="009253C3" w:rsidRDefault="00F16E8D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253C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Guidelines on inventories for States Parties developed, taking into account the decisions and recommendations of the Convention’s regulatory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bodies</w:t>
            </w:r>
          </w:p>
          <w:p w14:paraId="1AFFBA6A" w14:textId="0BCD6351" w:rsidR="00F16E8D" w:rsidRPr="009253C3" w:rsidRDefault="00F16E8D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3 p</w:t>
            </w:r>
            <w:r w:rsidRPr="009253C3">
              <w:rPr>
                <w:rFonts w:ascii="Arial" w:eastAsia="Calibri" w:hAnsi="Arial" w:cs="Arial"/>
                <w:sz w:val="20"/>
                <w:szCs w:val="20"/>
                <w:lang w:val="en-GB"/>
              </w:rPr>
              <w:t>roposals collected for alternative, lighter ways of sharing safeguarding experiences to complement the Register o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f Best Safeguarding Practices</w:t>
            </w:r>
          </w:p>
          <w:p w14:paraId="5F9F46C7" w14:textId="7DC4C2D7" w:rsidR="00F16E8D" w:rsidRPr="009253C3" w:rsidRDefault="00F16E8D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253C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Training materials developed to sensitize governments, communities, groups and other relevant stakeholders and intermediaries </w:t>
            </w:r>
            <w:r w:rsidR="00B062AD">
              <w:rPr>
                <w:rFonts w:ascii="Arial" w:eastAsia="Calibri" w:hAnsi="Arial" w:cs="Arial"/>
                <w:sz w:val="20"/>
                <w:szCs w:val="20"/>
                <w:lang w:val="en-GB"/>
              </w:rPr>
              <w:t>about</w:t>
            </w:r>
            <w:r w:rsidRPr="009253C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ethical concerns in the safeguarding of </w:t>
            </w:r>
            <w:r w:rsidR="00765472">
              <w:rPr>
                <w:rFonts w:ascii="Arial" w:eastAsia="Calibri" w:hAnsi="Arial" w:cs="Arial"/>
                <w:sz w:val="20"/>
                <w:szCs w:val="20"/>
                <w:lang w:val="en-GB"/>
              </w:rPr>
              <w:t>intangible cultural heritage</w:t>
            </w:r>
          </w:p>
          <w:p w14:paraId="71A952AB" w14:textId="53B53C18" w:rsidR="00F16E8D" w:rsidRPr="001C6031" w:rsidRDefault="00B062AD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S</w:t>
            </w:r>
            <w:r w:rsidR="00F16E8D" w:rsidRPr="009253C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trategy designed for addressing </w:t>
            </w:r>
            <w:r w:rsidR="00765472">
              <w:rPr>
                <w:rFonts w:ascii="Arial" w:eastAsia="Calibri" w:hAnsi="Arial" w:cs="Arial"/>
                <w:sz w:val="20"/>
                <w:szCs w:val="20"/>
                <w:lang w:val="en-GB"/>
              </w:rPr>
              <w:t>intangible cultural heritage</w:t>
            </w:r>
            <w:r w:rsidR="00F16E8D" w:rsidRPr="009253C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in emergency situa</w:t>
            </w:r>
            <w:r w:rsidR="00F16E8D">
              <w:rPr>
                <w:rFonts w:ascii="Arial" w:eastAsia="Calibri" w:hAnsi="Arial" w:cs="Arial"/>
                <w:sz w:val="20"/>
                <w:szCs w:val="20"/>
                <w:lang w:val="en-GB"/>
              </w:rPr>
              <w:t>tions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,</w:t>
            </w:r>
            <w:r w:rsidR="00F16E8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as described in OD50</w:t>
            </w:r>
            <w:r w:rsidR="00AB33B9">
              <w:rPr>
                <w:rFonts w:ascii="Arial" w:eastAsia="Calibri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29322EB2" w14:textId="34AA0710" w:rsidR="00F16E8D" w:rsidRDefault="00F16E8D" w:rsidP="00B973F3">
            <w:pPr>
              <w:pStyle w:val="ListParagraph"/>
              <w:numPr>
                <w:ilvl w:val="0"/>
                <w:numId w:val="37"/>
              </w:numPr>
              <w:spacing w:before="360" w:after="60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Instead of the limited initial idea to collect 3 proposals for alternative lighters ways of sharing safeguarding experiences, it has been decided </w:t>
            </w:r>
            <w:r w:rsidR="00B062AD">
              <w:rPr>
                <w:rFonts w:ascii="Arial" w:eastAsia="Calibri" w:hAnsi="Arial" w:cs="Arial"/>
                <w:sz w:val="20"/>
                <w:szCs w:val="20"/>
                <w:lang w:val="en-GB"/>
              </w:rPr>
              <w:t>that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a worldwide survey </w:t>
            </w:r>
            <w:r w:rsidR="00B062A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will be carried out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in 2019. A call for proposals to conduct </w:t>
            </w:r>
            <w:r w:rsidR="00B062A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this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survey has been sent out and, out of 47 proposal</w:t>
            </w:r>
            <w:r w:rsidR="00B062AD">
              <w:rPr>
                <w:rFonts w:ascii="Arial" w:eastAsia="Calibri" w:hAnsi="Arial" w:cs="Arial"/>
                <w:sz w:val="20"/>
                <w:szCs w:val="20"/>
                <w:lang w:val="en-GB"/>
              </w:rPr>
              <w:t>s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, a well</w:t>
            </w:r>
            <w:r w:rsidR="00B062AD">
              <w:rPr>
                <w:rFonts w:ascii="Arial" w:eastAsia="Calibri" w:hAnsi="Arial" w:cs="Arial"/>
                <w:sz w:val="20"/>
                <w:szCs w:val="20"/>
                <w:lang w:val="en-GB"/>
              </w:rPr>
              <w:t>-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established institution has been selected to perform </w:t>
            </w:r>
            <w:r w:rsidR="00B062A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survey in 2018</w:t>
            </w:r>
          </w:p>
          <w:p w14:paraId="07D5648F" w14:textId="565E8878" w:rsidR="00F16E8D" w:rsidRPr="00B973F3" w:rsidRDefault="002B2767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Training materials </w:t>
            </w:r>
            <w:r w:rsidRPr="009253C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to sensitize governments, communities, groups and other relevant stakeholders and intermediaries </w:t>
            </w:r>
            <w:r w:rsidR="00B062AD">
              <w:rPr>
                <w:rFonts w:ascii="Arial" w:eastAsia="Calibri" w:hAnsi="Arial" w:cs="Arial"/>
                <w:sz w:val="20"/>
                <w:szCs w:val="20"/>
                <w:lang w:val="en-GB"/>
              </w:rPr>
              <w:t>about</w:t>
            </w:r>
            <w:r w:rsidR="00B062AD" w:rsidRPr="009253C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Pr="009253C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ethical concerns in the safeguarding of </w:t>
            </w:r>
            <w:r w:rsidR="00765472">
              <w:rPr>
                <w:rFonts w:ascii="Arial" w:eastAsia="Calibri" w:hAnsi="Arial" w:cs="Arial"/>
                <w:sz w:val="20"/>
                <w:szCs w:val="20"/>
                <w:lang w:val="en-GB"/>
              </w:rPr>
              <w:t>intangible cultural heritage</w:t>
            </w:r>
            <w:r w:rsidRPr="009253C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were </w:t>
            </w:r>
            <w:r w:rsidR="00B062A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developed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and are under review</w:t>
            </w:r>
            <w:r w:rsidR="006D5FED">
              <w:rPr>
                <w:rFonts w:ascii="Arial" w:eastAsia="Calibri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922" w:type="dxa"/>
          </w:tcPr>
          <w:p w14:paraId="7282929A" w14:textId="53DE0EFD" w:rsidR="00F16E8D" w:rsidRPr="001C6031" w:rsidRDefault="00B8492A" w:rsidP="00B973F3">
            <w:pPr>
              <w:spacing w:before="360" w:after="60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Accomplished</w:t>
            </w:r>
          </w:p>
        </w:tc>
      </w:tr>
    </w:tbl>
    <w:p w14:paraId="5ED9E843" w14:textId="77777777" w:rsidR="00E941EB" w:rsidRPr="001C6031" w:rsidRDefault="00E941EB" w:rsidP="00E941EB">
      <w:pPr>
        <w:keepNext/>
        <w:spacing w:before="240" w:after="120"/>
        <w:rPr>
          <w:rFonts w:ascii="Arial" w:hAnsi="Arial" w:cs="Arial"/>
          <w:b/>
          <w:sz w:val="22"/>
          <w:szCs w:val="22"/>
          <w:lang w:val="en-GB"/>
        </w:rPr>
      </w:pPr>
      <w:r w:rsidRPr="001C6031">
        <w:rPr>
          <w:rFonts w:ascii="Arial" w:hAnsi="Arial" w:cs="Arial"/>
          <w:b/>
          <w:sz w:val="22"/>
          <w:szCs w:val="22"/>
          <w:lang w:val="en-GB"/>
        </w:rPr>
        <w:t>Challenges and risks in implementation and remedial actions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E941EB" w:rsidRPr="001C6031" w14:paraId="0A4139E9" w14:textId="77777777" w:rsidTr="00FD01DA">
        <w:trPr>
          <w:tblHeader/>
        </w:trPr>
        <w:tc>
          <w:tcPr>
            <w:tcW w:w="2500" w:type="pct"/>
            <w:shd w:val="clear" w:color="auto" w:fill="D9D9D9"/>
          </w:tcPr>
          <w:p w14:paraId="68B0401C" w14:textId="77777777" w:rsidR="00E941EB" w:rsidRPr="001C6031" w:rsidRDefault="00E941EB" w:rsidP="00FD01DA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>Key challenges</w:t>
            </w:r>
          </w:p>
        </w:tc>
        <w:tc>
          <w:tcPr>
            <w:tcW w:w="2500" w:type="pct"/>
            <w:shd w:val="clear" w:color="auto" w:fill="D9D9D9"/>
          </w:tcPr>
          <w:p w14:paraId="4C984FFB" w14:textId="77777777" w:rsidR="00E941EB" w:rsidRPr="001C6031" w:rsidRDefault="00E941EB" w:rsidP="00FD01DA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>Remedial actions</w:t>
            </w:r>
          </w:p>
        </w:tc>
      </w:tr>
      <w:tr w:rsidR="00E941EB" w:rsidRPr="002F00E9" w14:paraId="186C28B5" w14:textId="77777777" w:rsidTr="00FD01DA">
        <w:tc>
          <w:tcPr>
            <w:tcW w:w="2500" w:type="pct"/>
          </w:tcPr>
          <w:p w14:paraId="03575E70" w14:textId="053721A0" w:rsidR="00E941EB" w:rsidRPr="001C6031" w:rsidRDefault="00E941EB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The organization of </w:t>
            </w:r>
            <w:r w:rsidRPr="001C603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regional workshops to train facilitators and update skills </w:t>
            </w:r>
            <w:r w:rsidR="00474B65">
              <w:rPr>
                <w:rFonts w:ascii="Arial" w:eastAsia="Calibri" w:hAnsi="Arial" w:cs="Arial"/>
                <w:sz w:val="20"/>
                <w:szCs w:val="20"/>
                <w:lang w:val="en-GB"/>
              </w:rPr>
              <w:t>is</w:t>
            </w:r>
            <w:r w:rsidR="00474B65" w:rsidRPr="001C603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Pr="001C603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contingent on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host-country or partner support</w:t>
            </w:r>
            <w:r w:rsidR="00B062AD">
              <w:rPr>
                <w:rFonts w:ascii="Arial" w:eastAsia="Calibri" w:hAnsi="Arial" w:cs="Arial"/>
                <w:sz w:val="20"/>
                <w:szCs w:val="20"/>
                <w:lang w:val="en-GB"/>
              </w:rPr>
              <w:t>;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="00B062A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this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has proven to be successful in three cases but challenging in one. </w:t>
            </w:r>
            <w:r w:rsidR="00B062AD">
              <w:rPr>
                <w:rFonts w:ascii="Arial" w:eastAsia="Calibri" w:hAnsi="Arial" w:cs="Arial"/>
                <w:sz w:val="20"/>
                <w:szCs w:val="20"/>
                <w:lang w:val="en-GB"/>
              </w:rPr>
              <w:t>At the last minute, t</w:t>
            </w:r>
            <w:r w:rsidR="00DE7E4B">
              <w:rPr>
                <w:rFonts w:ascii="Arial" w:eastAsia="Calibri" w:hAnsi="Arial" w:cs="Arial"/>
                <w:sz w:val="20"/>
                <w:szCs w:val="20"/>
                <w:lang w:val="en-GB"/>
              </w:rPr>
              <w:t>he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commitment for hosting a workshop with facilitators from Arab States </w:t>
            </w:r>
            <w:r w:rsidR="00DE7E4B">
              <w:rPr>
                <w:rFonts w:ascii="Arial" w:eastAsia="Calibri" w:hAnsi="Arial" w:cs="Arial"/>
                <w:sz w:val="20"/>
                <w:szCs w:val="20"/>
                <w:lang w:val="en-GB"/>
              </w:rPr>
              <w:t>could not be maintained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2500" w:type="pct"/>
          </w:tcPr>
          <w:p w14:paraId="49CEAA68" w14:textId="64F8D5A1" w:rsidR="00E941EB" w:rsidRPr="001C6031" w:rsidRDefault="00E941E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The Secretariat approached several members of Electoral Group V b) to identify an alternative host country for a training of facilitators in Arab States. While it was too late in the year to find an alternative</w:t>
            </w:r>
            <w:r w:rsidR="00DE7E4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solution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="00FD55B1">
              <w:rPr>
                <w:rFonts w:ascii="Arial" w:eastAsia="Calibri" w:hAnsi="Arial" w:cs="Arial"/>
                <w:sz w:val="20"/>
                <w:szCs w:val="20"/>
                <w:lang w:val="en-GB"/>
              </w:rPr>
              <w:t>on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time </w:t>
            </w:r>
            <w:r w:rsidR="00B062AD">
              <w:rPr>
                <w:rFonts w:ascii="Arial" w:eastAsia="Calibri" w:hAnsi="Arial" w:cs="Arial"/>
                <w:sz w:val="20"/>
                <w:szCs w:val="20"/>
                <w:lang w:val="en-GB"/>
              </w:rPr>
              <w:t>to organize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the training of facilitators in 2017, the dialogue with potential donors continued with some promising indications for possible support for 2018.</w:t>
            </w:r>
          </w:p>
        </w:tc>
      </w:tr>
      <w:tr w:rsidR="00E941EB" w:rsidRPr="002F00E9" w14:paraId="28A22394" w14:textId="77777777" w:rsidTr="00FD01DA">
        <w:tc>
          <w:tcPr>
            <w:tcW w:w="2500" w:type="pct"/>
          </w:tcPr>
          <w:p w14:paraId="086261D4" w14:textId="7563B75A" w:rsidR="00E941EB" w:rsidRPr="001C6031" w:rsidRDefault="00B062AD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Developing</w:t>
            </w:r>
            <w:r w:rsidR="00E941E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new curricular content requires identifying consultants with expert knowledge in a particular area and </w:t>
            </w:r>
            <w:r w:rsidR="00DE7E4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advanced </w:t>
            </w:r>
            <w:r w:rsidR="00E941E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drafting skills to prepare the actual documents. While the Secretariat has been able to identify consultants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with</w:t>
            </w:r>
            <w:r w:rsidR="00E941E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in-depth </w:t>
            </w:r>
            <w:r w:rsidR="00E941EB">
              <w:rPr>
                <w:rFonts w:ascii="Arial" w:eastAsia="Calibri" w:hAnsi="Arial" w:cs="Arial"/>
                <w:sz w:val="20"/>
                <w:szCs w:val="20"/>
                <w:lang w:val="en-GB"/>
              </w:rPr>
              <w:lastRenderedPageBreak/>
              <w:t xml:space="preserve">knowledge of the Convention’s key content areas, it is often more difficult to ensure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the </w:t>
            </w:r>
            <w:r w:rsidR="00E941EB">
              <w:rPr>
                <w:rFonts w:ascii="Arial" w:eastAsia="Calibri" w:hAnsi="Arial" w:cs="Arial"/>
                <w:sz w:val="20"/>
                <w:szCs w:val="20"/>
                <w:lang w:val="en-GB"/>
              </w:rPr>
              <w:t>quality and consistency of the written documents, which led to delays in producing the edited version.</w:t>
            </w:r>
          </w:p>
        </w:tc>
        <w:tc>
          <w:tcPr>
            <w:tcW w:w="2500" w:type="pct"/>
          </w:tcPr>
          <w:p w14:paraId="414FACBA" w14:textId="39287DCC" w:rsidR="00E941EB" w:rsidRPr="001C6031" w:rsidRDefault="00E941EB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lastRenderedPageBreak/>
              <w:t xml:space="preserve">In the short term, the Secretariat has approached this issue in various ways: editors have been contracted to improve documents, </w:t>
            </w:r>
            <w:r w:rsidR="00FD55B1">
              <w:rPr>
                <w:rFonts w:ascii="Arial" w:eastAsia="Calibri" w:hAnsi="Arial" w:cs="Arial"/>
                <w:sz w:val="20"/>
                <w:szCs w:val="20"/>
                <w:lang w:val="en-GB"/>
              </w:rPr>
              <w:t>the Secretariat has taken on part of the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writing work and there have been efforts to provide more guidance to consultants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lastRenderedPageBreak/>
              <w:t>before they begin writing. One ide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a, which has not been implemented yet for budgetary reasons, is to create a small team </w:t>
            </w:r>
            <w:r w:rsidR="00474B6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dedicated to </w:t>
            </w:r>
            <w:r w:rsidR="00B062AD">
              <w:rPr>
                <w:rFonts w:ascii="Arial" w:eastAsia="Calibri" w:hAnsi="Arial" w:cs="Arial"/>
                <w:sz w:val="20"/>
                <w:szCs w:val="20"/>
                <w:lang w:val="en-US"/>
              </w:rPr>
              <w:t>the development of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materials, with each team member taking on a specific role (drafting, conceptual development, peer review, etc.).</w:t>
            </w:r>
          </w:p>
        </w:tc>
      </w:tr>
    </w:tbl>
    <w:p w14:paraId="4E0F8AFF" w14:textId="69160E49" w:rsidR="00A74D6C" w:rsidRDefault="00A74D6C" w:rsidP="00473C13">
      <w:pPr>
        <w:keepNext/>
        <w:spacing w:before="240" w:after="120"/>
        <w:ind w:left="851" w:hanging="851"/>
        <w:rPr>
          <w:rFonts w:ascii="Arial" w:hAnsi="Arial" w:cs="Arial"/>
          <w:b/>
          <w:bCs/>
          <w:sz w:val="22"/>
          <w:szCs w:val="22"/>
          <w:lang w:val="en-GB"/>
        </w:rPr>
      </w:pPr>
      <w:r w:rsidRPr="001C6031">
        <w:rPr>
          <w:rFonts w:ascii="Arial" w:hAnsi="Arial" w:cs="Arial"/>
          <w:b/>
          <w:sz w:val="22"/>
          <w:szCs w:val="22"/>
          <w:lang w:val="en-GB"/>
        </w:rPr>
        <w:lastRenderedPageBreak/>
        <w:t>ER 3:</w:t>
      </w:r>
      <w:r w:rsidRPr="001C6031">
        <w:rPr>
          <w:rFonts w:ascii="Arial" w:hAnsi="Arial" w:cs="Arial"/>
          <w:b/>
          <w:sz w:val="22"/>
          <w:szCs w:val="22"/>
          <w:lang w:val="en-GB"/>
        </w:rPr>
        <w:tab/>
      </w:r>
      <w:r w:rsidR="0076712C" w:rsidRPr="00696A00">
        <w:rPr>
          <w:rFonts w:ascii="Arial" w:hAnsi="Arial" w:cs="Arial"/>
          <w:b/>
          <w:bCs/>
          <w:sz w:val="22"/>
          <w:szCs w:val="22"/>
          <w:lang w:val="en-GB"/>
        </w:rPr>
        <w:t xml:space="preserve">Overall results framework developed to monitor </w:t>
      </w:r>
      <w:r w:rsidR="00B062AD">
        <w:rPr>
          <w:rFonts w:ascii="Arial" w:hAnsi="Arial" w:cs="Arial"/>
          <w:b/>
          <w:bCs/>
          <w:sz w:val="22"/>
          <w:szCs w:val="22"/>
          <w:lang w:val="en-GB"/>
        </w:rPr>
        <w:t xml:space="preserve">the </w:t>
      </w:r>
      <w:r w:rsidR="0076712C" w:rsidRPr="00696A00">
        <w:rPr>
          <w:rFonts w:ascii="Arial" w:hAnsi="Arial" w:cs="Arial"/>
          <w:b/>
          <w:bCs/>
          <w:sz w:val="22"/>
          <w:szCs w:val="22"/>
          <w:lang w:val="en-GB"/>
        </w:rPr>
        <w:t>implementation of the Convention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3876"/>
        <w:gridCol w:w="1876"/>
      </w:tblGrid>
      <w:tr w:rsidR="00A74D6C" w:rsidRPr="001C6031" w14:paraId="017532F4" w14:textId="77777777" w:rsidTr="00842D1A">
        <w:tc>
          <w:tcPr>
            <w:tcW w:w="2013" w:type="pct"/>
            <w:tcBorders>
              <w:bottom w:val="single" w:sz="4" w:space="0" w:color="auto"/>
            </w:tcBorders>
            <w:shd w:val="clear" w:color="auto" w:fill="C6D9F1"/>
          </w:tcPr>
          <w:p w14:paraId="45543C71" w14:textId="77777777" w:rsidR="00A74D6C" w:rsidRPr="001C6031" w:rsidRDefault="00A74D6C" w:rsidP="00473C13">
            <w:pPr>
              <w:keepNext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Allocation</w:t>
            </w:r>
          </w:p>
        </w:tc>
        <w:tc>
          <w:tcPr>
            <w:tcW w:w="2013" w:type="pct"/>
            <w:shd w:val="clear" w:color="auto" w:fill="C6D9F1"/>
          </w:tcPr>
          <w:p w14:paraId="4B9F92CB" w14:textId="77777777" w:rsidR="00A74D6C" w:rsidRPr="001C6031" w:rsidRDefault="00A74D6C" w:rsidP="00473C13">
            <w:pPr>
              <w:keepNext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Expenditures</w:t>
            </w:r>
          </w:p>
        </w:tc>
        <w:tc>
          <w:tcPr>
            <w:tcW w:w="974" w:type="pct"/>
            <w:shd w:val="clear" w:color="auto" w:fill="C6D9F1"/>
          </w:tcPr>
          <w:p w14:paraId="43CF441F" w14:textId="77777777" w:rsidR="00A74D6C" w:rsidRPr="001C6031" w:rsidRDefault="00A74D6C" w:rsidP="00473C13">
            <w:pPr>
              <w:keepNext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Exp. Rate %</w:t>
            </w:r>
          </w:p>
        </w:tc>
      </w:tr>
      <w:tr w:rsidR="00A74D6C" w:rsidRPr="001C6031" w14:paraId="4D4A0A4C" w14:textId="77777777" w:rsidTr="00842D1A">
        <w:tc>
          <w:tcPr>
            <w:tcW w:w="2013" w:type="pct"/>
            <w:tcBorders>
              <w:bottom w:val="single" w:sz="4" w:space="0" w:color="auto"/>
            </w:tcBorders>
            <w:shd w:val="clear" w:color="auto" w:fill="auto"/>
          </w:tcPr>
          <w:p w14:paraId="08307E61" w14:textId="616EBBB2" w:rsidR="00A74D6C" w:rsidRPr="001C6031" w:rsidRDefault="0076712C" w:rsidP="0076712C">
            <w:pPr>
              <w:keepNext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50,000</w:t>
            </w:r>
          </w:p>
        </w:tc>
        <w:tc>
          <w:tcPr>
            <w:tcW w:w="2013" w:type="pct"/>
            <w:shd w:val="clear" w:color="auto" w:fill="auto"/>
          </w:tcPr>
          <w:p w14:paraId="476D0A82" w14:textId="70238B88" w:rsidR="00A74D6C" w:rsidRPr="001C6031" w:rsidRDefault="0076712C" w:rsidP="00473C13">
            <w:pPr>
              <w:keepNext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32,62</w:t>
            </w:r>
            <w:r w:rsidR="007656F8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974" w:type="pct"/>
            <w:shd w:val="clear" w:color="auto" w:fill="auto"/>
          </w:tcPr>
          <w:p w14:paraId="3D38F634" w14:textId="0099DF60" w:rsidR="00A74D6C" w:rsidRPr="001C6031" w:rsidRDefault="0076712C" w:rsidP="00473C13">
            <w:pPr>
              <w:keepNext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65.2</w:t>
            </w:r>
            <w:r w:rsidR="00A74D6C" w:rsidRPr="001C6031">
              <w:rPr>
                <w:rFonts w:ascii="Arial" w:eastAsia="Calibri" w:hAnsi="Arial" w:cs="Arial"/>
                <w:sz w:val="20"/>
                <w:szCs w:val="20"/>
                <w:lang w:val="en-GB"/>
              </w:rPr>
              <w:t>%</w:t>
            </w:r>
          </w:p>
        </w:tc>
      </w:tr>
    </w:tbl>
    <w:p w14:paraId="2C79E48C" w14:textId="77777777" w:rsidR="00A74D6C" w:rsidRPr="00B973F3" w:rsidRDefault="00A74D6C" w:rsidP="00B973F3">
      <w:pPr>
        <w:ind w:left="851" w:hanging="851"/>
        <w:rPr>
          <w:rFonts w:ascii="Arial" w:hAnsi="Arial" w:cs="Arial"/>
          <w:bCs/>
          <w:sz w:val="22"/>
          <w:szCs w:val="22"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  <w:gridCol w:w="3856"/>
        <w:gridCol w:w="1908"/>
      </w:tblGrid>
      <w:tr w:rsidR="00842D1A" w:rsidRPr="001C6031" w14:paraId="5B2EBEA2" w14:textId="10DDA90C" w:rsidTr="007656F8">
        <w:trPr>
          <w:tblHeader/>
          <w:jc w:val="center"/>
        </w:trPr>
        <w:tc>
          <w:tcPr>
            <w:tcW w:w="3969" w:type="dxa"/>
            <w:shd w:val="clear" w:color="auto" w:fill="D9D9D9" w:themeFill="background1" w:themeFillShade="D9"/>
          </w:tcPr>
          <w:p w14:paraId="5B4187A7" w14:textId="77777777" w:rsidR="00842D1A" w:rsidRPr="001C6031" w:rsidRDefault="00842D1A" w:rsidP="005F7CB2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Output (O)</w:t>
            </w: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br/>
              <w:t>Indicators/Benchmark (B)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BFE05BB" w14:textId="17377BA4" w:rsidR="00842D1A" w:rsidRPr="001C6031" w:rsidRDefault="00842D1A" w:rsidP="005F7CB2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As</w:t>
            </w:r>
            <w:r w:rsidR="002021ED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sessment of progress:</w:t>
            </w:r>
            <w:r w:rsidR="002021ED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br/>
              <w:t>01/01/2016 to 31/12/2017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22AAE5D0" w14:textId="6F5EC4F6" w:rsidR="00842D1A" w:rsidRPr="001C6031" w:rsidRDefault="00842D1A" w:rsidP="005F7CB2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Assessment of implementation</w:t>
            </w:r>
          </w:p>
        </w:tc>
      </w:tr>
      <w:tr w:rsidR="00842D1A" w:rsidRPr="002A2343" w14:paraId="13E00829" w14:textId="113F15BC" w:rsidTr="007656F8">
        <w:trPr>
          <w:jc w:val="center"/>
        </w:trPr>
        <w:tc>
          <w:tcPr>
            <w:tcW w:w="3969" w:type="dxa"/>
            <w:shd w:val="clear" w:color="auto" w:fill="auto"/>
          </w:tcPr>
          <w:p w14:paraId="2B5435AE" w14:textId="71EFE405" w:rsidR="00842D1A" w:rsidRPr="001C6031" w:rsidRDefault="00842D1A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O:</w:t>
            </w:r>
          </w:p>
          <w:p w14:paraId="2B262B90" w14:textId="13158128" w:rsidR="002021ED" w:rsidRPr="002021ED" w:rsidRDefault="00B062AD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O</w:t>
            </w:r>
            <w:r w:rsidR="002021ED" w:rsidRPr="002021E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verall results framework for the Convention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developed</w:t>
            </w:r>
          </w:p>
          <w:p w14:paraId="43F52708" w14:textId="1DADAF2E" w:rsidR="002021ED" w:rsidRPr="001C6031" w:rsidRDefault="002021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2016-2017</w:t>
            </w: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2A5EC06E" w14:textId="33622C7C" w:rsidR="002021ED" w:rsidRPr="002021ED" w:rsidRDefault="00B062AD" w:rsidP="00951F05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 w:hanging="357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P</w:t>
            </w:r>
            <w:r w:rsidR="002021ED" w:rsidRPr="002021ED">
              <w:rPr>
                <w:rFonts w:ascii="Arial" w:eastAsia="Calibri" w:hAnsi="Arial" w:cs="Arial"/>
                <w:sz w:val="20"/>
                <w:szCs w:val="20"/>
                <w:lang w:val="en-GB"/>
              </w:rPr>
              <w:t>reliminary category VI meeting of experts to lay the foundation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s</w:t>
            </w:r>
            <w:r w:rsidR="002021ED" w:rsidRPr="002021E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for constructing</w:t>
            </w:r>
            <w:r w:rsidR="002021ED" w:rsidRPr="002021E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an overall results framework of the Convention </w:t>
            </w:r>
          </w:p>
          <w:p w14:paraId="703C69B4" w14:textId="450B88D2" w:rsidR="002021ED" w:rsidRDefault="00B062AD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O</w:t>
            </w:r>
            <w:r w:rsidR="002021ED" w:rsidRPr="002021E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pen-ended intergovernmental working group to examine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the </w:t>
            </w:r>
            <w:r w:rsidR="002021ED" w:rsidRPr="002021ED">
              <w:rPr>
                <w:rFonts w:ascii="Arial" w:eastAsia="Calibri" w:hAnsi="Arial" w:cs="Arial"/>
                <w:sz w:val="20"/>
                <w:szCs w:val="20"/>
                <w:lang w:val="en-GB"/>
              </w:rPr>
              <w:t>preliminary recommendations of possible directives</w:t>
            </w:r>
          </w:p>
          <w:p w14:paraId="308DED9D" w14:textId="38FCE63A" w:rsidR="00842D1A" w:rsidRPr="001C6031" w:rsidRDefault="00B062AD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P</w:t>
            </w:r>
            <w:r w:rsidR="002021ED" w:rsidRPr="002021E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reliminary tool developed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for</w:t>
            </w:r>
            <w:r w:rsidRPr="002021E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="002021ED" w:rsidRPr="002021ED">
              <w:rPr>
                <w:rFonts w:ascii="Arial" w:eastAsia="Calibri" w:hAnsi="Arial" w:cs="Arial"/>
                <w:sz w:val="20"/>
                <w:szCs w:val="20"/>
                <w:lang w:val="en-GB"/>
              </w:rPr>
              <w:t>systematiz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ing</w:t>
            </w:r>
            <w:r w:rsidR="002021ED" w:rsidRPr="002021E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data collection and analysis to monitor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the</w:t>
            </w:r>
            <w:r w:rsidR="002021ED" w:rsidRPr="002021E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implementation of the Convention</w:t>
            </w:r>
            <w:r w:rsidR="00AB33B9">
              <w:rPr>
                <w:rFonts w:ascii="Arial" w:eastAsia="Calibri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7CBDF83" w14:textId="6B8CFAE8" w:rsidR="00DA49F6" w:rsidRPr="00B973F3" w:rsidRDefault="00B062AD" w:rsidP="00951F05">
            <w:pPr>
              <w:pStyle w:val="ListParagraph"/>
              <w:numPr>
                <w:ilvl w:val="0"/>
                <w:numId w:val="37"/>
              </w:numPr>
              <w:spacing w:before="360" w:after="60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R</w:t>
            </w:r>
            <w:r w:rsidR="00DA49F6" w:rsidRPr="00B973F3">
              <w:rPr>
                <w:rFonts w:ascii="Arial" w:eastAsia="Calibri" w:hAnsi="Arial" w:cs="Arial"/>
                <w:sz w:val="20"/>
                <w:szCs w:val="20"/>
                <w:lang w:val="en-GB"/>
              </w:rPr>
              <w:t>esults map developed through a preliminary category VI meeti</w:t>
            </w:r>
            <w:r w:rsidR="00951F05">
              <w:rPr>
                <w:rFonts w:ascii="Arial" w:eastAsia="Calibri" w:hAnsi="Arial" w:cs="Arial"/>
                <w:sz w:val="20"/>
                <w:szCs w:val="20"/>
                <w:lang w:val="en-GB"/>
              </w:rPr>
              <w:t>ng of experts organized in 2016</w:t>
            </w:r>
          </w:p>
          <w:p w14:paraId="734A90DC" w14:textId="0A89B945" w:rsidR="00DA49F6" w:rsidRPr="00732E6E" w:rsidRDefault="00814EB2" w:rsidP="00951F05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D</w:t>
            </w:r>
            <w:r w:rsidR="00DA49F6" w:rsidRPr="00732E6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raft overall results framework for the Convention </w:t>
            </w:r>
            <w:r w:rsidR="000A0CE6">
              <w:rPr>
                <w:rFonts w:ascii="Arial" w:eastAsia="Calibri" w:hAnsi="Arial" w:cs="Arial"/>
                <w:sz w:val="20"/>
                <w:szCs w:val="20"/>
                <w:lang w:val="en-GB"/>
              </w:rPr>
              <w:t>developed</w:t>
            </w:r>
            <w:r w:rsidR="00DA49F6" w:rsidRPr="00732E6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="00DA49F6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by an </w:t>
            </w:r>
            <w:r w:rsidR="00DA49F6" w:rsidRPr="002021E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open-ended intergovernmental working group </w:t>
            </w:r>
            <w:r w:rsidR="00DA49F6" w:rsidRPr="00732E6E">
              <w:rPr>
                <w:rFonts w:ascii="Arial" w:eastAsia="Calibri" w:hAnsi="Arial" w:cs="Arial"/>
                <w:sz w:val="20"/>
                <w:szCs w:val="20"/>
                <w:lang w:val="en-GB"/>
              </w:rPr>
              <w:t>and endorsed by 12</w:t>
            </w:r>
            <w:r w:rsidR="00DA49F6">
              <w:rPr>
                <w:rFonts w:ascii="Arial" w:eastAsia="Calibri" w:hAnsi="Arial" w:cs="Arial"/>
                <w:sz w:val="20"/>
                <w:szCs w:val="20"/>
                <w:lang w:val="en-GB"/>
              </w:rPr>
              <w:t>.</w:t>
            </w:r>
            <w:r w:rsidR="00DA49F6" w:rsidRPr="00732E6E">
              <w:rPr>
                <w:rFonts w:ascii="Arial" w:eastAsia="Calibri" w:hAnsi="Arial" w:cs="Arial"/>
                <w:sz w:val="20"/>
                <w:szCs w:val="20"/>
                <w:lang w:val="en-GB"/>
              </w:rPr>
              <w:t>COM</w:t>
            </w:r>
          </w:p>
          <w:p w14:paraId="4FE15E00" w14:textId="190961AB" w:rsidR="00DA49F6" w:rsidRPr="00B973F3" w:rsidRDefault="000A0CE6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R</w:t>
            </w:r>
            <w:r w:rsidR="00DA49F6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eform of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the </w:t>
            </w:r>
            <w:r w:rsidR="00DA49F6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periodic reporting mechanism initiated by 12.COM to serve as a data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source </w:t>
            </w:r>
            <w:r w:rsidR="00DA49F6">
              <w:rPr>
                <w:rFonts w:ascii="Arial" w:eastAsia="Calibri" w:hAnsi="Arial" w:cs="Arial"/>
                <w:sz w:val="20"/>
                <w:szCs w:val="20"/>
                <w:lang w:val="en-GB"/>
              </w:rPr>
              <w:t>to monitor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the</w:t>
            </w:r>
            <w:r w:rsidR="00DA49F6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implementation of the Convention.</w:t>
            </w:r>
          </w:p>
        </w:tc>
        <w:tc>
          <w:tcPr>
            <w:tcW w:w="1922" w:type="dxa"/>
          </w:tcPr>
          <w:p w14:paraId="3C31977A" w14:textId="51DF31BC" w:rsidR="00842D1A" w:rsidRPr="001C6031" w:rsidRDefault="00850A0B" w:rsidP="00B973F3">
            <w:pPr>
              <w:spacing w:before="360" w:after="60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Accomplished</w:t>
            </w:r>
          </w:p>
        </w:tc>
      </w:tr>
    </w:tbl>
    <w:p w14:paraId="018F7D83" w14:textId="2FCB8FC8" w:rsidR="00A74D6C" w:rsidRPr="001C6031" w:rsidRDefault="00A74D6C" w:rsidP="005F7CB2">
      <w:pPr>
        <w:keepNext/>
        <w:spacing w:before="240" w:after="120"/>
        <w:rPr>
          <w:rFonts w:ascii="Arial" w:hAnsi="Arial" w:cs="Arial"/>
          <w:b/>
          <w:sz w:val="22"/>
          <w:szCs w:val="22"/>
          <w:lang w:val="en-GB"/>
        </w:rPr>
      </w:pPr>
      <w:r w:rsidRPr="001C6031">
        <w:rPr>
          <w:rFonts w:ascii="Arial" w:hAnsi="Arial" w:cs="Arial"/>
          <w:b/>
          <w:sz w:val="22"/>
          <w:szCs w:val="22"/>
          <w:lang w:val="en-GB"/>
        </w:rPr>
        <w:t>Challenges and risks in implementation and remedial actions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A74D6C" w:rsidRPr="001C6031" w14:paraId="3B47F251" w14:textId="77777777" w:rsidTr="00907D3B">
        <w:trPr>
          <w:tblHeader/>
        </w:trPr>
        <w:tc>
          <w:tcPr>
            <w:tcW w:w="2500" w:type="pct"/>
            <w:shd w:val="clear" w:color="auto" w:fill="D9D9D9"/>
          </w:tcPr>
          <w:p w14:paraId="78CEB632" w14:textId="77777777" w:rsidR="00A74D6C" w:rsidRPr="001C6031" w:rsidRDefault="00A74D6C" w:rsidP="005F7CB2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>Key challenges</w:t>
            </w:r>
          </w:p>
        </w:tc>
        <w:tc>
          <w:tcPr>
            <w:tcW w:w="2500" w:type="pct"/>
            <w:shd w:val="clear" w:color="auto" w:fill="D9D9D9"/>
          </w:tcPr>
          <w:p w14:paraId="2D30916E" w14:textId="77777777" w:rsidR="00A74D6C" w:rsidRPr="001C6031" w:rsidRDefault="00A74D6C" w:rsidP="005F7CB2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>Remedial actions</w:t>
            </w:r>
          </w:p>
        </w:tc>
      </w:tr>
      <w:tr w:rsidR="00DA49F6" w:rsidRPr="002F00E9" w14:paraId="562784FF" w14:textId="77777777" w:rsidTr="00C410E4">
        <w:tc>
          <w:tcPr>
            <w:tcW w:w="2500" w:type="pct"/>
            <w:tcBorders>
              <w:bottom w:val="single" w:sz="4" w:space="0" w:color="000000"/>
            </w:tcBorders>
          </w:tcPr>
          <w:p w14:paraId="5227E098" w14:textId="351EECC7" w:rsidR="00DA49F6" w:rsidRPr="001C6031" w:rsidRDefault="000A0CE6" w:rsidP="0076547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Developing</w:t>
            </w:r>
            <w:r w:rsidR="00DA49F6">
              <w:rPr>
                <w:rFonts w:ascii="Arial" w:hAnsi="Arial" w:cs="Arial"/>
                <w:sz w:val="20"/>
                <w:szCs w:val="20"/>
                <w:lang w:val="en-GB"/>
              </w:rPr>
              <w:t xml:space="preserve"> an overall results framework required high-level expertise not only in the safeguarding of </w:t>
            </w:r>
            <w:r w:rsidR="00765472">
              <w:rPr>
                <w:rFonts w:ascii="Arial" w:hAnsi="Arial" w:cs="Arial"/>
                <w:sz w:val="20"/>
                <w:szCs w:val="20"/>
                <w:lang w:val="en-GB"/>
              </w:rPr>
              <w:t>intangible cultural heritage</w:t>
            </w:r>
            <w:r w:rsidR="00DA49F6">
              <w:rPr>
                <w:rFonts w:ascii="Arial" w:hAnsi="Arial" w:cs="Arial"/>
                <w:sz w:val="20"/>
                <w:szCs w:val="20"/>
                <w:lang w:val="en-GB"/>
              </w:rPr>
              <w:t xml:space="preserve"> but also in monitoring and evaluation. The pool of experts and facilitators that normally cooperate with the UNESCO Secretariat did not include specialists in </w:t>
            </w:r>
            <w:r w:rsidR="00A6475B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DA49F6">
              <w:rPr>
                <w:rFonts w:ascii="Arial" w:hAnsi="Arial" w:cs="Arial"/>
                <w:sz w:val="20"/>
                <w:szCs w:val="20"/>
                <w:lang w:val="en-GB"/>
              </w:rPr>
              <w:t>esults</w:t>
            </w:r>
            <w:r w:rsidR="002B7C8E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A6475B"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DA49F6">
              <w:rPr>
                <w:rFonts w:ascii="Arial" w:hAnsi="Arial" w:cs="Arial"/>
                <w:sz w:val="20"/>
                <w:szCs w:val="20"/>
                <w:lang w:val="en-GB"/>
              </w:rPr>
              <w:t xml:space="preserve">ased </w:t>
            </w:r>
            <w:r w:rsidR="00A6475B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="00DA49F6">
              <w:rPr>
                <w:rFonts w:ascii="Arial" w:hAnsi="Arial" w:cs="Arial"/>
                <w:sz w:val="20"/>
                <w:szCs w:val="20"/>
                <w:lang w:val="en-GB"/>
              </w:rPr>
              <w:t xml:space="preserve">anagement (RBM) or </w:t>
            </w:r>
            <w:r w:rsidR="00814EB2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="00DA49F6">
              <w:rPr>
                <w:rFonts w:ascii="Arial" w:hAnsi="Arial" w:cs="Arial"/>
                <w:sz w:val="20"/>
                <w:szCs w:val="20"/>
                <w:lang w:val="en-GB"/>
              </w:rPr>
              <w:t xml:space="preserve">onitoring </w:t>
            </w:r>
            <w:r w:rsidR="00814EB2">
              <w:rPr>
                <w:rFonts w:ascii="Arial" w:hAnsi="Arial" w:cs="Arial"/>
                <w:sz w:val="20"/>
                <w:szCs w:val="20"/>
                <w:lang w:val="en-GB"/>
              </w:rPr>
              <w:t>and</w:t>
            </w:r>
            <w:r w:rsidR="00DA49F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14EB2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DA49F6">
              <w:rPr>
                <w:rFonts w:ascii="Arial" w:hAnsi="Arial" w:cs="Arial"/>
                <w:sz w:val="20"/>
                <w:szCs w:val="20"/>
                <w:lang w:val="en-GB"/>
              </w:rPr>
              <w:t xml:space="preserve">valuation. Even </w:t>
            </w:r>
            <w:r w:rsidR="00814EB2">
              <w:rPr>
                <w:rFonts w:ascii="Arial" w:hAnsi="Arial" w:cs="Arial"/>
                <w:sz w:val="20"/>
                <w:szCs w:val="20"/>
                <w:lang w:val="en-GB"/>
              </w:rPr>
              <w:t>for</w:t>
            </w:r>
            <w:r w:rsidR="00DA49F6">
              <w:rPr>
                <w:rFonts w:ascii="Arial" w:hAnsi="Arial" w:cs="Arial"/>
                <w:sz w:val="20"/>
                <w:szCs w:val="20"/>
                <w:lang w:val="en-GB"/>
              </w:rPr>
              <w:t xml:space="preserve"> the expert meeting in 2016, it was difficult to find good experts with a reasonable balance between knowledge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about</w:t>
            </w:r>
            <w:r w:rsidR="00DA49F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65472">
              <w:rPr>
                <w:rFonts w:ascii="Arial" w:hAnsi="Arial" w:cs="Arial"/>
                <w:sz w:val="20"/>
                <w:szCs w:val="20"/>
                <w:lang w:val="en-GB"/>
              </w:rPr>
              <w:t>intangible cultural heritage</w:t>
            </w:r>
            <w:r w:rsidR="00DA49F6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DA49F6">
              <w:rPr>
                <w:rFonts w:ascii="Arial" w:hAnsi="Arial" w:cs="Arial"/>
                <w:sz w:val="20"/>
                <w:szCs w:val="20"/>
                <w:lang w:val="en-GB"/>
              </w:rPr>
              <w:t>RBM approach.</w:t>
            </w:r>
          </w:p>
        </w:tc>
        <w:tc>
          <w:tcPr>
            <w:tcW w:w="2500" w:type="pct"/>
            <w:tcBorders>
              <w:bottom w:val="single" w:sz="4" w:space="0" w:color="000000"/>
            </w:tcBorders>
          </w:tcPr>
          <w:p w14:paraId="5EE018E2" w14:textId="149BACF8" w:rsidR="00DA49F6" w:rsidRPr="001C6031" w:rsidRDefault="00DA49F6" w:rsidP="00DA49F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Extensive </w:t>
            </w:r>
            <w:r w:rsidR="000A0CE6">
              <w:rPr>
                <w:rFonts w:ascii="Arial" w:hAnsi="Arial" w:cs="Arial"/>
                <w:sz w:val="20"/>
                <w:szCs w:val="20"/>
                <w:lang w:val="en-GB"/>
              </w:rPr>
              <w:t>re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search was undertaken to identify a few experienced experts in the field of monitoring and evaluation as well as in intangible cultural heritage. Some of them were also identified to </w:t>
            </w:r>
            <w:r w:rsidR="000A0CE6">
              <w:rPr>
                <w:rFonts w:ascii="Arial" w:hAnsi="Arial" w:cs="Arial"/>
                <w:sz w:val="20"/>
                <w:szCs w:val="20"/>
                <w:lang w:val="en-GB"/>
              </w:rPr>
              <w:t>work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together with the Secretariat and prepare the two meetings, the working documents and </w:t>
            </w:r>
            <w:r w:rsidR="000A0CE6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presentations. A team of four experts with different </w:t>
            </w:r>
            <w:r w:rsidR="000A0CE6">
              <w:rPr>
                <w:rFonts w:ascii="Arial" w:hAnsi="Arial" w:cs="Arial"/>
                <w:sz w:val="20"/>
                <w:szCs w:val="20"/>
                <w:lang w:val="en-GB"/>
              </w:rPr>
              <w:t xml:space="preserve">areas of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expertise supported the Secretariat in </w:t>
            </w:r>
            <w:r w:rsidR="000A0CE6">
              <w:rPr>
                <w:rFonts w:ascii="Arial" w:hAnsi="Arial" w:cs="Arial"/>
                <w:sz w:val="20"/>
                <w:szCs w:val="20"/>
                <w:lang w:val="en-GB"/>
              </w:rPr>
              <w:t>preparing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the open-ended working group.</w:t>
            </w:r>
          </w:p>
        </w:tc>
      </w:tr>
      <w:tr w:rsidR="00DA49F6" w:rsidRPr="002F00E9" w14:paraId="331C519A" w14:textId="77777777" w:rsidTr="00203F98">
        <w:tc>
          <w:tcPr>
            <w:tcW w:w="2500" w:type="pct"/>
          </w:tcPr>
          <w:p w14:paraId="61AC1EFE" w14:textId="57F1F16F" w:rsidR="00DA49F6" w:rsidRDefault="00DA49F6" w:rsidP="00D403F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the beginning of the exercise of developing an overall results framework, the funding ne</w:t>
            </w:r>
            <w:r w:rsidR="000A0CE6">
              <w:rPr>
                <w:rFonts w:ascii="Arial" w:hAnsi="Arial" w:cs="Arial"/>
                <w:sz w:val="20"/>
                <w:szCs w:val="20"/>
                <w:lang w:val="en-GB"/>
              </w:rPr>
              <w:t>eded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 convene an open-ended intergovernmental working group (as called for by Decision 9.COM 13.e) was not forthcoming.</w:t>
            </w:r>
          </w:p>
        </w:tc>
        <w:tc>
          <w:tcPr>
            <w:tcW w:w="2500" w:type="pct"/>
          </w:tcPr>
          <w:p w14:paraId="232DE7A4" w14:textId="798B87D5" w:rsidR="00DA49F6" w:rsidRDefault="00DA49F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As a preliminary step, the National Commission of the People’s Republic of China for UNESCO offered to support a smaller meeting of experts that could </w:t>
            </w:r>
            <w:r w:rsidR="000A0CE6">
              <w:rPr>
                <w:rFonts w:ascii="Arial" w:hAnsi="Arial" w:cs="Arial"/>
                <w:sz w:val="20"/>
                <w:szCs w:val="20"/>
                <w:lang w:val="en-GB"/>
              </w:rPr>
              <w:t>develop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preliminary framework, for submission to a subsequent intergovernmental working group. The category VI meeting of experts that was convened was able to prepare a</w:t>
            </w:r>
            <w:r w:rsidR="00814EB2">
              <w:rPr>
                <w:rFonts w:ascii="Arial" w:hAnsi="Arial" w:cs="Arial"/>
                <w:sz w:val="20"/>
                <w:szCs w:val="20"/>
                <w:lang w:val="en-GB"/>
              </w:rPr>
              <w:t>n initial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results map that was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essential for its further development into the results framework.</w:t>
            </w:r>
          </w:p>
        </w:tc>
      </w:tr>
    </w:tbl>
    <w:p w14:paraId="552103D4" w14:textId="78E6EEEF" w:rsidR="00A74D6C" w:rsidRDefault="00A74D6C" w:rsidP="005F7CB2">
      <w:pPr>
        <w:spacing w:before="240" w:after="120"/>
        <w:ind w:left="851" w:hanging="851"/>
        <w:rPr>
          <w:rFonts w:ascii="Arial" w:hAnsi="Arial" w:cs="Arial"/>
          <w:b/>
          <w:bCs/>
          <w:sz w:val="22"/>
          <w:szCs w:val="22"/>
          <w:lang w:val="en-GB"/>
        </w:rPr>
      </w:pPr>
      <w:r w:rsidRPr="001C6031">
        <w:rPr>
          <w:rFonts w:ascii="Arial" w:hAnsi="Arial" w:cs="Arial"/>
          <w:b/>
          <w:sz w:val="22"/>
          <w:szCs w:val="22"/>
          <w:lang w:val="en-GB"/>
        </w:rPr>
        <w:lastRenderedPageBreak/>
        <w:t>ER 4:</w:t>
      </w:r>
      <w:r w:rsidRPr="001C6031">
        <w:rPr>
          <w:rFonts w:ascii="Arial" w:hAnsi="Arial" w:cs="Arial"/>
          <w:b/>
          <w:sz w:val="22"/>
          <w:szCs w:val="22"/>
          <w:lang w:val="en-GB"/>
        </w:rPr>
        <w:tab/>
      </w:r>
      <w:r w:rsidR="0076712C" w:rsidRPr="00696A00">
        <w:rPr>
          <w:rFonts w:ascii="Arial" w:hAnsi="Arial" w:cs="Arial"/>
          <w:b/>
          <w:bCs/>
          <w:sz w:val="22"/>
          <w:szCs w:val="22"/>
          <w:lang w:val="en-GB"/>
        </w:rPr>
        <w:t xml:space="preserve">Objectives of the Convention promoted through awareness </w:t>
      </w:r>
      <w:r w:rsidR="000A0CE6" w:rsidRPr="00696A00">
        <w:rPr>
          <w:rFonts w:ascii="Arial" w:hAnsi="Arial" w:cs="Arial"/>
          <w:b/>
          <w:bCs/>
          <w:sz w:val="22"/>
          <w:szCs w:val="22"/>
          <w:lang w:val="en-GB"/>
        </w:rPr>
        <w:t xml:space="preserve">raising </w:t>
      </w:r>
      <w:r w:rsidR="0076712C" w:rsidRPr="00696A00">
        <w:rPr>
          <w:rFonts w:ascii="Arial" w:hAnsi="Arial" w:cs="Arial"/>
          <w:b/>
          <w:bCs/>
          <w:sz w:val="22"/>
          <w:szCs w:val="22"/>
          <w:lang w:val="en-GB"/>
        </w:rPr>
        <w:t>and outreach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3876"/>
        <w:gridCol w:w="1876"/>
      </w:tblGrid>
      <w:tr w:rsidR="00A74D6C" w:rsidRPr="001C6031" w14:paraId="67B9B530" w14:textId="77777777" w:rsidTr="00203F98">
        <w:tc>
          <w:tcPr>
            <w:tcW w:w="2013" w:type="pct"/>
            <w:shd w:val="clear" w:color="auto" w:fill="C6D9F1"/>
          </w:tcPr>
          <w:p w14:paraId="6E9CC92F" w14:textId="77777777" w:rsidR="00A74D6C" w:rsidRPr="001C6031" w:rsidRDefault="00A74D6C" w:rsidP="00826FE8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Allocation</w:t>
            </w:r>
          </w:p>
        </w:tc>
        <w:tc>
          <w:tcPr>
            <w:tcW w:w="2013" w:type="pct"/>
            <w:shd w:val="clear" w:color="auto" w:fill="C6D9F1"/>
          </w:tcPr>
          <w:p w14:paraId="0FDF02DE" w14:textId="77777777" w:rsidR="00A74D6C" w:rsidRPr="001C6031" w:rsidRDefault="00A74D6C" w:rsidP="00826FE8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Expenditures</w:t>
            </w:r>
          </w:p>
        </w:tc>
        <w:tc>
          <w:tcPr>
            <w:tcW w:w="974" w:type="pct"/>
            <w:shd w:val="clear" w:color="auto" w:fill="C6D9F1"/>
          </w:tcPr>
          <w:p w14:paraId="797DBC9C" w14:textId="77777777" w:rsidR="00A74D6C" w:rsidRPr="001C6031" w:rsidRDefault="00A74D6C" w:rsidP="00826FE8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Exp. Rate %</w:t>
            </w:r>
          </w:p>
        </w:tc>
      </w:tr>
      <w:tr w:rsidR="00A74D6C" w:rsidRPr="001C6031" w14:paraId="75CE93EF" w14:textId="77777777" w:rsidTr="00203F98">
        <w:tc>
          <w:tcPr>
            <w:tcW w:w="2013" w:type="pct"/>
            <w:shd w:val="clear" w:color="auto" w:fill="auto"/>
          </w:tcPr>
          <w:p w14:paraId="5A68F0D7" w14:textId="1EACC184" w:rsidR="00A74D6C" w:rsidRPr="001C6031" w:rsidRDefault="0076712C" w:rsidP="00826FE8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336,5</w:t>
            </w:r>
            <w:r w:rsidR="00A74D6C" w:rsidRPr="001C6031">
              <w:rPr>
                <w:rFonts w:ascii="Arial" w:hAnsi="Arial" w:cs="Arial"/>
                <w:sz w:val="20"/>
                <w:szCs w:val="20"/>
                <w:lang w:val="en-GB"/>
              </w:rPr>
              <w:t>00</w:t>
            </w:r>
          </w:p>
        </w:tc>
        <w:tc>
          <w:tcPr>
            <w:tcW w:w="2013" w:type="pct"/>
            <w:shd w:val="clear" w:color="auto" w:fill="auto"/>
          </w:tcPr>
          <w:p w14:paraId="06EC525C" w14:textId="6488A803" w:rsidR="00A74D6C" w:rsidRPr="001C6031" w:rsidRDefault="0076712C" w:rsidP="00826FE8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280,7</w:t>
            </w:r>
            <w:r w:rsidR="007656F8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974" w:type="pct"/>
            <w:shd w:val="clear" w:color="auto" w:fill="auto"/>
          </w:tcPr>
          <w:p w14:paraId="33203644" w14:textId="67E4F286" w:rsidR="00A74D6C" w:rsidRPr="001C6031" w:rsidRDefault="0076712C" w:rsidP="00826FE8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83.4</w:t>
            </w:r>
            <w:r w:rsidR="00A74D6C" w:rsidRPr="001C6031">
              <w:rPr>
                <w:rFonts w:ascii="Arial" w:eastAsia="Calibri" w:hAnsi="Arial" w:cs="Arial"/>
                <w:sz w:val="20"/>
                <w:szCs w:val="20"/>
                <w:lang w:val="en-GB"/>
              </w:rPr>
              <w:t>%</w:t>
            </w:r>
          </w:p>
        </w:tc>
      </w:tr>
    </w:tbl>
    <w:p w14:paraId="110E31BC" w14:textId="509B1684" w:rsidR="00A74D6C" w:rsidRPr="00B973F3" w:rsidRDefault="00A74D6C" w:rsidP="00B973F3">
      <w:pPr>
        <w:ind w:left="851" w:hanging="851"/>
        <w:rPr>
          <w:rFonts w:ascii="Arial" w:hAnsi="Arial" w:cs="Arial"/>
          <w:bCs/>
          <w:sz w:val="22"/>
          <w:szCs w:val="2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  <w:gridCol w:w="3897"/>
        <w:gridCol w:w="1835"/>
      </w:tblGrid>
      <w:tr w:rsidR="00FF6586" w:rsidRPr="001C6031" w14:paraId="223AE499" w14:textId="645DEF7E" w:rsidTr="00FF6586">
        <w:trPr>
          <w:tblHeader/>
        </w:trPr>
        <w:tc>
          <w:tcPr>
            <w:tcW w:w="2023" w:type="pct"/>
            <w:shd w:val="clear" w:color="auto" w:fill="D9D9D9" w:themeFill="background1" w:themeFillShade="D9"/>
          </w:tcPr>
          <w:p w14:paraId="6896C127" w14:textId="77777777" w:rsidR="00FF6586" w:rsidRPr="001C6031" w:rsidRDefault="00FF6586" w:rsidP="005F7CB2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Output (O)</w:t>
            </w: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br/>
              <w:t>Indicators/Benchmark (B)</w:t>
            </w:r>
          </w:p>
        </w:tc>
        <w:tc>
          <w:tcPr>
            <w:tcW w:w="2024" w:type="pct"/>
            <w:shd w:val="clear" w:color="auto" w:fill="D9D9D9" w:themeFill="background1" w:themeFillShade="D9"/>
          </w:tcPr>
          <w:p w14:paraId="7A7CD66C" w14:textId="61322F81" w:rsidR="00FF6586" w:rsidRPr="001C6031" w:rsidRDefault="00FF6586" w:rsidP="005F7CB2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As</w:t>
            </w:r>
            <w:r w:rsidR="00AA088F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sessment of progress:</w:t>
            </w:r>
            <w:r w:rsidR="00AA088F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br/>
              <w:t>01/01/2016 to 31/12/2017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14:paraId="02B99FDA" w14:textId="76C62333" w:rsidR="00FF6586" w:rsidRPr="001C6031" w:rsidRDefault="00FF6586" w:rsidP="005F7CB2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Assessment of implementation</w:t>
            </w:r>
          </w:p>
        </w:tc>
      </w:tr>
      <w:tr w:rsidR="00FF6586" w:rsidRPr="001463D4" w14:paraId="0C84E8DE" w14:textId="263610F7" w:rsidTr="00FF6586">
        <w:tc>
          <w:tcPr>
            <w:tcW w:w="2023" w:type="pct"/>
            <w:shd w:val="clear" w:color="auto" w:fill="auto"/>
          </w:tcPr>
          <w:p w14:paraId="486082B2" w14:textId="4E695111" w:rsidR="00FF6586" w:rsidRPr="001C6031" w:rsidRDefault="00FF6586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O:</w:t>
            </w:r>
          </w:p>
          <w:p w14:paraId="7271CBB5" w14:textId="24B67BCD" w:rsidR="00AA088F" w:rsidRPr="00AA088F" w:rsidRDefault="00AA088F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AA088F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New partnerships with relevant institutions established to integrate </w:t>
            </w:r>
            <w:r w:rsidR="00765472">
              <w:rPr>
                <w:rFonts w:ascii="Arial" w:eastAsia="Calibri" w:hAnsi="Arial" w:cs="Arial"/>
                <w:sz w:val="20"/>
                <w:szCs w:val="20"/>
                <w:lang w:val="en-GB"/>
              </w:rPr>
              <w:t>intangible cultural heritage</w:t>
            </w:r>
            <w:r w:rsidRPr="00AA088F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in</w:t>
            </w:r>
            <w:r w:rsidR="000A0CE6">
              <w:rPr>
                <w:rFonts w:ascii="Arial" w:eastAsia="Calibri" w:hAnsi="Arial" w:cs="Arial"/>
                <w:sz w:val="20"/>
                <w:szCs w:val="20"/>
                <w:lang w:val="en-GB"/>
              </w:rPr>
              <w:t>to</w:t>
            </w:r>
            <w:r w:rsidRPr="00AA088F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education</w:t>
            </w:r>
          </w:p>
          <w:p w14:paraId="3DD185DF" w14:textId="77777777" w:rsidR="00AA088F" w:rsidRPr="001C6031" w:rsidRDefault="00AA088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2016-2017</w:t>
            </w: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679856EF" w14:textId="07B82824" w:rsidR="00AA088F" w:rsidRPr="00AA088F" w:rsidRDefault="00AA088F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To organize a r</w:t>
            </w:r>
            <w:r w:rsidRPr="00AA088F">
              <w:rPr>
                <w:rFonts w:ascii="Arial" w:eastAsia="Calibri" w:hAnsi="Arial" w:cs="Arial"/>
                <w:sz w:val="20"/>
                <w:szCs w:val="20"/>
                <w:lang w:val="en-GB"/>
              </w:rPr>
              <w:t>egional workshop with tertiary educat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ion institutions</w:t>
            </w:r>
          </w:p>
          <w:p w14:paraId="232141CC" w14:textId="2EEE2507" w:rsidR="00FF6586" w:rsidRPr="001C6031" w:rsidRDefault="00AA088F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To organize a c</w:t>
            </w:r>
            <w:r w:rsidRPr="00AA088F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onsultation with relevant education institutions on integrating </w:t>
            </w:r>
            <w:r w:rsidR="00765472">
              <w:rPr>
                <w:rFonts w:ascii="Arial" w:eastAsia="Calibri" w:hAnsi="Arial" w:cs="Arial"/>
                <w:sz w:val="20"/>
                <w:szCs w:val="20"/>
                <w:lang w:val="en-GB"/>
              </w:rPr>
              <w:t>intangible cultural heritage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into their programmes</w:t>
            </w:r>
            <w:r w:rsidR="00AB33B9">
              <w:rPr>
                <w:rFonts w:ascii="Arial" w:eastAsia="Calibri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2024" w:type="pct"/>
            <w:shd w:val="clear" w:color="auto" w:fill="auto"/>
          </w:tcPr>
          <w:p w14:paraId="52E96AC2" w14:textId="4BA242CE" w:rsidR="00514AE5" w:rsidRDefault="00814EB2" w:rsidP="00B973F3">
            <w:pPr>
              <w:pStyle w:val="ListParagraph"/>
              <w:numPr>
                <w:ilvl w:val="0"/>
                <w:numId w:val="37"/>
              </w:numPr>
              <w:spacing w:before="360" w:after="60"/>
              <w:ind w:left="284" w:hanging="284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1</w:t>
            </w:r>
            <w:r w:rsidR="00603E2F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r</w:t>
            </w:r>
            <w:r w:rsidR="00514AE5">
              <w:rPr>
                <w:rFonts w:ascii="Arial" w:eastAsia="Calibri" w:hAnsi="Arial" w:cs="Arial"/>
                <w:sz w:val="20"/>
                <w:szCs w:val="20"/>
                <w:lang w:val="en-GB"/>
              </w:rPr>
              <w:t>egional workshop organized</w:t>
            </w:r>
            <w:r w:rsidR="005618E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with 43 participants from tertiary education institutions</w:t>
            </w:r>
            <w:r w:rsidR="00514AE5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in Latin America and the Caribbean (November 2017 in Bueno</w:t>
            </w:r>
            <w:r w:rsidR="00603E2F">
              <w:rPr>
                <w:rFonts w:ascii="Arial" w:eastAsia="Calibri" w:hAnsi="Arial" w:cs="Arial"/>
                <w:sz w:val="20"/>
                <w:szCs w:val="20"/>
                <w:lang w:val="en-GB"/>
              </w:rPr>
              <w:t>s</w:t>
            </w:r>
            <w:r w:rsidR="00514AE5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Aires, Argentina)</w:t>
            </w:r>
          </w:p>
          <w:p w14:paraId="4DE6061A" w14:textId="2AE9C722" w:rsidR="00826A53" w:rsidRPr="00B973F3" w:rsidRDefault="00603E2F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284" w:hanging="284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An i</w:t>
            </w:r>
            <w:r w:rsidR="00514AE5">
              <w:rPr>
                <w:rFonts w:ascii="Arial" w:eastAsia="Calibri" w:hAnsi="Arial" w:cs="Arial"/>
                <w:sz w:val="20"/>
                <w:szCs w:val="20"/>
                <w:lang w:val="en-GB"/>
              </w:rPr>
              <w:t>ntersectoral</w:t>
            </w:r>
            <w:r w:rsidR="0076049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consultation</w:t>
            </w:r>
            <w:r w:rsidR="00514AE5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meeting on ‘Integrating intangible cultural heritage in education’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was </w:t>
            </w:r>
            <w:r w:rsidR="00514AE5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organized with more than 40 participants from both the Education and </w:t>
            </w:r>
            <w:r w:rsidR="00AD1302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the </w:t>
            </w:r>
            <w:r w:rsidR="00514AE5">
              <w:rPr>
                <w:rFonts w:ascii="Arial" w:eastAsia="Calibri" w:hAnsi="Arial" w:cs="Arial"/>
                <w:sz w:val="20"/>
                <w:szCs w:val="20"/>
                <w:lang w:val="en-GB"/>
              </w:rPr>
              <w:t>Culture Sectors (May 2017 in Paris).</w:t>
            </w:r>
          </w:p>
        </w:tc>
        <w:tc>
          <w:tcPr>
            <w:tcW w:w="953" w:type="pct"/>
          </w:tcPr>
          <w:p w14:paraId="03359201" w14:textId="46E77314" w:rsidR="00FF6586" w:rsidRPr="001C6031" w:rsidRDefault="007C2962" w:rsidP="00B973F3">
            <w:pPr>
              <w:pStyle w:val="ListParagraph"/>
              <w:spacing w:before="360" w:after="60"/>
              <w:ind w:left="0"/>
              <w:contextualSpacing w:val="0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Accomplished</w:t>
            </w:r>
          </w:p>
        </w:tc>
      </w:tr>
      <w:tr w:rsidR="00FF6586" w:rsidRPr="001C6031" w14:paraId="7ABE3B55" w14:textId="392ED24E" w:rsidTr="00FF6586">
        <w:tc>
          <w:tcPr>
            <w:tcW w:w="2023" w:type="pct"/>
            <w:shd w:val="clear" w:color="auto" w:fill="auto"/>
          </w:tcPr>
          <w:p w14:paraId="61E642D2" w14:textId="77777777" w:rsidR="00FF6586" w:rsidRPr="001C6031" w:rsidRDefault="00FF6586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O:</w:t>
            </w:r>
          </w:p>
          <w:p w14:paraId="628229A1" w14:textId="6A252DBF" w:rsidR="00AA088F" w:rsidRDefault="00AA088F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AA088F">
              <w:rPr>
                <w:rFonts w:ascii="Arial" w:eastAsia="Calibri" w:hAnsi="Arial" w:cs="Arial"/>
                <w:sz w:val="20"/>
                <w:szCs w:val="20"/>
                <w:lang w:val="en-GB"/>
              </w:rPr>
              <w:t>UNESCO’s cooperation with WIPO or other UN agencies strengthened to ensure ongoing exchange and learning between the organizations and their Member States</w:t>
            </w:r>
          </w:p>
          <w:p w14:paraId="2ABB6A10" w14:textId="65892536" w:rsidR="00FF6586" w:rsidRPr="001C6031" w:rsidRDefault="00AA088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2016-2017</w:t>
            </w: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72E0C386" w14:textId="79EEC318" w:rsidR="00FF6586" w:rsidRPr="00AA088F" w:rsidRDefault="00AA088F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To participate in 3 meetings organized </w:t>
            </w:r>
            <w:r w:rsidRPr="00AA088F">
              <w:rPr>
                <w:rFonts w:ascii="Arial" w:eastAsia="Calibri" w:hAnsi="Arial" w:cs="Arial"/>
                <w:sz w:val="20"/>
                <w:szCs w:val="20"/>
                <w:lang w:val="en-GB"/>
              </w:rPr>
              <w:t>by WIPO or other UN agencies</w:t>
            </w:r>
            <w:r w:rsidR="00AB33B9">
              <w:rPr>
                <w:rFonts w:ascii="Arial" w:eastAsia="Calibri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2024" w:type="pct"/>
            <w:shd w:val="clear" w:color="auto" w:fill="auto"/>
          </w:tcPr>
          <w:p w14:paraId="2785B1ED" w14:textId="59657BDB" w:rsidR="00B8492A" w:rsidRDefault="00B8492A" w:rsidP="00B973F3">
            <w:pPr>
              <w:pStyle w:val="ListParagraph"/>
              <w:numPr>
                <w:ilvl w:val="0"/>
                <w:numId w:val="37"/>
              </w:numPr>
              <w:spacing w:before="360" w:after="60"/>
              <w:ind w:left="284" w:hanging="284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Consultation with WIPO continued to exchange information about </w:t>
            </w:r>
            <w:r w:rsidR="005A6C1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latest developments regarding the implementation of the 2003 Convention </w:t>
            </w:r>
          </w:p>
          <w:p w14:paraId="33B9D21C" w14:textId="282FEA46" w:rsidR="00FF6586" w:rsidRPr="00B973F3" w:rsidRDefault="00B8492A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284" w:hanging="284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Cooperation with </w:t>
            </w:r>
            <w:r w:rsidRPr="00C410E4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the Expert Mechanism on the Rights of Indigenous Peoples (EMRIP) strengthened through participation in the </w:t>
            </w:r>
            <w:r w:rsidRPr="002F00E9">
              <w:rPr>
                <w:rFonts w:ascii="Arial" w:eastAsia="Calibri" w:hAnsi="Arial" w:cs="Arial"/>
                <w:sz w:val="20"/>
                <w:szCs w:val="20"/>
                <w:lang w:val="en-GB"/>
              </w:rPr>
              <w:t>‘</w:t>
            </w:r>
            <w:hyperlink r:id="rId13" w:history="1">
              <w:r w:rsidRPr="002F00E9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en-GB"/>
                </w:rPr>
                <w:t>International Conference on Indigenous Peoples’ Cultural Heritage</w:t>
              </w:r>
            </w:hyperlink>
            <w:r w:rsidRPr="002F00E9">
              <w:rPr>
                <w:rFonts w:ascii="Arial" w:eastAsia="Calibri" w:hAnsi="Arial" w:cs="Arial"/>
                <w:sz w:val="20"/>
                <w:szCs w:val="20"/>
                <w:lang w:val="en-GB"/>
              </w:rPr>
              <w:t>’</w:t>
            </w:r>
            <w:r w:rsidR="005A6C13">
              <w:rPr>
                <w:rFonts w:ascii="Arial" w:eastAsia="Calibri" w:hAnsi="Arial" w:cs="Arial"/>
                <w:sz w:val="20"/>
                <w:szCs w:val="20"/>
                <w:lang w:val="en-GB"/>
              </w:rPr>
              <w:t>,</w:t>
            </w:r>
            <w:r w:rsidR="002F585A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which they </w:t>
            </w:r>
            <w:r w:rsidRPr="00EF2679">
              <w:rPr>
                <w:rFonts w:ascii="Arial" w:eastAsia="Calibri" w:hAnsi="Arial" w:cs="Arial"/>
                <w:sz w:val="20"/>
                <w:szCs w:val="20"/>
                <w:lang w:val="en-GB"/>
              </w:rPr>
              <w:t>organized</w:t>
            </w:r>
            <w:r w:rsidR="002F585A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together</w:t>
            </w:r>
            <w:r w:rsidRPr="00EF2679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with </w:t>
            </w:r>
            <w:r w:rsidRPr="00C410E4">
              <w:rPr>
                <w:rFonts w:ascii="Arial" w:eastAsia="Calibri" w:hAnsi="Arial" w:cs="Arial"/>
                <w:sz w:val="20"/>
                <w:szCs w:val="20"/>
                <w:lang w:val="en-GB"/>
              </w:rPr>
              <w:t>the University of Helsinki</w:t>
            </w:r>
            <w:r w:rsidR="002F585A">
              <w:rPr>
                <w:rFonts w:ascii="Arial" w:eastAsia="Calibri" w:hAnsi="Arial" w:cs="Arial"/>
                <w:sz w:val="20"/>
                <w:szCs w:val="20"/>
                <w:lang w:val="en-GB"/>
              </w:rPr>
              <w:t>,</w:t>
            </w:r>
            <w:r w:rsidRPr="00C410E4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in Helsinki (November 2017)</w:t>
            </w:r>
            <w:r w:rsidR="00AB33B9">
              <w:rPr>
                <w:rFonts w:ascii="Arial" w:eastAsia="Calibri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53" w:type="pct"/>
          </w:tcPr>
          <w:p w14:paraId="5446DF0A" w14:textId="4A90C49F" w:rsidR="00FF6586" w:rsidRPr="001C6031" w:rsidRDefault="00573AE2" w:rsidP="00B973F3">
            <w:pPr>
              <w:spacing w:before="360" w:after="60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Partly</w:t>
            </w:r>
            <w:r w:rsidR="00FF738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="00B8492A">
              <w:rPr>
                <w:rFonts w:ascii="Arial" w:eastAsia="Calibri" w:hAnsi="Arial" w:cs="Arial"/>
                <w:sz w:val="20"/>
                <w:szCs w:val="20"/>
                <w:lang w:val="en-GB"/>
              </w:rPr>
              <w:t>accomplished</w:t>
            </w:r>
          </w:p>
        </w:tc>
      </w:tr>
      <w:tr w:rsidR="00FF6586" w:rsidRPr="002972F5" w14:paraId="498DA67E" w14:textId="3DE77845" w:rsidTr="00FF6586">
        <w:tc>
          <w:tcPr>
            <w:tcW w:w="2023" w:type="pct"/>
            <w:shd w:val="clear" w:color="auto" w:fill="auto"/>
          </w:tcPr>
          <w:p w14:paraId="6EF730CD" w14:textId="14B17593" w:rsidR="00FF6586" w:rsidRPr="001C6031" w:rsidRDefault="00FF65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>O:</w:t>
            </w:r>
          </w:p>
          <w:p w14:paraId="183F498F" w14:textId="1476A09C" w:rsidR="00C016DE" w:rsidRPr="00C016DE" w:rsidRDefault="005A6C1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O</w:t>
            </w:r>
            <w:r w:rsidR="00C016DE" w:rsidRPr="00C016DE">
              <w:rPr>
                <w:rFonts w:ascii="Arial" w:eastAsia="Calibri" w:hAnsi="Arial" w:cs="Arial"/>
                <w:sz w:val="20"/>
                <w:szCs w:val="20"/>
                <w:lang w:val="en-GB"/>
              </w:rPr>
              <w:t>utreach strategy developed to promote the objectives of the Convention and engage effectively with stakeholders</w:t>
            </w:r>
          </w:p>
          <w:p w14:paraId="6176794A" w14:textId="25FC2A09" w:rsidR="00FF6586" w:rsidRPr="001C6031" w:rsidRDefault="00C016D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 2016-2017</w:t>
            </w:r>
            <w:r w:rsidR="00FF6586"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4D1696AD" w14:textId="5A91B578" w:rsidR="00FF6586" w:rsidRDefault="00C016DE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To establish a partnership for </w:t>
            </w:r>
            <w:r w:rsidR="005A6C13">
              <w:rPr>
                <w:rFonts w:ascii="Arial" w:hAnsi="Arial" w:cs="Arial"/>
                <w:sz w:val="20"/>
                <w:szCs w:val="20"/>
                <w:lang w:val="en-GB"/>
              </w:rPr>
              <w:t>developing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outreach materials</w:t>
            </w:r>
          </w:p>
          <w:p w14:paraId="1917F070" w14:textId="22EBA4F9" w:rsidR="00C016DE" w:rsidRPr="00C016DE" w:rsidRDefault="00C016DE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 design and produce 2 outreach materials/tools</w:t>
            </w:r>
            <w:r w:rsidR="00AB33B9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2024" w:type="pct"/>
            <w:shd w:val="clear" w:color="auto" w:fill="auto"/>
          </w:tcPr>
          <w:p w14:paraId="17CC4DA7" w14:textId="50D15B50" w:rsidR="008F252F" w:rsidRPr="00B973F3" w:rsidRDefault="008F252F" w:rsidP="00B973F3">
            <w:pPr>
              <w:pStyle w:val="ListParagraph"/>
              <w:numPr>
                <w:ilvl w:val="0"/>
                <w:numId w:val="37"/>
              </w:numPr>
              <w:spacing w:before="360" w:after="60"/>
              <w:ind w:left="284" w:hanging="284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6A53">
              <w:rPr>
                <w:rFonts w:ascii="Arial" w:eastAsia="Calibri" w:hAnsi="Arial" w:cs="Arial"/>
                <w:sz w:val="20"/>
                <w:szCs w:val="20"/>
                <w:lang w:val="en-GB"/>
              </w:rPr>
              <w:t>Partner with proven exp</w:t>
            </w:r>
            <w:r w:rsidR="0031385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ertise in the field of cultural </w:t>
            </w:r>
            <w:r w:rsidRPr="00826A53">
              <w:rPr>
                <w:rFonts w:ascii="Arial" w:eastAsia="Calibri" w:hAnsi="Arial" w:cs="Arial"/>
                <w:sz w:val="20"/>
                <w:szCs w:val="20"/>
                <w:lang w:val="en-GB"/>
              </w:rPr>
              <w:t>communication at the international level identified through the launch of a call for propo</w:t>
            </w:r>
            <w:r w:rsidR="0031385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sal and </w:t>
            </w:r>
            <w:r w:rsidRPr="00826A5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a rigorous selection process </w:t>
            </w:r>
            <w:r w:rsidRPr="00524C74">
              <w:rPr>
                <w:rFonts w:ascii="Arial" w:eastAsia="Calibri" w:hAnsi="Arial" w:cs="Arial"/>
                <w:sz w:val="20"/>
                <w:szCs w:val="20"/>
                <w:lang w:val="en-GB"/>
              </w:rPr>
              <w:t>conducted</w:t>
            </w:r>
            <w:r w:rsidRPr="00826A5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among 45 proposals submitted by relevant communication agencies from 28 different countries</w:t>
            </w:r>
          </w:p>
          <w:p w14:paraId="3F5C4B19" w14:textId="63DA0942" w:rsidR="008F252F" w:rsidRPr="00B973F3" w:rsidRDefault="0031385B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284" w:hanging="284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In-depth review and analysis of the existing </w:t>
            </w:r>
            <w:r w:rsidR="002972F5" w:rsidRPr="00826A53">
              <w:rPr>
                <w:rFonts w:ascii="Arial" w:eastAsia="Calibri" w:hAnsi="Arial" w:cs="Arial"/>
                <w:sz w:val="20"/>
                <w:szCs w:val="20"/>
                <w:lang w:val="en-GB"/>
              </w:rPr>
              <w:t>communication tools and material</w:t>
            </w:r>
            <w:r w:rsidR="005A6C13">
              <w:rPr>
                <w:rFonts w:ascii="Arial" w:eastAsia="Calibri" w:hAnsi="Arial" w:cs="Arial"/>
                <w:sz w:val="20"/>
                <w:szCs w:val="20"/>
                <w:lang w:val="en-GB"/>
              </w:rPr>
              <w:t>s</w:t>
            </w:r>
            <w:r w:rsidR="002972F5" w:rsidRPr="00826A5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of the Convention conducted in collaboration with the partner communication agency</w:t>
            </w:r>
          </w:p>
          <w:p w14:paraId="34DE0FE5" w14:textId="06673E03" w:rsidR="008F252F" w:rsidRPr="00B973F3" w:rsidRDefault="002972F5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284" w:hanging="284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6A53">
              <w:rPr>
                <w:rFonts w:ascii="Arial" w:eastAsia="Calibri" w:hAnsi="Arial" w:cs="Arial"/>
                <w:sz w:val="20"/>
                <w:szCs w:val="20"/>
                <w:lang w:val="en-GB"/>
              </w:rPr>
              <w:t>Wide consultatio</w:t>
            </w:r>
            <w:r w:rsidR="0031385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n undertaken through interviews </w:t>
            </w:r>
            <w:r w:rsidRPr="00826A5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with around </w:t>
            </w:r>
            <w:r w:rsidR="00991B6F">
              <w:rPr>
                <w:rFonts w:ascii="Arial" w:eastAsia="Calibri" w:hAnsi="Arial" w:cs="Arial"/>
                <w:sz w:val="20"/>
                <w:szCs w:val="20"/>
                <w:lang w:val="en-GB"/>
              </w:rPr>
              <w:t>5</w:t>
            </w:r>
            <w:r w:rsidRPr="00826A5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0 relevant stakeholders, including UNESCO </w:t>
            </w:r>
            <w:r w:rsidRPr="00826A53">
              <w:rPr>
                <w:rFonts w:ascii="Arial" w:eastAsia="Calibri" w:hAnsi="Arial" w:cs="Arial"/>
                <w:sz w:val="20"/>
                <w:szCs w:val="20"/>
                <w:lang w:val="en-GB"/>
              </w:rPr>
              <w:lastRenderedPageBreak/>
              <w:t>Field Offices, States Parties, donors, accredited NGOs, national institutions, heritage professionals and community members, with a view to gain</w:t>
            </w:r>
            <w:r w:rsidR="005A6C13">
              <w:rPr>
                <w:rFonts w:ascii="Arial" w:eastAsia="Calibri" w:hAnsi="Arial" w:cs="Arial"/>
                <w:sz w:val="20"/>
                <w:szCs w:val="20"/>
                <w:lang w:val="en-GB"/>
              </w:rPr>
              <w:t>ing</w:t>
            </w:r>
            <w:r w:rsidRPr="00826A5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insights </w:t>
            </w:r>
            <w:r w:rsidR="005A6C13">
              <w:rPr>
                <w:rFonts w:ascii="Arial" w:eastAsia="Calibri" w:hAnsi="Arial" w:cs="Arial"/>
                <w:sz w:val="20"/>
                <w:szCs w:val="20"/>
                <w:lang w:val="en-GB"/>
              </w:rPr>
              <w:t>into</w:t>
            </w:r>
            <w:r w:rsidR="005A6C13" w:rsidRPr="00826A5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="0031385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the outreach actions for </w:t>
            </w:r>
            <w:r w:rsidRPr="00826A53">
              <w:rPr>
                <w:rFonts w:ascii="Arial" w:eastAsia="Calibri" w:hAnsi="Arial" w:cs="Arial"/>
                <w:sz w:val="20"/>
                <w:szCs w:val="20"/>
                <w:lang w:val="en-GB"/>
              </w:rPr>
              <w:t>the 2003 Convention</w:t>
            </w:r>
          </w:p>
          <w:p w14:paraId="29CF496E" w14:textId="2FC561E0" w:rsidR="008F252F" w:rsidRPr="00573AE2" w:rsidRDefault="002972F5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73AE2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Strategic communication </w:t>
            </w:r>
            <w:r w:rsidR="00531117">
              <w:rPr>
                <w:rFonts w:ascii="Arial" w:eastAsia="Calibri" w:hAnsi="Arial" w:cs="Arial"/>
                <w:sz w:val="20"/>
                <w:szCs w:val="20"/>
                <w:lang w:val="en-GB"/>
              </w:rPr>
              <w:t>plan</w:t>
            </w:r>
            <w:r w:rsidR="00531117" w:rsidRPr="00573AE2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Pr="00573AE2">
              <w:rPr>
                <w:rFonts w:ascii="Arial" w:eastAsia="Calibri" w:hAnsi="Arial" w:cs="Arial"/>
                <w:sz w:val="20"/>
                <w:szCs w:val="20"/>
                <w:lang w:val="en-GB"/>
              </w:rPr>
              <w:t>dev</w:t>
            </w:r>
            <w:r w:rsidR="0031385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eloped for the 2003 Convention, which presents </w:t>
            </w:r>
            <w:r w:rsidRPr="00573AE2">
              <w:rPr>
                <w:rFonts w:ascii="Arial" w:eastAsia="Calibri" w:hAnsi="Arial" w:cs="Arial"/>
                <w:sz w:val="20"/>
                <w:szCs w:val="20"/>
                <w:lang w:val="en-GB"/>
              </w:rPr>
              <w:t>strategic orientations outlining the mi</w:t>
            </w:r>
            <w:r w:rsidR="0031385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ssion and core values and includes </w:t>
            </w:r>
            <w:r w:rsidRPr="00573AE2">
              <w:rPr>
                <w:rFonts w:ascii="Arial" w:eastAsia="Calibri" w:hAnsi="Arial" w:cs="Arial"/>
                <w:sz w:val="20"/>
                <w:szCs w:val="20"/>
                <w:lang w:val="en-GB"/>
              </w:rPr>
              <w:t>preliminary guidelines for priority actions and tools to be developed</w:t>
            </w:r>
          </w:p>
          <w:p w14:paraId="466FC963" w14:textId="0C799E45" w:rsidR="00FF6586" w:rsidRPr="00B973F3" w:rsidRDefault="002972F5" w:rsidP="00B973F3">
            <w:pPr>
              <w:pStyle w:val="ListParagraph"/>
              <w:numPr>
                <w:ilvl w:val="0"/>
                <w:numId w:val="37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6A53">
              <w:rPr>
                <w:rFonts w:ascii="Arial" w:eastAsia="Calibri" w:hAnsi="Arial" w:cs="Arial"/>
                <w:sz w:val="20"/>
                <w:szCs w:val="20"/>
                <w:lang w:val="en-GB"/>
              </w:rPr>
              <w:t>Communication material</w:t>
            </w:r>
            <w:r w:rsidR="005A6C13">
              <w:rPr>
                <w:rFonts w:ascii="Arial" w:eastAsia="Calibri" w:hAnsi="Arial" w:cs="Arial"/>
                <w:sz w:val="20"/>
                <w:szCs w:val="20"/>
                <w:lang w:val="en-GB"/>
              </w:rPr>
              <w:t>s</w:t>
            </w:r>
            <w:r w:rsidRPr="00826A5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(i.e. youth video clip</w:t>
            </w:r>
            <w:r w:rsidR="005A6C13">
              <w:rPr>
                <w:rFonts w:ascii="Arial" w:eastAsia="Calibri" w:hAnsi="Arial" w:cs="Arial"/>
                <w:sz w:val="20"/>
                <w:szCs w:val="20"/>
                <w:lang w:val="en-GB"/>
              </w:rPr>
              <w:t>s</w:t>
            </w:r>
            <w:r w:rsidRPr="00826A53">
              <w:rPr>
                <w:rFonts w:ascii="Arial" w:eastAsia="Calibri" w:hAnsi="Arial" w:cs="Arial"/>
                <w:sz w:val="20"/>
                <w:szCs w:val="20"/>
                <w:lang w:val="en-GB"/>
              </w:rPr>
              <w:t>, media kit for</w:t>
            </w:r>
            <w:r w:rsidR="00573AE2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="005A6C1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the </w:t>
            </w:r>
            <w:r w:rsidRPr="00826A53">
              <w:rPr>
                <w:rFonts w:ascii="Arial" w:eastAsia="Calibri" w:hAnsi="Arial" w:cs="Arial"/>
                <w:sz w:val="20"/>
                <w:szCs w:val="20"/>
                <w:lang w:val="en-GB"/>
              </w:rPr>
              <w:t>press)</w:t>
            </w:r>
            <w:r w:rsidR="00FF738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Pr="00826A5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produced and disseminated in </w:t>
            </w:r>
            <w:r w:rsidR="0031385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order to raise public and media awareness on the importance of </w:t>
            </w:r>
            <w:r w:rsidRPr="00826A5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safeguarding </w:t>
            </w:r>
            <w:r w:rsidR="00765472">
              <w:rPr>
                <w:rFonts w:ascii="Arial" w:eastAsia="Calibri" w:hAnsi="Arial" w:cs="Arial"/>
                <w:sz w:val="20"/>
                <w:szCs w:val="20"/>
                <w:lang w:val="en-GB"/>
              </w:rPr>
              <w:t>intangible cultural heritage</w:t>
            </w:r>
            <w:r w:rsidRPr="00826A53">
              <w:rPr>
                <w:rFonts w:ascii="Arial" w:eastAsia="Calibri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53" w:type="pct"/>
          </w:tcPr>
          <w:p w14:paraId="73FDCFA5" w14:textId="2718D410" w:rsidR="00FF6586" w:rsidRPr="001C6031" w:rsidRDefault="008E15D4" w:rsidP="00B973F3">
            <w:pPr>
              <w:pStyle w:val="ListParagraph"/>
              <w:spacing w:before="360" w:after="60"/>
              <w:ind w:left="0"/>
              <w:contextualSpacing w:val="0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lastRenderedPageBreak/>
              <w:t>Accomplished</w:t>
            </w:r>
          </w:p>
        </w:tc>
      </w:tr>
    </w:tbl>
    <w:p w14:paraId="01A98FFF" w14:textId="77777777" w:rsidR="00A74D6C" w:rsidRPr="001C6031" w:rsidRDefault="00A74D6C" w:rsidP="005F7CB2">
      <w:pPr>
        <w:keepNext/>
        <w:spacing w:before="240" w:after="120"/>
        <w:rPr>
          <w:rFonts w:ascii="Arial" w:hAnsi="Arial" w:cs="Arial"/>
          <w:b/>
          <w:sz w:val="22"/>
          <w:szCs w:val="22"/>
          <w:lang w:val="en-GB"/>
        </w:rPr>
      </w:pPr>
      <w:r w:rsidRPr="001C6031">
        <w:rPr>
          <w:rFonts w:ascii="Arial" w:hAnsi="Arial" w:cs="Arial"/>
          <w:b/>
          <w:sz w:val="22"/>
          <w:szCs w:val="22"/>
          <w:lang w:val="en-GB"/>
        </w:rPr>
        <w:t>Challenges and risks in implementation and remedial actions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A74D6C" w:rsidRPr="001C6031" w14:paraId="6762A09E" w14:textId="77777777" w:rsidTr="00907D3B">
        <w:trPr>
          <w:tblHeader/>
        </w:trPr>
        <w:tc>
          <w:tcPr>
            <w:tcW w:w="2500" w:type="pct"/>
            <w:shd w:val="clear" w:color="auto" w:fill="D9D9D9"/>
          </w:tcPr>
          <w:p w14:paraId="6105D698" w14:textId="77777777" w:rsidR="00A74D6C" w:rsidRPr="001C6031" w:rsidRDefault="00A74D6C" w:rsidP="005F7CB2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>Key challenges</w:t>
            </w:r>
          </w:p>
        </w:tc>
        <w:tc>
          <w:tcPr>
            <w:tcW w:w="2500" w:type="pct"/>
            <w:shd w:val="clear" w:color="auto" w:fill="D9D9D9"/>
          </w:tcPr>
          <w:p w14:paraId="38065E76" w14:textId="77777777" w:rsidR="00A74D6C" w:rsidRPr="001C6031" w:rsidRDefault="00A74D6C" w:rsidP="005F7CB2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6031">
              <w:rPr>
                <w:rFonts w:ascii="Arial" w:hAnsi="Arial" w:cs="Arial"/>
                <w:b/>
                <w:sz w:val="20"/>
                <w:szCs w:val="20"/>
                <w:lang w:val="en-GB"/>
              </w:rPr>
              <w:t>Remedial actions</w:t>
            </w:r>
          </w:p>
        </w:tc>
      </w:tr>
      <w:tr w:rsidR="00A74D6C" w:rsidRPr="002F00E9" w14:paraId="02BC2705" w14:textId="77777777" w:rsidTr="00203F98">
        <w:tc>
          <w:tcPr>
            <w:tcW w:w="2500" w:type="pct"/>
          </w:tcPr>
          <w:p w14:paraId="4DB8BFBD" w14:textId="6DF631CA" w:rsidR="00A74D6C" w:rsidRPr="001C6031" w:rsidRDefault="0076049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The intersectoral meeting on ‘Integrating intangible cultural heritage in education’ required extensive consultation</w:t>
            </w:r>
            <w:r w:rsidR="005A6C13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with Education Sector colleagues in the lead</w:t>
            </w:r>
            <w:r w:rsidR="005A6C13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up </w:t>
            </w:r>
            <w:r w:rsidR="005A6C13"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and preparation for this meet</w:t>
            </w:r>
            <w:r w:rsidR="00190065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 Overall</w:t>
            </w:r>
            <w:r w:rsidR="00464037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around 20 consultations were held, which involved a significant time commitment </w:t>
            </w:r>
            <w:r w:rsidR="005A6C13">
              <w:rPr>
                <w:rFonts w:ascii="Arial" w:hAnsi="Arial" w:cs="Arial"/>
                <w:sz w:val="20"/>
                <w:szCs w:val="20"/>
                <w:lang w:val="en-GB"/>
              </w:rPr>
              <w:t xml:space="preserve">on the part of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the Secretariat.</w:t>
            </w:r>
          </w:p>
        </w:tc>
        <w:tc>
          <w:tcPr>
            <w:tcW w:w="2500" w:type="pct"/>
          </w:tcPr>
          <w:p w14:paraId="43A0968B" w14:textId="45FAA202" w:rsidR="00A74D6C" w:rsidRPr="00C410E4" w:rsidRDefault="0076049E" w:rsidP="00C410E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10E4">
              <w:rPr>
                <w:rFonts w:ascii="Arial" w:hAnsi="Arial" w:cs="Arial"/>
                <w:sz w:val="20"/>
                <w:szCs w:val="20"/>
                <w:lang w:val="en-GB"/>
              </w:rPr>
              <w:t>While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71F7B">
              <w:rPr>
                <w:rFonts w:ascii="Arial" w:hAnsi="Arial" w:cs="Arial"/>
                <w:sz w:val="20"/>
                <w:szCs w:val="20"/>
                <w:lang w:val="en-GB"/>
              </w:rPr>
              <w:t>it was a challenge to free</w:t>
            </w:r>
            <w:r w:rsidR="005A6C13">
              <w:rPr>
                <w:rFonts w:ascii="Arial" w:hAnsi="Arial" w:cs="Arial"/>
                <w:sz w:val="20"/>
                <w:szCs w:val="20"/>
                <w:lang w:val="en-GB"/>
              </w:rPr>
              <w:t xml:space="preserve"> up</w:t>
            </w:r>
            <w:r w:rsidR="00971F7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F01FB">
              <w:rPr>
                <w:rFonts w:ascii="Arial" w:hAnsi="Arial" w:cs="Arial"/>
                <w:sz w:val="20"/>
                <w:szCs w:val="20"/>
                <w:lang w:val="en-GB"/>
              </w:rPr>
              <w:t>enough</w:t>
            </w:r>
            <w:r w:rsidR="00971F7B">
              <w:rPr>
                <w:rFonts w:ascii="Arial" w:hAnsi="Arial" w:cs="Arial"/>
                <w:sz w:val="20"/>
                <w:szCs w:val="20"/>
                <w:lang w:val="en-GB"/>
              </w:rPr>
              <w:t xml:space="preserve"> time </w:t>
            </w:r>
            <w:r w:rsidR="00FF01FB">
              <w:rPr>
                <w:rFonts w:ascii="Arial" w:hAnsi="Arial" w:cs="Arial"/>
                <w:sz w:val="20"/>
                <w:szCs w:val="20"/>
                <w:lang w:val="en-GB"/>
              </w:rPr>
              <w:t>for all of the consultations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5A6C13">
              <w:rPr>
                <w:rFonts w:ascii="Arial" w:hAnsi="Arial" w:cs="Arial"/>
                <w:sz w:val="20"/>
                <w:szCs w:val="20"/>
                <w:lang w:val="en-GB"/>
              </w:rPr>
              <w:t xml:space="preserve">this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also significantly contributed towards </w:t>
            </w:r>
            <w:r w:rsidR="005A6C13">
              <w:rPr>
                <w:rFonts w:ascii="Arial" w:hAnsi="Arial" w:cs="Arial"/>
                <w:sz w:val="20"/>
                <w:szCs w:val="20"/>
                <w:lang w:val="en-GB"/>
              </w:rPr>
              <w:t>developing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strong partnerships before, during and after the meeting</w:t>
            </w:r>
            <w:r w:rsidR="004804DF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464037">
              <w:rPr>
                <w:rFonts w:ascii="Arial" w:hAnsi="Arial" w:cs="Arial"/>
                <w:sz w:val="20"/>
                <w:szCs w:val="20"/>
                <w:lang w:val="en-GB"/>
              </w:rPr>
              <w:t xml:space="preserve"> As a result, </w:t>
            </w:r>
            <w:r w:rsidR="008F793A">
              <w:rPr>
                <w:rFonts w:ascii="Arial" w:hAnsi="Arial" w:cs="Arial"/>
                <w:sz w:val="20"/>
                <w:szCs w:val="20"/>
                <w:lang w:val="en-GB"/>
              </w:rPr>
              <w:t>future activities will be able to build on these strong foundational partnerships.</w:t>
            </w:r>
          </w:p>
        </w:tc>
      </w:tr>
      <w:tr w:rsidR="00DB2021" w:rsidRPr="002F00E9" w14:paraId="49E2E503" w14:textId="77777777" w:rsidTr="00203F98">
        <w:tc>
          <w:tcPr>
            <w:tcW w:w="2500" w:type="pct"/>
          </w:tcPr>
          <w:p w14:paraId="7715CFDA" w14:textId="0F5633BC" w:rsidR="00DB2021" w:rsidRPr="0031385B" w:rsidRDefault="00CF1CE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1D21">
              <w:rPr>
                <w:rFonts w:ascii="Arial" w:hAnsi="Arial" w:cs="Arial"/>
                <w:sz w:val="20"/>
                <w:szCs w:val="20"/>
                <w:lang w:val="en-GB"/>
              </w:rPr>
              <w:t xml:space="preserve">As a first experience for the Convention </w:t>
            </w:r>
            <w:r w:rsidR="005A6C13">
              <w:rPr>
                <w:rFonts w:ascii="Arial" w:hAnsi="Arial" w:cs="Arial"/>
                <w:sz w:val="20"/>
                <w:szCs w:val="20"/>
                <w:lang w:val="en-GB"/>
              </w:rPr>
              <w:t>in</w:t>
            </w:r>
            <w:r w:rsidR="005A6C13" w:rsidRPr="00D71D2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D71D21">
              <w:rPr>
                <w:rFonts w:ascii="Arial" w:hAnsi="Arial" w:cs="Arial"/>
                <w:sz w:val="20"/>
                <w:szCs w:val="20"/>
                <w:lang w:val="en-GB"/>
              </w:rPr>
              <w:t>develop</w:t>
            </w:r>
            <w:r w:rsidR="005A6C13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Pr="00D71D21">
              <w:rPr>
                <w:rFonts w:ascii="Arial" w:hAnsi="Arial" w:cs="Arial"/>
                <w:sz w:val="20"/>
                <w:szCs w:val="20"/>
                <w:lang w:val="en-GB"/>
              </w:rPr>
              <w:t xml:space="preserve"> a comprehensive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communication and </w:t>
            </w:r>
            <w:r w:rsidRPr="00D71D21">
              <w:rPr>
                <w:rFonts w:ascii="Arial" w:hAnsi="Arial" w:cs="Arial"/>
                <w:sz w:val="20"/>
                <w:szCs w:val="20"/>
                <w:lang w:val="en-GB"/>
              </w:rPr>
              <w:t xml:space="preserve">outreach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framework</w:t>
            </w:r>
            <w:r w:rsidRPr="00D71D21">
              <w:rPr>
                <w:rFonts w:ascii="Arial" w:hAnsi="Arial" w:cs="Arial"/>
                <w:sz w:val="20"/>
                <w:szCs w:val="20"/>
                <w:lang w:val="en-GB"/>
              </w:rPr>
              <w:t xml:space="preserve">, the Secretariat faced difficulties in </w:t>
            </w:r>
            <w:r w:rsidR="00A35C7D">
              <w:rPr>
                <w:rFonts w:ascii="Arial" w:hAnsi="Arial" w:cs="Arial"/>
                <w:sz w:val="20"/>
                <w:szCs w:val="20"/>
                <w:lang w:val="en-GB"/>
              </w:rPr>
              <w:t xml:space="preserve">both </w:t>
            </w:r>
            <w:r w:rsidR="000F2172">
              <w:rPr>
                <w:rFonts w:ascii="Arial" w:hAnsi="Arial" w:cs="Arial"/>
                <w:sz w:val="20"/>
                <w:szCs w:val="20"/>
                <w:lang w:val="en-GB"/>
              </w:rPr>
              <w:t xml:space="preserve">identifying </w:t>
            </w:r>
            <w:r w:rsidR="000F2172" w:rsidRPr="00D71D21">
              <w:rPr>
                <w:rFonts w:ascii="Arial" w:hAnsi="Arial" w:cs="Arial"/>
                <w:sz w:val="20"/>
                <w:szCs w:val="20"/>
                <w:lang w:val="en-GB"/>
              </w:rPr>
              <w:t>potential partner agencies with relevant experience</w:t>
            </w:r>
            <w:r w:rsidR="0032652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948A2">
              <w:rPr>
                <w:rFonts w:ascii="Arial" w:hAnsi="Arial" w:cs="Arial"/>
                <w:sz w:val="20"/>
                <w:szCs w:val="20"/>
                <w:lang w:val="en-GB"/>
              </w:rPr>
              <w:t>in the</w:t>
            </w:r>
            <w:r w:rsidR="00C94816">
              <w:rPr>
                <w:rFonts w:ascii="Arial" w:hAnsi="Arial" w:cs="Arial"/>
                <w:sz w:val="20"/>
                <w:szCs w:val="20"/>
                <w:lang w:val="en-GB"/>
              </w:rPr>
              <w:t xml:space="preserve"> field of</w:t>
            </w:r>
            <w:r w:rsidR="00E948A2">
              <w:rPr>
                <w:rFonts w:ascii="Arial" w:hAnsi="Arial" w:cs="Arial"/>
                <w:sz w:val="20"/>
                <w:szCs w:val="20"/>
                <w:lang w:val="en-GB"/>
              </w:rPr>
              <w:t xml:space="preserve"> culture </w:t>
            </w:r>
            <w:r w:rsidR="00A35C7D">
              <w:rPr>
                <w:rFonts w:ascii="Arial" w:hAnsi="Arial" w:cs="Arial"/>
                <w:sz w:val="20"/>
                <w:szCs w:val="20"/>
                <w:lang w:val="en-GB"/>
              </w:rPr>
              <w:t>internationally</w:t>
            </w:r>
            <w:r w:rsidR="00E948A2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r w:rsidR="00A35C7D">
              <w:rPr>
                <w:rFonts w:ascii="Arial" w:hAnsi="Arial" w:cs="Arial"/>
                <w:sz w:val="20"/>
                <w:szCs w:val="20"/>
                <w:lang w:val="en-GB"/>
              </w:rPr>
              <w:t xml:space="preserve">in transmitting to </w:t>
            </w:r>
            <w:r w:rsidR="00FD55B1">
              <w:rPr>
                <w:rFonts w:ascii="Arial" w:hAnsi="Arial" w:cs="Arial"/>
                <w:sz w:val="20"/>
                <w:szCs w:val="20"/>
                <w:lang w:val="en-GB"/>
              </w:rPr>
              <w:t>these partners</w:t>
            </w:r>
            <w:r w:rsidR="00A35C7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35C7D" w:rsidRPr="00C410E4">
              <w:rPr>
                <w:rFonts w:ascii="Arial" w:hAnsi="Arial" w:cs="Arial"/>
                <w:sz w:val="20"/>
                <w:szCs w:val="20"/>
                <w:lang w:val="en-GB"/>
              </w:rPr>
              <w:t>the core mission and objectives of the Convention as well as the mandate and functions of UNESCO.</w:t>
            </w:r>
          </w:p>
        </w:tc>
        <w:tc>
          <w:tcPr>
            <w:tcW w:w="2500" w:type="pct"/>
          </w:tcPr>
          <w:p w14:paraId="1AD3C96C" w14:textId="3395342A" w:rsidR="00DB2021" w:rsidRPr="001C6031" w:rsidRDefault="00CF1CE2" w:rsidP="00C410E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1D21">
              <w:rPr>
                <w:rFonts w:ascii="Arial" w:hAnsi="Arial" w:cs="Arial"/>
                <w:sz w:val="20"/>
                <w:szCs w:val="20"/>
                <w:lang w:val="en-GB"/>
              </w:rPr>
              <w:t xml:space="preserve">Extra efforts were made </w:t>
            </w:r>
            <w:r w:rsidR="000F2172">
              <w:rPr>
                <w:rFonts w:ascii="Arial" w:hAnsi="Arial" w:cs="Arial"/>
                <w:sz w:val="20"/>
                <w:szCs w:val="20"/>
                <w:lang w:val="en-GB"/>
              </w:rPr>
              <w:t xml:space="preserve">by the Secretariat </w:t>
            </w:r>
            <w:r w:rsidRPr="00D71D21"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 w:rsidR="000F2172">
              <w:rPr>
                <w:rFonts w:ascii="Arial" w:hAnsi="Arial" w:cs="Arial"/>
                <w:sz w:val="20"/>
                <w:szCs w:val="20"/>
                <w:lang w:val="en-GB"/>
              </w:rPr>
              <w:t>reach out to e</w:t>
            </w:r>
            <w:r w:rsidRPr="00D71D21">
              <w:rPr>
                <w:rFonts w:ascii="Arial" w:hAnsi="Arial" w:cs="Arial"/>
                <w:sz w:val="20"/>
                <w:szCs w:val="20"/>
                <w:lang w:val="en-GB"/>
              </w:rPr>
              <w:t xml:space="preserve">xternal networks and online platforms where the call </w:t>
            </w:r>
            <w:r w:rsidR="000F2172">
              <w:rPr>
                <w:rFonts w:ascii="Arial" w:hAnsi="Arial" w:cs="Arial"/>
                <w:sz w:val="20"/>
                <w:szCs w:val="20"/>
                <w:lang w:val="en-GB"/>
              </w:rPr>
              <w:t xml:space="preserve">for partners could be </w:t>
            </w:r>
            <w:r w:rsidRPr="00D71D21">
              <w:rPr>
                <w:rFonts w:ascii="Arial" w:hAnsi="Arial" w:cs="Arial"/>
                <w:sz w:val="20"/>
                <w:szCs w:val="20"/>
                <w:lang w:val="en-GB"/>
              </w:rPr>
              <w:t xml:space="preserve">widely disseminated (i.e. </w:t>
            </w:r>
            <w:r w:rsidR="005A6C13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D71D21">
              <w:rPr>
                <w:rFonts w:ascii="Arial" w:hAnsi="Arial" w:cs="Arial"/>
                <w:sz w:val="20"/>
                <w:szCs w:val="20"/>
                <w:lang w:val="en-GB"/>
              </w:rPr>
              <w:t>UN Global Marketplace)</w:t>
            </w:r>
            <w:r w:rsidR="005A6C1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D71D2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A6C13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5A6C13" w:rsidRPr="00D71D21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="005A6C13">
              <w:rPr>
                <w:rFonts w:ascii="Arial" w:hAnsi="Arial" w:cs="Arial"/>
                <w:sz w:val="20"/>
                <w:szCs w:val="20"/>
                <w:lang w:val="en-GB"/>
              </w:rPr>
              <w:t>is</w:t>
            </w:r>
            <w:r w:rsidR="005A6C13" w:rsidRPr="00D71D2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D71D21">
              <w:rPr>
                <w:rFonts w:ascii="Arial" w:hAnsi="Arial" w:cs="Arial"/>
                <w:sz w:val="20"/>
                <w:szCs w:val="20"/>
                <w:lang w:val="en-GB"/>
              </w:rPr>
              <w:t xml:space="preserve">led to a </w:t>
            </w:r>
            <w:r w:rsidR="00FD226E">
              <w:rPr>
                <w:rFonts w:ascii="Arial" w:hAnsi="Arial" w:cs="Arial"/>
                <w:sz w:val="20"/>
                <w:szCs w:val="20"/>
                <w:lang w:val="en-GB"/>
              </w:rPr>
              <w:t>high rate of participation</w:t>
            </w:r>
            <w:r w:rsidR="005A6C13">
              <w:rPr>
                <w:rFonts w:ascii="Arial" w:hAnsi="Arial" w:cs="Arial"/>
                <w:sz w:val="20"/>
                <w:szCs w:val="20"/>
                <w:lang w:val="en-GB"/>
              </w:rPr>
              <w:t xml:space="preserve"> by</w:t>
            </w:r>
            <w:r w:rsidR="00FD226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D226E" w:rsidRPr="00D71D21">
              <w:rPr>
                <w:rFonts w:ascii="Arial" w:hAnsi="Arial" w:cs="Arial"/>
                <w:sz w:val="20"/>
                <w:szCs w:val="20"/>
                <w:lang w:val="en-GB"/>
              </w:rPr>
              <w:t>potential partner agencies</w:t>
            </w:r>
            <w:r w:rsidRPr="00D71D2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006A30">
              <w:rPr>
                <w:rFonts w:ascii="Arial" w:hAnsi="Arial" w:cs="Arial"/>
                <w:sz w:val="20"/>
                <w:szCs w:val="20"/>
                <w:lang w:val="en-GB"/>
              </w:rPr>
              <w:t xml:space="preserve">Given that the selected agency </w:t>
            </w:r>
            <w:r w:rsidR="00006A30" w:rsidRPr="00C410E4">
              <w:rPr>
                <w:rFonts w:ascii="Arial" w:hAnsi="Arial" w:cs="Arial"/>
                <w:sz w:val="20"/>
                <w:szCs w:val="20"/>
                <w:lang w:val="en-GB"/>
              </w:rPr>
              <w:t>is based in Paris, multiple physical meetings were organized, in addition to regular correspondence and exchange</w:t>
            </w:r>
            <w:r w:rsidR="005A6C13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06A30" w:rsidRPr="00C410E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A6C13">
              <w:rPr>
                <w:rFonts w:ascii="Arial" w:hAnsi="Arial" w:cs="Arial"/>
                <w:sz w:val="20"/>
                <w:szCs w:val="20"/>
                <w:lang w:val="en-GB"/>
              </w:rPr>
              <w:t>by</w:t>
            </w:r>
            <w:r w:rsidR="00006A30" w:rsidRPr="00C410E4">
              <w:rPr>
                <w:rFonts w:ascii="Arial" w:hAnsi="Arial" w:cs="Arial"/>
                <w:sz w:val="20"/>
                <w:szCs w:val="20"/>
                <w:lang w:val="en-GB"/>
              </w:rPr>
              <w:t xml:space="preserve"> email, in order to reduce the knowledge and information gap and foster a common understanding</w:t>
            </w:r>
            <w:r w:rsidR="00006A3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14:paraId="482713F2" w14:textId="77777777" w:rsidR="001E21CE" w:rsidRPr="001C6031" w:rsidRDefault="001E21CE" w:rsidP="00C410E4">
      <w:pPr>
        <w:pStyle w:val="Marge"/>
        <w:spacing w:before="120" w:after="120"/>
        <w:rPr>
          <w:rFonts w:cs="Arial"/>
          <w:b/>
          <w:bCs/>
          <w:szCs w:val="22"/>
          <w:lang w:val="en-GB"/>
        </w:rPr>
      </w:pPr>
    </w:p>
    <w:sectPr w:rsidR="001E21CE" w:rsidRPr="001C6031" w:rsidSect="00C269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B7D703" w16cid:durableId="1E8AEFBD"/>
  <w16cid:commentId w16cid:paraId="58AB4696" w16cid:durableId="1E8AF0AB"/>
  <w16cid:commentId w16cid:paraId="181493AA" w16cid:durableId="1E8AE2C4"/>
  <w16cid:commentId w16cid:paraId="4DED6F52" w16cid:durableId="1E8AE52D"/>
  <w16cid:commentId w16cid:paraId="2532D0DB" w16cid:durableId="1E8AE5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A1E4F" w14:textId="77777777" w:rsidR="00494F29" w:rsidRDefault="00494F29" w:rsidP="00655736">
      <w:r>
        <w:separator/>
      </w:r>
    </w:p>
  </w:endnote>
  <w:endnote w:type="continuationSeparator" w:id="0">
    <w:p w14:paraId="0CF889B5" w14:textId="77777777" w:rsidR="00494F29" w:rsidRDefault="00494F29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DB513" w14:textId="77777777" w:rsidR="0037314F" w:rsidRDefault="003731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ACF4F" w14:textId="77777777" w:rsidR="0037314F" w:rsidRDefault="003731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A2FE1" w14:textId="77777777" w:rsidR="0037314F" w:rsidRDefault="00373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F2FCB" w14:textId="77777777" w:rsidR="00494F29" w:rsidRDefault="00494F29" w:rsidP="00655736">
      <w:r>
        <w:separator/>
      </w:r>
    </w:p>
  </w:footnote>
  <w:footnote w:type="continuationSeparator" w:id="0">
    <w:p w14:paraId="3312C6A3" w14:textId="77777777" w:rsidR="00494F29" w:rsidRDefault="00494F29" w:rsidP="00655736">
      <w:r>
        <w:continuationSeparator/>
      </w:r>
    </w:p>
  </w:footnote>
  <w:footnote w:id="1">
    <w:p w14:paraId="42D39A77" w14:textId="436DFD0C" w:rsidR="00474B65" w:rsidRPr="00B973F3" w:rsidRDefault="00474B65" w:rsidP="003C1A1C">
      <w:pPr>
        <w:pStyle w:val="FootnoteText"/>
        <w:ind w:left="567" w:hanging="567"/>
        <w:rPr>
          <w:sz w:val="18"/>
          <w:szCs w:val="18"/>
        </w:rPr>
      </w:pPr>
      <w:r w:rsidRPr="00B973F3">
        <w:rPr>
          <w:rStyle w:val="FootnoteReference"/>
          <w:sz w:val="18"/>
          <w:szCs w:val="18"/>
          <w:vertAlign w:val="baseline"/>
        </w:rPr>
        <w:footnoteRef/>
      </w:r>
      <w:r w:rsidRPr="00B973F3">
        <w:rPr>
          <w:sz w:val="18"/>
          <w:szCs w:val="18"/>
        </w:rPr>
        <w:t>.</w:t>
      </w:r>
      <w:r w:rsidRPr="00B973F3">
        <w:rPr>
          <w:sz w:val="18"/>
          <w:szCs w:val="18"/>
        </w:rPr>
        <w:tab/>
        <w:t>The General Assembly also allocated, on a provisional basis, the budget for the period 1 January 2018 to 30 June 2018. However, since this period is still ongoing at the time of writing and following General Assembly’s resolution (</w:t>
      </w:r>
      <w:hyperlink r:id="rId1" w:history="1">
        <w:r w:rsidRPr="00B973F3">
          <w:rPr>
            <w:rStyle w:val="Hyperlink"/>
            <w:sz w:val="18"/>
            <w:szCs w:val="18"/>
          </w:rPr>
          <w:t>Resolution 6.GA 6</w:t>
        </w:r>
      </w:hyperlink>
      <w:r w:rsidRPr="00B973F3">
        <w:rPr>
          <w:sz w:val="18"/>
          <w:szCs w:val="18"/>
        </w:rPr>
        <w:t xml:space="preserve">), this report will only cover the period 1 January 2016 to 31 December 2017, using the </w:t>
      </w:r>
      <w:r w:rsidR="007656F8">
        <w:rPr>
          <w:sz w:val="18"/>
          <w:szCs w:val="18"/>
        </w:rPr>
        <w:t>biennial</w:t>
      </w:r>
      <w:r w:rsidR="007656F8" w:rsidRPr="00B973F3">
        <w:rPr>
          <w:sz w:val="18"/>
          <w:szCs w:val="18"/>
        </w:rPr>
        <w:t xml:space="preserve"> </w:t>
      </w:r>
      <w:r w:rsidRPr="00B973F3">
        <w:rPr>
          <w:sz w:val="18"/>
          <w:szCs w:val="18"/>
        </w:rPr>
        <w:t xml:space="preserve">reporting format, aligned with UNESCO’s </w:t>
      </w:r>
      <w:r w:rsidR="009D37E7">
        <w:rPr>
          <w:sz w:val="18"/>
          <w:szCs w:val="18"/>
        </w:rPr>
        <w:t>biennial</w:t>
      </w:r>
      <w:r w:rsidR="009D37E7" w:rsidRPr="00B973F3">
        <w:rPr>
          <w:sz w:val="18"/>
          <w:szCs w:val="18"/>
        </w:rPr>
        <w:t xml:space="preserve"> </w:t>
      </w:r>
      <w:r w:rsidRPr="00B973F3">
        <w:rPr>
          <w:sz w:val="18"/>
          <w:szCs w:val="18"/>
        </w:rPr>
        <w:t>cycle.</w:t>
      </w:r>
    </w:p>
  </w:footnote>
  <w:footnote w:id="2">
    <w:p w14:paraId="49E0D157" w14:textId="209BFF41" w:rsidR="00474B65" w:rsidRPr="00B973F3" w:rsidRDefault="00474B65" w:rsidP="00473C13">
      <w:pPr>
        <w:pStyle w:val="FootnoteText"/>
        <w:ind w:left="567" w:hanging="567"/>
        <w:rPr>
          <w:sz w:val="18"/>
          <w:szCs w:val="18"/>
        </w:rPr>
      </w:pPr>
      <w:r w:rsidRPr="00B973F3">
        <w:rPr>
          <w:rStyle w:val="FootnoteReference"/>
          <w:rFonts w:cs="Arial"/>
          <w:sz w:val="18"/>
          <w:szCs w:val="18"/>
          <w:vertAlign w:val="baseline"/>
        </w:rPr>
        <w:footnoteRef/>
      </w:r>
      <w:r w:rsidRPr="00B973F3">
        <w:rPr>
          <w:rFonts w:cs="Arial"/>
          <w:sz w:val="18"/>
          <w:szCs w:val="18"/>
        </w:rPr>
        <w:t>.</w:t>
      </w:r>
      <w:r w:rsidRPr="00B973F3">
        <w:rPr>
          <w:rStyle w:val="FootnoteReference"/>
          <w:rFonts w:cs="Arial"/>
          <w:sz w:val="18"/>
          <w:szCs w:val="18"/>
          <w:vertAlign w:val="baseline"/>
        </w:rPr>
        <w:tab/>
        <w:t>All figures in the tables below are expressed in dollars</w:t>
      </w:r>
      <w:r w:rsidR="00FD55B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4F994" w14:textId="2CF4620C" w:rsidR="00474B65" w:rsidRPr="00473C13" w:rsidRDefault="00474B65" w:rsidP="00F7622D">
    <w:pPr>
      <w:pStyle w:val="Header"/>
      <w:rPr>
        <w:lang w:val="en-GB"/>
      </w:rPr>
    </w:pPr>
    <w:r>
      <w:rPr>
        <w:rFonts w:ascii="Arial" w:hAnsi="Arial" w:cs="Arial"/>
        <w:sz w:val="20"/>
        <w:szCs w:val="20"/>
        <w:lang w:val="en-GB"/>
      </w:rPr>
      <w:t>ITH/18/13</w:t>
    </w:r>
    <w:r w:rsidRPr="00350080">
      <w:rPr>
        <w:rFonts w:ascii="Arial" w:hAnsi="Arial" w:cs="Arial"/>
        <w:sz w:val="20"/>
        <w:szCs w:val="20"/>
        <w:lang w:val="en-GB"/>
      </w:rPr>
      <w:t>.COM</w:t>
    </w:r>
    <w:r>
      <w:rPr>
        <w:rFonts w:ascii="Arial" w:hAnsi="Arial" w:cs="Arial"/>
        <w:sz w:val="20"/>
        <w:szCs w:val="20"/>
        <w:lang w:val="en-GB"/>
      </w:rPr>
      <w:t> </w:t>
    </w:r>
    <w:r w:rsidRPr="00350080">
      <w:rPr>
        <w:rFonts w:ascii="Arial" w:hAnsi="Arial" w:cs="Arial"/>
        <w:sz w:val="20"/>
        <w:szCs w:val="20"/>
        <w:lang w:val="en-GB"/>
      </w:rPr>
      <w:t>2.BUR/</w:t>
    </w:r>
    <w:r>
      <w:rPr>
        <w:rFonts w:ascii="Arial" w:hAnsi="Arial" w:cs="Arial"/>
        <w:sz w:val="20"/>
        <w:szCs w:val="20"/>
        <w:lang w:val="en-GB"/>
      </w:rPr>
      <w:t>INF.3</w:t>
    </w:r>
    <w:r w:rsidRPr="00C23A97">
      <w:rPr>
        <w:rFonts w:ascii="Arial" w:hAnsi="Arial" w:cs="Arial"/>
        <w:sz w:val="20"/>
        <w:szCs w:val="20"/>
        <w:lang w:val="en-GB"/>
      </w:rPr>
      <w:t xml:space="preserve"> – page </w: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Pr="00C23A97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37314F">
      <w:rPr>
        <w:rStyle w:val="PageNumber"/>
        <w:rFonts w:ascii="Arial" w:hAnsi="Arial" w:cs="Arial"/>
        <w:noProof/>
        <w:sz w:val="20"/>
        <w:szCs w:val="20"/>
        <w:lang w:val="en-GB"/>
      </w:rPr>
      <w:t>10</w: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67113" w14:textId="47FA598A" w:rsidR="00474B65" w:rsidRPr="00473C13" w:rsidRDefault="00474B65" w:rsidP="00C26996">
    <w:pPr>
      <w:pStyle w:val="Header"/>
      <w:jc w:val="right"/>
      <w:rPr>
        <w:lang w:val="en-GB"/>
      </w:rPr>
    </w:pPr>
    <w:r>
      <w:rPr>
        <w:rFonts w:ascii="Arial" w:hAnsi="Arial" w:cs="Arial"/>
        <w:sz w:val="20"/>
        <w:szCs w:val="20"/>
        <w:lang w:val="en-GB"/>
      </w:rPr>
      <w:t>ITH/18/13</w:t>
    </w:r>
    <w:r w:rsidRPr="00350080">
      <w:rPr>
        <w:rFonts w:ascii="Arial" w:hAnsi="Arial" w:cs="Arial"/>
        <w:sz w:val="20"/>
        <w:szCs w:val="20"/>
        <w:lang w:val="en-GB"/>
      </w:rPr>
      <w:t>.COM</w:t>
    </w:r>
    <w:r>
      <w:rPr>
        <w:rFonts w:ascii="Arial" w:hAnsi="Arial" w:cs="Arial"/>
        <w:sz w:val="20"/>
        <w:szCs w:val="20"/>
        <w:lang w:val="en-GB"/>
      </w:rPr>
      <w:t> </w:t>
    </w:r>
    <w:r w:rsidRPr="00350080">
      <w:rPr>
        <w:rFonts w:ascii="Arial" w:hAnsi="Arial" w:cs="Arial"/>
        <w:sz w:val="20"/>
        <w:szCs w:val="20"/>
        <w:lang w:val="en-GB"/>
      </w:rPr>
      <w:t>2.BUR/</w:t>
    </w:r>
    <w:r>
      <w:rPr>
        <w:rFonts w:ascii="Arial" w:hAnsi="Arial" w:cs="Arial"/>
        <w:sz w:val="20"/>
        <w:szCs w:val="20"/>
        <w:lang w:val="en-GB"/>
      </w:rPr>
      <w:t>INF.3</w:t>
    </w:r>
    <w:r w:rsidRPr="00C23A97">
      <w:rPr>
        <w:rFonts w:ascii="Arial" w:hAnsi="Arial" w:cs="Arial"/>
        <w:sz w:val="20"/>
        <w:szCs w:val="20"/>
        <w:lang w:val="en-GB"/>
      </w:rPr>
      <w:t xml:space="preserve"> – page </w: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Pr="00C23A97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37314F">
      <w:rPr>
        <w:rStyle w:val="PageNumber"/>
        <w:rFonts w:ascii="Arial" w:hAnsi="Arial" w:cs="Arial"/>
        <w:noProof/>
        <w:sz w:val="20"/>
        <w:szCs w:val="20"/>
        <w:lang w:val="en-GB"/>
      </w:rPr>
      <w:t>9</w: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17CDB" w14:textId="5C1E013B" w:rsidR="00474B65" w:rsidRPr="00F32C23" w:rsidRDefault="00474B65">
    <w:pPr>
      <w:pStyle w:val="Header"/>
      <w:rPr>
        <w:lang w:val="en-GB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BA6B161" wp14:editId="54EFB64C">
          <wp:simplePos x="0" y="0"/>
          <wp:positionH relativeFrom="column">
            <wp:posOffset>-567690</wp:posOffset>
          </wp:positionH>
          <wp:positionV relativeFrom="paragraph">
            <wp:posOffset>3810</wp:posOffset>
          </wp:positionV>
          <wp:extent cx="2228215" cy="1367790"/>
          <wp:effectExtent l="0" t="0" r="635" b="3810"/>
          <wp:wrapNone/>
          <wp:docPr id="2" name="Picture 6" descr="unesco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esco_logo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DFC3C2" w14:textId="7EF3EFC2" w:rsidR="00474B65" w:rsidRPr="00F30DC6" w:rsidRDefault="00474B65" w:rsidP="00655736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n-GB"/>
      </w:rPr>
    </w:pPr>
    <w:r>
      <w:rPr>
        <w:rFonts w:ascii="Arial" w:hAnsi="Arial" w:cs="Arial"/>
        <w:b/>
        <w:sz w:val="44"/>
        <w:szCs w:val="44"/>
        <w:lang w:val="en-GB"/>
      </w:rPr>
      <w:t>13 </w:t>
    </w:r>
    <w:r w:rsidRPr="00F30DC6">
      <w:rPr>
        <w:rFonts w:ascii="Arial" w:hAnsi="Arial" w:cs="Arial"/>
        <w:b/>
        <w:sz w:val="44"/>
        <w:szCs w:val="44"/>
        <w:lang w:val="en-GB"/>
      </w:rPr>
      <w:t>COM</w:t>
    </w:r>
    <w:r>
      <w:rPr>
        <w:rFonts w:ascii="Arial" w:hAnsi="Arial" w:cs="Arial"/>
        <w:b/>
        <w:sz w:val="44"/>
        <w:szCs w:val="44"/>
        <w:lang w:val="en-GB"/>
      </w:rPr>
      <w:t> 2 BUR</w:t>
    </w:r>
  </w:p>
  <w:p w14:paraId="5365E063" w14:textId="37A60873" w:rsidR="00474B65" w:rsidRPr="009D5428" w:rsidRDefault="00474B65" w:rsidP="00655736">
    <w:pPr>
      <w:jc w:val="right"/>
      <w:rPr>
        <w:rFonts w:ascii="Arial" w:hAnsi="Arial" w:cs="Arial"/>
        <w:b/>
        <w:sz w:val="22"/>
        <w:szCs w:val="22"/>
        <w:lang w:val="en-GB"/>
      </w:rPr>
    </w:pPr>
    <w:r>
      <w:rPr>
        <w:rFonts w:ascii="Arial" w:hAnsi="Arial" w:cs="Arial"/>
        <w:b/>
        <w:sz w:val="22"/>
        <w:szCs w:val="22"/>
        <w:lang w:val="en-GB"/>
      </w:rPr>
      <w:t>ITH/18</w:t>
    </w:r>
    <w:r w:rsidRPr="009D5428">
      <w:rPr>
        <w:rFonts w:ascii="Arial" w:hAnsi="Arial" w:cs="Arial"/>
        <w:b/>
        <w:sz w:val="22"/>
        <w:szCs w:val="22"/>
        <w:lang w:val="en-GB"/>
      </w:rPr>
      <w:t>/</w:t>
    </w:r>
    <w:r>
      <w:rPr>
        <w:rFonts w:ascii="Arial" w:hAnsi="Arial" w:cs="Arial"/>
        <w:b/>
        <w:sz w:val="22"/>
        <w:szCs w:val="22"/>
        <w:lang w:val="en-GB"/>
      </w:rPr>
      <w:t>13</w:t>
    </w:r>
    <w:r w:rsidRPr="009D5428">
      <w:rPr>
        <w:rFonts w:ascii="Arial" w:hAnsi="Arial" w:cs="Arial"/>
        <w:b/>
        <w:sz w:val="22"/>
        <w:szCs w:val="22"/>
        <w:lang w:val="en-GB"/>
      </w:rPr>
      <w:t>.COM</w:t>
    </w:r>
    <w:r>
      <w:rPr>
        <w:rFonts w:ascii="Arial" w:hAnsi="Arial" w:cs="Arial"/>
        <w:b/>
        <w:sz w:val="22"/>
        <w:szCs w:val="22"/>
        <w:lang w:val="en-GB"/>
      </w:rPr>
      <w:t> 2.BUR/INF.3</w:t>
    </w:r>
  </w:p>
  <w:p w14:paraId="065E19FF" w14:textId="0C749DC7" w:rsidR="00474B65" w:rsidRPr="00F32C23" w:rsidRDefault="00474B65" w:rsidP="00655736">
    <w:pPr>
      <w:jc w:val="right"/>
      <w:rPr>
        <w:rFonts w:ascii="Arial" w:hAnsi="Arial" w:cs="Arial"/>
        <w:b/>
        <w:sz w:val="22"/>
        <w:szCs w:val="22"/>
        <w:lang w:val="en-GB"/>
      </w:rPr>
    </w:pPr>
    <w:r w:rsidRPr="00826FE8">
      <w:rPr>
        <w:rFonts w:ascii="Arial" w:hAnsi="Arial" w:cs="Arial"/>
        <w:b/>
        <w:sz w:val="22"/>
        <w:szCs w:val="22"/>
        <w:lang w:val="en-GB"/>
      </w:rPr>
      <w:t xml:space="preserve">Paris, </w:t>
    </w:r>
    <w:r w:rsidR="002F00E9">
      <w:rPr>
        <w:rFonts w:ascii="Arial" w:hAnsi="Arial" w:cs="Arial"/>
        <w:b/>
        <w:sz w:val="22"/>
        <w:szCs w:val="22"/>
        <w:lang w:val="en-GB"/>
      </w:rPr>
      <w:t>6</w:t>
    </w:r>
    <w:r w:rsidRPr="00826FE8">
      <w:rPr>
        <w:rFonts w:ascii="Arial" w:hAnsi="Arial" w:cs="Arial"/>
        <w:b/>
        <w:sz w:val="22"/>
        <w:szCs w:val="22"/>
        <w:lang w:val="en-GB"/>
      </w:rPr>
      <w:t> </w:t>
    </w:r>
    <w:r>
      <w:rPr>
        <w:rFonts w:ascii="Arial" w:hAnsi="Arial" w:cs="Arial"/>
        <w:b/>
        <w:sz w:val="22"/>
        <w:szCs w:val="22"/>
        <w:lang w:val="en-GB"/>
      </w:rPr>
      <w:t>June</w:t>
    </w:r>
    <w:r w:rsidRPr="00826FE8">
      <w:rPr>
        <w:rFonts w:ascii="Arial" w:hAnsi="Arial" w:cs="Arial"/>
        <w:b/>
        <w:sz w:val="22"/>
        <w:szCs w:val="22"/>
        <w:lang w:val="en-GB"/>
      </w:rPr>
      <w:t> </w:t>
    </w:r>
    <w:r>
      <w:rPr>
        <w:rFonts w:ascii="Arial" w:hAnsi="Arial" w:cs="Arial"/>
        <w:b/>
        <w:sz w:val="22"/>
        <w:szCs w:val="22"/>
        <w:lang w:val="en-GB"/>
      </w:rPr>
      <w:t>2018</w:t>
    </w:r>
  </w:p>
  <w:p w14:paraId="586369FE" w14:textId="7FB5D707" w:rsidR="00474B65" w:rsidRPr="0037314F" w:rsidRDefault="00474B65" w:rsidP="0037314F">
    <w:pPr>
      <w:jc w:val="right"/>
      <w:rPr>
        <w:rFonts w:ascii="Arial" w:hAnsi="Arial" w:cs="Arial"/>
        <w:b/>
        <w:sz w:val="22"/>
        <w:szCs w:val="22"/>
        <w:lang w:val="en-GB"/>
      </w:rPr>
    </w:pPr>
    <w:r w:rsidRPr="00F32C23">
      <w:rPr>
        <w:rFonts w:ascii="Arial" w:hAnsi="Arial" w:cs="Arial"/>
        <w:b/>
        <w:sz w:val="22"/>
        <w:szCs w:val="22"/>
        <w:lang w:val="en-GB"/>
      </w:rPr>
      <w:t xml:space="preserve">Original: </w:t>
    </w:r>
    <w:r>
      <w:rPr>
        <w:rFonts w:ascii="Arial" w:hAnsi="Arial" w:cs="Arial"/>
        <w:b/>
        <w:sz w:val="22"/>
        <w:szCs w:val="22"/>
        <w:lang w:val="en-GB"/>
      </w:rPr>
      <w:t>English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62AC226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Arial" w:eastAsia="Arial" w:hAnsi="Arial" w:cs="Arial"/>
        <w:sz w:val="22"/>
        <w:szCs w:val="22"/>
        <w:bdr w:val="none" w:sz="0" w:space="0" w:color="auto" w:frame="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754B"/>
    <w:multiLevelType w:val="hybridMultilevel"/>
    <w:tmpl w:val="5058B66A"/>
    <w:lvl w:ilvl="0" w:tplc="7DA46022">
      <w:start w:val="2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7F8F"/>
    <w:multiLevelType w:val="hybridMultilevel"/>
    <w:tmpl w:val="331C1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76B9"/>
    <w:multiLevelType w:val="hybridMultilevel"/>
    <w:tmpl w:val="A4F2784A"/>
    <w:lvl w:ilvl="0" w:tplc="3208C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7762FF8"/>
    <w:multiLevelType w:val="hybridMultilevel"/>
    <w:tmpl w:val="E0DCF2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D7D728D"/>
    <w:multiLevelType w:val="hybridMultilevel"/>
    <w:tmpl w:val="E1BA52DC"/>
    <w:lvl w:ilvl="0" w:tplc="2A6A9B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AE481C"/>
    <w:multiLevelType w:val="hybridMultilevel"/>
    <w:tmpl w:val="C0DC2852"/>
    <w:lvl w:ilvl="0" w:tplc="0714CA76">
      <w:start w:val="2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960B4"/>
    <w:multiLevelType w:val="hybridMultilevel"/>
    <w:tmpl w:val="39944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C30BD2"/>
    <w:multiLevelType w:val="hybridMultilevel"/>
    <w:tmpl w:val="27C40886"/>
    <w:lvl w:ilvl="0" w:tplc="F2A68DC4">
      <w:start w:val="1"/>
      <w:numFmt w:val="upperRoman"/>
      <w:pStyle w:val="Heading4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D2D12"/>
    <w:multiLevelType w:val="hybridMultilevel"/>
    <w:tmpl w:val="6FBACBA0"/>
    <w:lvl w:ilvl="0" w:tplc="8AF8E5AA">
      <w:start w:val="2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7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7140D93"/>
    <w:multiLevelType w:val="hybridMultilevel"/>
    <w:tmpl w:val="3914388C"/>
    <w:lvl w:ilvl="0" w:tplc="A9B86E72">
      <w:start w:val="1"/>
      <w:numFmt w:val="decimal"/>
      <w:pStyle w:val="5GAparabodytext"/>
      <w:lvlText w:val="%1."/>
      <w:lvlJc w:val="left"/>
      <w:pPr>
        <w:ind w:left="1287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85F376B"/>
    <w:multiLevelType w:val="hybridMultilevel"/>
    <w:tmpl w:val="986A85C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63A97"/>
    <w:multiLevelType w:val="hybridMultilevel"/>
    <w:tmpl w:val="EED4BE02"/>
    <w:lvl w:ilvl="0" w:tplc="BD5AB06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4573A"/>
    <w:multiLevelType w:val="hybridMultilevel"/>
    <w:tmpl w:val="7256B022"/>
    <w:lvl w:ilvl="0" w:tplc="A574CF6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45772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778C2"/>
    <w:multiLevelType w:val="hybridMultilevel"/>
    <w:tmpl w:val="08B2D8F0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9559F"/>
    <w:multiLevelType w:val="hybridMultilevel"/>
    <w:tmpl w:val="3E5A683E"/>
    <w:lvl w:ilvl="0" w:tplc="EEDAB29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37765A9"/>
    <w:multiLevelType w:val="hybridMultilevel"/>
    <w:tmpl w:val="99E09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B1A72"/>
    <w:multiLevelType w:val="hybridMultilevel"/>
    <w:tmpl w:val="14B83C50"/>
    <w:lvl w:ilvl="0" w:tplc="F872F9E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6"/>
  </w:num>
  <w:num w:numId="4">
    <w:abstractNumId w:val="27"/>
  </w:num>
  <w:num w:numId="5">
    <w:abstractNumId w:val="24"/>
  </w:num>
  <w:num w:numId="6">
    <w:abstractNumId w:val="4"/>
  </w:num>
  <w:num w:numId="7">
    <w:abstractNumId w:val="8"/>
  </w:num>
  <w:num w:numId="8">
    <w:abstractNumId w:val="17"/>
  </w:num>
  <w:num w:numId="9">
    <w:abstractNumId w:val="11"/>
  </w:num>
  <w:num w:numId="10">
    <w:abstractNumId w:val="13"/>
  </w:num>
  <w:num w:numId="11">
    <w:abstractNumId w:val="16"/>
  </w:num>
  <w:num w:numId="12">
    <w:abstractNumId w:val="14"/>
  </w:num>
  <w:num w:numId="13">
    <w:abstractNumId w:val="22"/>
  </w:num>
  <w:num w:numId="14">
    <w:abstractNumId w:val="7"/>
  </w:num>
  <w:num w:numId="15">
    <w:abstractNumId w:val="7"/>
  </w:num>
  <w:num w:numId="16">
    <w:abstractNumId w:val="19"/>
  </w:num>
  <w:num w:numId="17">
    <w:abstractNumId w:val="14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14"/>
  </w:num>
  <w:num w:numId="24">
    <w:abstractNumId w:val="7"/>
  </w:num>
  <w:num w:numId="25">
    <w:abstractNumId w:val="10"/>
  </w:num>
  <w:num w:numId="26">
    <w:abstractNumId w:val="20"/>
  </w:num>
  <w:num w:numId="27">
    <w:abstractNumId w:val="2"/>
  </w:num>
  <w:num w:numId="28">
    <w:abstractNumId w:val="5"/>
  </w:num>
  <w:num w:numId="29">
    <w:abstractNumId w:val="7"/>
  </w:num>
  <w:num w:numId="30">
    <w:abstractNumId w:val="0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18"/>
  </w:num>
  <w:num w:numId="37">
    <w:abstractNumId w:val="1"/>
  </w:num>
  <w:num w:numId="38">
    <w:abstractNumId w:val="9"/>
  </w:num>
  <w:num w:numId="39">
    <w:abstractNumId w:val="28"/>
  </w:num>
  <w:num w:numId="40">
    <w:abstractNumId w:val="26"/>
  </w:num>
  <w:num w:numId="41">
    <w:abstractNumId w:val="3"/>
  </w:num>
  <w:num w:numId="42">
    <w:abstractNumId w:val="18"/>
  </w:num>
  <w:num w:numId="43">
    <w:abstractNumId w:val="18"/>
  </w:num>
  <w:num w:numId="44">
    <w:abstractNumId w:val="18"/>
  </w:num>
  <w:num w:numId="45">
    <w:abstractNumId w:val="15"/>
  </w:num>
  <w:num w:numId="46">
    <w:abstractNumId w:val="18"/>
  </w:num>
  <w:num w:numId="47">
    <w:abstractNumId w:val="18"/>
  </w:num>
  <w:num w:numId="48">
    <w:abstractNumId w:val="18"/>
  </w:num>
  <w:num w:numId="49">
    <w:abstractNumId w:val="18"/>
    <w:lvlOverride w:ilvl="0">
      <w:startOverride w:val="1"/>
    </w:lvlOverride>
  </w:num>
  <w:num w:numId="50">
    <w:abstractNumId w:val="18"/>
  </w:num>
  <w:num w:numId="51">
    <w:abstractNumId w:val="18"/>
  </w:num>
  <w:num w:numId="52">
    <w:abstractNumId w:val="21"/>
  </w:num>
  <w:num w:numId="53">
    <w:abstractNumId w:val="18"/>
  </w:num>
  <w:num w:numId="54">
    <w:abstractNumId w:val="18"/>
  </w:num>
  <w:num w:numId="55">
    <w:abstractNumId w:val="25"/>
  </w:num>
  <w:num w:numId="56">
    <w:abstractNumId w:val="18"/>
  </w:num>
  <w:num w:numId="57">
    <w:abstractNumId w:val="14"/>
  </w:num>
  <w:num w:numId="58">
    <w:abstractNumId w:val="18"/>
  </w:num>
  <w:num w:numId="59">
    <w:abstractNumId w:val="18"/>
  </w:num>
  <w:num w:numId="60">
    <w:abstractNumId w:val="18"/>
  </w:num>
  <w:num w:numId="61">
    <w:abstractNumId w:val="14"/>
  </w:num>
  <w:num w:numId="62">
    <w:abstractNumId w:val="18"/>
  </w:num>
  <w:num w:numId="63">
    <w:abstractNumId w:val="18"/>
  </w:num>
  <w:num w:numId="64">
    <w:abstractNumId w:val="18"/>
  </w:num>
  <w:num w:numId="65">
    <w:abstractNumId w:val="18"/>
  </w:num>
  <w:num w:numId="66">
    <w:abstractNumId w:val="18"/>
  </w:num>
  <w:num w:numId="67">
    <w:abstractNumId w:val="14"/>
  </w:num>
  <w:num w:numId="68">
    <w:abstractNumId w:val="18"/>
  </w:num>
  <w:num w:numId="69">
    <w:abstractNumId w:val="1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42"/>
    <w:rsid w:val="00000098"/>
    <w:rsid w:val="00000B37"/>
    <w:rsid w:val="00001AAF"/>
    <w:rsid w:val="000043D7"/>
    <w:rsid w:val="000048ED"/>
    <w:rsid w:val="000066CA"/>
    <w:rsid w:val="00006A30"/>
    <w:rsid w:val="00012450"/>
    <w:rsid w:val="000203AD"/>
    <w:rsid w:val="0002088D"/>
    <w:rsid w:val="00024861"/>
    <w:rsid w:val="00032764"/>
    <w:rsid w:val="00041A66"/>
    <w:rsid w:val="00043D8B"/>
    <w:rsid w:val="0004543D"/>
    <w:rsid w:val="00050402"/>
    <w:rsid w:val="0005176E"/>
    <w:rsid w:val="0005488C"/>
    <w:rsid w:val="000563F5"/>
    <w:rsid w:val="00056942"/>
    <w:rsid w:val="00060F44"/>
    <w:rsid w:val="00062AE4"/>
    <w:rsid w:val="00062F60"/>
    <w:rsid w:val="00062FEC"/>
    <w:rsid w:val="0006578F"/>
    <w:rsid w:val="00067A73"/>
    <w:rsid w:val="00072F12"/>
    <w:rsid w:val="000765F7"/>
    <w:rsid w:val="00077748"/>
    <w:rsid w:val="00077AB7"/>
    <w:rsid w:val="00081CD8"/>
    <w:rsid w:val="0008533B"/>
    <w:rsid w:val="00094696"/>
    <w:rsid w:val="00096476"/>
    <w:rsid w:val="000A0CE6"/>
    <w:rsid w:val="000A435E"/>
    <w:rsid w:val="000A7F0E"/>
    <w:rsid w:val="000B0173"/>
    <w:rsid w:val="000B03CE"/>
    <w:rsid w:val="000B03E7"/>
    <w:rsid w:val="000B1C8F"/>
    <w:rsid w:val="000B764C"/>
    <w:rsid w:val="000C0D61"/>
    <w:rsid w:val="000C1FBA"/>
    <w:rsid w:val="000C7204"/>
    <w:rsid w:val="000E146B"/>
    <w:rsid w:val="000E3F49"/>
    <w:rsid w:val="000E58F2"/>
    <w:rsid w:val="000E668D"/>
    <w:rsid w:val="000F2172"/>
    <w:rsid w:val="000F3A3F"/>
    <w:rsid w:val="000F5CE6"/>
    <w:rsid w:val="00101464"/>
    <w:rsid w:val="00102156"/>
    <w:rsid w:val="00102557"/>
    <w:rsid w:val="0010511F"/>
    <w:rsid w:val="0010561F"/>
    <w:rsid w:val="0010568C"/>
    <w:rsid w:val="00115A4C"/>
    <w:rsid w:val="001240CD"/>
    <w:rsid w:val="0012620F"/>
    <w:rsid w:val="00130C28"/>
    <w:rsid w:val="00133FA7"/>
    <w:rsid w:val="00134671"/>
    <w:rsid w:val="00135185"/>
    <w:rsid w:val="0013608A"/>
    <w:rsid w:val="0013706C"/>
    <w:rsid w:val="00140A35"/>
    <w:rsid w:val="00141864"/>
    <w:rsid w:val="00143F74"/>
    <w:rsid w:val="001463D4"/>
    <w:rsid w:val="001503B3"/>
    <w:rsid w:val="00154EA6"/>
    <w:rsid w:val="00164D56"/>
    <w:rsid w:val="00167B10"/>
    <w:rsid w:val="00170052"/>
    <w:rsid w:val="00171503"/>
    <w:rsid w:val="00172B3B"/>
    <w:rsid w:val="00173E88"/>
    <w:rsid w:val="0017402F"/>
    <w:rsid w:val="00174663"/>
    <w:rsid w:val="00176D9F"/>
    <w:rsid w:val="001804D1"/>
    <w:rsid w:val="001828B7"/>
    <w:rsid w:val="00184CCF"/>
    <w:rsid w:val="00190065"/>
    <w:rsid w:val="00192337"/>
    <w:rsid w:val="00196C1B"/>
    <w:rsid w:val="00197D64"/>
    <w:rsid w:val="001A5BDE"/>
    <w:rsid w:val="001A5C77"/>
    <w:rsid w:val="001B0F73"/>
    <w:rsid w:val="001B285F"/>
    <w:rsid w:val="001B4D5A"/>
    <w:rsid w:val="001C088C"/>
    <w:rsid w:val="001C2DB7"/>
    <w:rsid w:val="001C6031"/>
    <w:rsid w:val="001D1004"/>
    <w:rsid w:val="001D5C04"/>
    <w:rsid w:val="001E21CE"/>
    <w:rsid w:val="001E429B"/>
    <w:rsid w:val="001F0ABB"/>
    <w:rsid w:val="001F75DB"/>
    <w:rsid w:val="002021ED"/>
    <w:rsid w:val="0020272E"/>
    <w:rsid w:val="00203F98"/>
    <w:rsid w:val="0020764F"/>
    <w:rsid w:val="00210A86"/>
    <w:rsid w:val="00212493"/>
    <w:rsid w:val="0021580D"/>
    <w:rsid w:val="0021741F"/>
    <w:rsid w:val="00222A2D"/>
    <w:rsid w:val="00223029"/>
    <w:rsid w:val="002244C9"/>
    <w:rsid w:val="00230F80"/>
    <w:rsid w:val="00234067"/>
    <w:rsid w:val="00234745"/>
    <w:rsid w:val="002407AF"/>
    <w:rsid w:val="00240833"/>
    <w:rsid w:val="00247946"/>
    <w:rsid w:val="00251542"/>
    <w:rsid w:val="00261C9E"/>
    <w:rsid w:val="00267C8A"/>
    <w:rsid w:val="002724B3"/>
    <w:rsid w:val="0027466B"/>
    <w:rsid w:val="002749C5"/>
    <w:rsid w:val="002810A7"/>
    <w:rsid w:val="00282CE8"/>
    <w:rsid w:val="002838A5"/>
    <w:rsid w:val="00283E93"/>
    <w:rsid w:val="00285BB4"/>
    <w:rsid w:val="00285CCF"/>
    <w:rsid w:val="00286A27"/>
    <w:rsid w:val="00286D07"/>
    <w:rsid w:val="0029399C"/>
    <w:rsid w:val="002972F5"/>
    <w:rsid w:val="002A0427"/>
    <w:rsid w:val="002A21B7"/>
    <w:rsid w:val="002A2343"/>
    <w:rsid w:val="002A730E"/>
    <w:rsid w:val="002B1603"/>
    <w:rsid w:val="002B16B9"/>
    <w:rsid w:val="002B2767"/>
    <w:rsid w:val="002B70B6"/>
    <w:rsid w:val="002B7C8E"/>
    <w:rsid w:val="002C026A"/>
    <w:rsid w:val="002C09E3"/>
    <w:rsid w:val="002C1265"/>
    <w:rsid w:val="002D03A7"/>
    <w:rsid w:val="002D4E23"/>
    <w:rsid w:val="002E646E"/>
    <w:rsid w:val="002F00E9"/>
    <w:rsid w:val="002F3744"/>
    <w:rsid w:val="002F585A"/>
    <w:rsid w:val="002F5994"/>
    <w:rsid w:val="002F71D5"/>
    <w:rsid w:val="002F7D7E"/>
    <w:rsid w:val="00302068"/>
    <w:rsid w:val="0031385B"/>
    <w:rsid w:val="0031706E"/>
    <w:rsid w:val="00321C2E"/>
    <w:rsid w:val="003242D2"/>
    <w:rsid w:val="00326520"/>
    <w:rsid w:val="003272F6"/>
    <w:rsid w:val="003277CE"/>
    <w:rsid w:val="0033050C"/>
    <w:rsid w:val="00334D91"/>
    <w:rsid w:val="0033515B"/>
    <w:rsid w:val="0034072B"/>
    <w:rsid w:val="00340E07"/>
    <w:rsid w:val="00340EBB"/>
    <w:rsid w:val="00341F89"/>
    <w:rsid w:val="00343F84"/>
    <w:rsid w:val="00344B58"/>
    <w:rsid w:val="00345CB4"/>
    <w:rsid w:val="00350080"/>
    <w:rsid w:val="00351013"/>
    <w:rsid w:val="003520B6"/>
    <w:rsid w:val="0035543D"/>
    <w:rsid w:val="00357ABE"/>
    <w:rsid w:val="00364DB9"/>
    <w:rsid w:val="00365A44"/>
    <w:rsid w:val="00367D2F"/>
    <w:rsid w:val="0037314F"/>
    <w:rsid w:val="0037592C"/>
    <w:rsid w:val="00375D42"/>
    <w:rsid w:val="003774E5"/>
    <w:rsid w:val="00385066"/>
    <w:rsid w:val="003914CA"/>
    <w:rsid w:val="003A3114"/>
    <w:rsid w:val="003A34F1"/>
    <w:rsid w:val="003A3A61"/>
    <w:rsid w:val="003A6EC6"/>
    <w:rsid w:val="003A7B01"/>
    <w:rsid w:val="003B045A"/>
    <w:rsid w:val="003B4563"/>
    <w:rsid w:val="003B76AE"/>
    <w:rsid w:val="003C06A4"/>
    <w:rsid w:val="003C1A1C"/>
    <w:rsid w:val="003C45E6"/>
    <w:rsid w:val="003D069C"/>
    <w:rsid w:val="003D12B5"/>
    <w:rsid w:val="003D1397"/>
    <w:rsid w:val="003D7646"/>
    <w:rsid w:val="003E20BB"/>
    <w:rsid w:val="003E346A"/>
    <w:rsid w:val="003F113A"/>
    <w:rsid w:val="003F1D48"/>
    <w:rsid w:val="003F238A"/>
    <w:rsid w:val="003F3DF8"/>
    <w:rsid w:val="003F3E63"/>
    <w:rsid w:val="003F6F36"/>
    <w:rsid w:val="004054C2"/>
    <w:rsid w:val="00407480"/>
    <w:rsid w:val="0041162A"/>
    <w:rsid w:val="00412AFB"/>
    <w:rsid w:val="00414596"/>
    <w:rsid w:val="00414643"/>
    <w:rsid w:val="00416AAC"/>
    <w:rsid w:val="004215AB"/>
    <w:rsid w:val="00422D9F"/>
    <w:rsid w:val="00430FB2"/>
    <w:rsid w:val="0043160E"/>
    <w:rsid w:val="00434E6B"/>
    <w:rsid w:val="004407F1"/>
    <w:rsid w:val="00441F38"/>
    <w:rsid w:val="004421E5"/>
    <w:rsid w:val="00446578"/>
    <w:rsid w:val="00451B6E"/>
    <w:rsid w:val="00452284"/>
    <w:rsid w:val="0045556F"/>
    <w:rsid w:val="00456731"/>
    <w:rsid w:val="00457C8E"/>
    <w:rsid w:val="0046331B"/>
    <w:rsid w:val="00464037"/>
    <w:rsid w:val="00465D94"/>
    <w:rsid w:val="00471F54"/>
    <w:rsid w:val="00473C13"/>
    <w:rsid w:val="00474B65"/>
    <w:rsid w:val="00477226"/>
    <w:rsid w:val="004804DF"/>
    <w:rsid w:val="00484176"/>
    <w:rsid w:val="00484AFA"/>
    <w:rsid w:val="00484E0F"/>
    <w:rsid w:val="004856CA"/>
    <w:rsid w:val="004863FE"/>
    <w:rsid w:val="00487577"/>
    <w:rsid w:val="00487E67"/>
    <w:rsid w:val="00487E82"/>
    <w:rsid w:val="00494F29"/>
    <w:rsid w:val="00495C37"/>
    <w:rsid w:val="00495F6E"/>
    <w:rsid w:val="00496A19"/>
    <w:rsid w:val="0049705E"/>
    <w:rsid w:val="004A34A0"/>
    <w:rsid w:val="004A62C0"/>
    <w:rsid w:val="004A67D9"/>
    <w:rsid w:val="004B47C3"/>
    <w:rsid w:val="004B6917"/>
    <w:rsid w:val="004C720B"/>
    <w:rsid w:val="004D0C87"/>
    <w:rsid w:val="004D13C5"/>
    <w:rsid w:val="004D5E94"/>
    <w:rsid w:val="004D65B0"/>
    <w:rsid w:val="004E3497"/>
    <w:rsid w:val="004E4F35"/>
    <w:rsid w:val="004F69A4"/>
    <w:rsid w:val="005008A8"/>
    <w:rsid w:val="00502207"/>
    <w:rsid w:val="00502C11"/>
    <w:rsid w:val="005039E3"/>
    <w:rsid w:val="00505C8A"/>
    <w:rsid w:val="00506936"/>
    <w:rsid w:val="0050794F"/>
    <w:rsid w:val="00510674"/>
    <w:rsid w:val="0051394B"/>
    <w:rsid w:val="00514AE5"/>
    <w:rsid w:val="0051576E"/>
    <w:rsid w:val="00524579"/>
    <w:rsid w:val="00526B7B"/>
    <w:rsid w:val="00526EAE"/>
    <w:rsid w:val="005308CE"/>
    <w:rsid w:val="00531117"/>
    <w:rsid w:val="00545847"/>
    <w:rsid w:val="00550EDE"/>
    <w:rsid w:val="00551038"/>
    <w:rsid w:val="005543E8"/>
    <w:rsid w:val="00556F04"/>
    <w:rsid w:val="005618EB"/>
    <w:rsid w:val="00566A6C"/>
    <w:rsid w:val="00573AE2"/>
    <w:rsid w:val="0057439C"/>
    <w:rsid w:val="00580117"/>
    <w:rsid w:val="00580B48"/>
    <w:rsid w:val="00587444"/>
    <w:rsid w:val="00590D24"/>
    <w:rsid w:val="00597709"/>
    <w:rsid w:val="005A4661"/>
    <w:rsid w:val="005A6C13"/>
    <w:rsid w:val="005B00F0"/>
    <w:rsid w:val="005B0127"/>
    <w:rsid w:val="005B1D65"/>
    <w:rsid w:val="005B22EA"/>
    <w:rsid w:val="005B4B14"/>
    <w:rsid w:val="005B5B41"/>
    <w:rsid w:val="005B7A35"/>
    <w:rsid w:val="005B7F29"/>
    <w:rsid w:val="005C18CB"/>
    <w:rsid w:val="005C3833"/>
    <w:rsid w:val="005C4B73"/>
    <w:rsid w:val="005D229E"/>
    <w:rsid w:val="005D42AE"/>
    <w:rsid w:val="005D6603"/>
    <w:rsid w:val="005E1D2B"/>
    <w:rsid w:val="005E7074"/>
    <w:rsid w:val="005E7872"/>
    <w:rsid w:val="005F1373"/>
    <w:rsid w:val="005F24B0"/>
    <w:rsid w:val="005F2BAF"/>
    <w:rsid w:val="005F658A"/>
    <w:rsid w:val="005F7CB2"/>
    <w:rsid w:val="00600A76"/>
    <w:rsid w:val="00600D93"/>
    <w:rsid w:val="00603E2F"/>
    <w:rsid w:val="00604676"/>
    <w:rsid w:val="00623D79"/>
    <w:rsid w:val="00624EBA"/>
    <w:rsid w:val="00630B09"/>
    <w:rsid w:val="0063300C"/>
    <w:rsid w:val="006376AF"/>
    <w:rsid w:val="00646E85"/>
    <w:rsid w:val="006514DA"/>
    <w:rsid w:val="00655435"/>
    <w:rsid w:val="00655736"/>
    <w:rsid w:val="00663B8D"/>
    <w:rsid w:val="00664588"/>
    <w:rsid w:val="00665ACB"/>
    <w:rsid w:val="006671C0"/>
    <w:rsid w:val="00670DC3"/>
    <w:rsid w:val="006717E4"/>
    <w:rsid w:val="00672763"/>
    <w:rsid w:val="006830E5"/>
    <w:rsid w:val="006936D9"/>
    <w:rsid w:val="00696C8D"/>
    <w:rsid w:val="006A0FDF"/>
    <w:rsid w:val="006A2AC2"/>
    <w:rsid w:val="006A2D15"/>
    <w:rsid w:val="006A3617"/>
    <w:rsid w:val="006A3A70"/>
    <w:rsid w:val="006A51C2"/>
    <w:rsid w:val="006A6032"/>
    <w:rsid w:val="006C0EF1"/>
    <w:rsid w:val="006C18C5"/>
    <w:rsid w:val="006C4F9B"/>
    <w:rsid w:val="006C5043"/>
    <w:rsid w:val="006C6AED"/>
    <w:rsid w:val="006C7EE5"/>
    <w:rsid w:val="006D23EE"/>
    <w:rsid w:val="006D3D83"/>
    <w:rsid w:val="006D5FED"/>
    <w:rsid w:val="006D6A82"/>
    <w:rsid w:val="006E2DF6"/>
    <w:rsid w:val="006E3532"/>
    <w:rsid w:val="006E46E4"/>
    <w:rsid w:val="006E4A78"/>
    <w:rsid w:val="006E7A23"/>
    <w:rsid w:val="006F1006"/>
    <w:rsid w:val="006F2D5B"/>
    <w:rsid w:val="00704551"/>
    <w:rsid w:val="00707531"/>
    <w:rsid w:val="00712F43"/>
    <w:rsid w:val="00715C47"/>
    <w:rsid w:val="00717DA5"/>
    <w:rsid w:val="00723ABC"/>
    <w:rsid w:val="007307C6"/>
    <w:rsid w:val="00732E6E"/>
    <w:rsid w:val="00744484"/>
    <w:rsid w:val="00746008"/>
    <w:rsid w:val="00747566"/>
    <w:rsid w:val="00755B0F"/>
    <w:rsid w:val="007577B6"/>
    <w:rsid w:val="0076049E"/>
    <w:rsid w:val="007605B2"/>
    <w:rsid w:val="007605FA"/>
    <w:rsid w:val="007645CB"/>
    <w:rsid w:val="00765472"/>
    <w:rsid w:val="007656F8"/>
    <w:rsid w:val="0076712C"/>
    <w:rsid w:val="007729FF"/>
    <w:rsid w:val="00773188"/>
    <w:rsid w:val="007736E0"/>
    <w:rsid w:val="00774268"/>
    <w:rsid w:val="00781EE1"/>
    <w:rsid w:val="00783782"/>
    <w:rsid w:val="0078447E"/>
    <w:rsid w:val="00784B8C"/>
    <w:rsid w:val="007879E1"/>
    <w:rsid w:val="00793EDE"/>
    <w:rsid w:val="00796BD3"/>
    <w:rsid w:val="007976D4"/>
    <w:rsid w:val="007979A0"/>
    <w:rsid w:val="007A15B0"/>
    <w:rsid w:val="007A4F40"/>
    <w:rsid w:val="007B3802"/>
    <w:rsid w:val="007B427B"/>
    <w:rsid w:val="007B43A5"/>
    <w:rsid w:val="007B4AC0"/>
    <w:rsid w:val="007B61A5"/>
    <w:rsid w:val="007B6786"/>
    <w:rsid w:val="007C2962"/>
    <w:rsid w:val="007C433B"/>
    <w:rsid w:val="007C4398"/>
    <w:rsid w:val="007C5A77"/>
    <w:rsid w:val="007D3D24"/>
    <w:rsid w:val="007E279C"/>
    <w:rsid w:val="008062DF"/>
    <w:rsid w:val="00813358"/>
    <w:rsid w:val="00814EB2"/>
    <w:rsid w:val="008217CE"/>
    <w:rsid w:val="00822C68"/>
    <w:rsid w:val="00823A11"/>
    <w:rsid w:val="008244AF"/>
    <w:rsid w:val="00826A53"/>
    <w:rsid w:val="00826FE8"/>
    <w:rsid w:val="00830355"/>
    <w:rsid w:val="00830DA2"/>
    <w:rsid w:val="008348D7"/>
    <w:rsid w:val="008378D8"/>
    <w:rsid w:val="00840FF9"/>
    <w:rsid w:val="00841436"/>
    <w:rsid w:val="00842994"/>
    <w:rsid w:val="00842D1A"/>
    <w:rsid w:val="0084376D"/>
    <w:rsid w:val="00850A0B"/>
    <w:rsid w:val="00852FB3"/>
    <w:rsid w:val="0085405E"/>
    <w:rsid w:val="008540C8"/>
    <w:rsid w:val="0085414A"/>
    <w:rsid w:val="008551AD"/>
    <w:rsid w:val="00862205"/>
    <w:rsid w:val="0086269D"/>
    <w:rsid w:val="0086543A"/>
    <w:rsid w:val="008673A0"/>
    <w:rsid w:val="008724E5"/>
    <w:rsid w:val="00873B0A"/>
    <w:rsid w:val="00875F74"/>
    <w:rsid w:val="00877CDC"/>
    <w:rsid w:val="00881E0F"/>
    <w:rsid w:val="00882DAE"/>
    <w:rsid w:val="00882EA1"/>
    <w:rsid w:val="00884A9D"/>
    <w:rsid w:val="0088512B"/>
    <w:rsid w:val="008909D3"/>
    <w:rsid w:val="00894555"/>
    <w:rsid w:val="008A2B2D"/>
    <w:rsid w:val="008A4E1E"/>
    <w:rsid w:val="008B72A7"/>
    <w:rsid w:val="008B7A82"/>
    <w:rsid w:val="008C003B"/>
    <w:rsid w:val="008C296C"/>
    <w:rsid w:val="008C6950"/>
    <w:rsid w:val="008C6B02"/>
    <w:rsid w:val="008D4305"/>
    <w:rsid w:val="008E112E"/>
    <w:rsid w:val="008E15D4"/>
    <w:rsid w:val="008E1A85"/>
    <w:rsid w:val="008E3A1F"/>
    <w:rsid w:val="008E5E9A"/>
    <w:rsid w:val="008E77E1"/>
    <w:rsid w:val="008E7832"/>
    <w:rsid w:val="008F252F"/>
    <w:rsid w:val="008F4364"/>
    <w:rsid w:val="008F4808"/>
    <w:rsid w:val="008F793A"/>
    <w:rsid w:val="0090044D"/>
    <w:rsid w:val="009020AA"/>
    <w:rsid w:val="00907D3B"/>
    <w:rsid w:val="009126F0"/>
    <w:rsid w:val="009136C6"/>
    <w:rsid w:val="009163A7"/>
    <w:rsid w:val="009253C3"/>
    <w:rsid w:val="0093365E"/>
    <w:rsid w:val="00934549"/>
    <w:rsid w:val="009352A6"/>
    <w:rsid w:val="009444C9"/>
    <w:rsid w:val="009467E7"/>
    <w:rsid w:val="00946D0B"/>
    <w:rsid w:val="00951F05"/>
    <w:rsid w:val="00952C2A"/>
    <w:rsid w:val="00955877"/>
    <w:rsid w:val="00960E06"/>
    <w:rsid w:val="00961B14"/>
    <w:rsid w:val="00963A19"/>
    <w:rsid w:val="00966CF5"/>
    <w:rsid w:val="00967F3D"/>
    <w:rsid w:val="0097130A"/>
    <w:rsid w:val="00971F7B"/>
    <w:rsid w:val="00976FC5"/>
    <w:rsid w:val="009775BF"/>
    <w:rsid w:val="0098007C"/>
    <w:rsid w:val="00981B7B"/>
    <w:rsid w:val="00981FF6"/>
    <w:rsid w:val="00983862"/>
    <w:rsid w:val="0098703E"/>
    <w:rsid w:val="00991B6F"/>
    <w:rsid w:val="009A0313"/>
    <w:rsid w:val="009A089F"/>
    <w:rsid w:val="009A16C4"/>
    <w:rsid w:val="009A18CD"/>
    <w:rsid w:val="009A3C4D"/>
    <w:rsid w:val="009A617F"/>
    <w:rsid w:val="009A759B"/>
    <w:rsid w:val="009B1A47"/>
    <w:rsid w:val="009B2031"/>
    <w:rsid w:val="009B25A7"/>
    <w:rsid w:val="009B5B8E"/>
    <w:rsid w:val="009B6EB4"/>
    <w:rsid w:val="009B6F30"/>
    <w:rsid w:val="009B7A33"/>
    <w:rsid w:val="009C74EA"/>
    <w:rsid w:val="009D07DA"/>
    <w:rsid w:val="009D27E9"/>
    <w:rsid w:val="009D37E7"/>
    <w:rsid w:val="009D5428"/>
    <w:rsid w:val="009E4577"/>
    <w:rsid w:val="009E6421"/>
    <w:rsid w:val="009E7488"/>
    <w:rsid w:val="009F1F16"/>
    <w:rsid w:val="009F436D"/>
    <w:rsid w:val="00A009C8"/>
    <w:rsid w:val="00A10AA6"/>
    <w:rsid w:val="00A12558"/>
    <w:rsid w:val="00A13903"/>
    <w:rsid w:val="00A13C18"/>
    <w:rsid w:val="00A1492B"/>
    <w:rsid w:val="00A157D1"/>
    <w:rsid w:val="00A176A4"/>
    <w:rsid w:val="00A2086A"/>
    <w:rsid w:val="00A22719"/>
    <w:rsid w:val="00A2529F"/>
    <w:rsid w:val="00A2614A"/>
    <w:rsid w:val="00A34711"/>
    <w:rsid w:val="00A34ED5"/>
    <w:rsid w:val="00A35C7D"/>
    <w:rsid w:val="00A379BE"/>
    <w:rsid w:val="00A405C0"/>
    <w:rsid w:val="00A42FBD"/>
    <w:rsid w:val="00A44535"/>
    <w:rsid w:val="00A45DBF"/>
    <w:rsid w:val="00A53C15"/>
    <w:rsid w:val="00A54DE6"/>
    <w:rsid w:val="00A565DA"/>
    <w:rsid w:val="00A573D8"/>
    <w:rsid w:val="00A57444"/>
    <w:rsid w:val="00A60F84"/>
    <w:rsid w:val="00A61364"/>
    <w:rsid w:val="00A619AB"/>
    <w:rsid w:val="00A621A0"/>
    <w:rsid w:val="00A6475B"/>
    <w:rsid w:val="00A710AB"/>
    <w:rsid w:val="00A720E1"/>
    <w:rsid w:val="00A739A9"/>
    <w:rsid w:val="00A74D6C"/>
    <w:rsid w:val="00A7512D"/>
    <w:rsid w:val="00A755A2"/>
    <w:rsid w:val="00A90929"/>
    <w:rsid w:val="00A954B1"/>
    <w:rsid w:val="00AA088F"/>
    <w:rsid w:val="00AA431A"/>
    <w:rsid w:val="00AA6660"/>
    <w:rsid w:val="00AB10BD"/>
    <w:rsid w:val="00AB2C36"/>
    <w:rsid w:val="00AB33B9"/>
    <w:rsid w:val="00AB42FF"/>
    <w:rsid w:val="00AB69C7"/>
    <w:rsid w:val="00AB6DDE"/>
    <w:rsid w:val="00AB70B6"/>
    <w:rsid w:val="00AD1302"/>
    <w:rsid w:val="00AD1A86"/>
    <w:rsid w:val="00AD4DC2"/>
    <w:rsid w:val="00AE015C"/>
    <w:rsid w:val="00AE0E5B"/>
    <w:rsid w:val="00AE103E"/>
    <w:rsid w:val="00AE78A0"/>
    <w:rsid w:val="00AF0A07"/>
    <w:rsid w:val="00AF1187"/>
    <w:rsid w:val="00AF4AEC"/>
    <w:rsid w:val="00AF57D9"/>
    <w:rsid w:val="00AF625E"/>
    <w:rsid w:val="00B04E85"/>
    <w:rsid w:val="00B04E9C"/>
    <w:rsid w:val="00B0545E"/>
    <w:rsid w:val="00B056F0"/>
    <w:rsid w:val="00B062AD"/>
    <w:rsid w:val="00B07274"/>
    <w:rsid w:val="00B159C9"/>
    <w:rsid w:val="00B17EAC"/>
    <w:rsid w:val="00B25534"/>
    <w:rsid w:val="00B32D1E"/>
    <w:rsid w:val="00B32E30"/>
    <w:rsid w:val="00B35C91"/>
    <w:rsid w:val="00B47893"/>
    <w:rsid w:val="00B47AAB"/>
    <w:rsid w:val="00B47E4F"/>
    <w:rsid w:val="00B5433F"/>
    <w:rsid w:val="00B556C5"/>
    <w:rsid w:val="00B63BBC"/>
    <w:rsid w:val="00B63EC3"/>
    <w:rsid w:val="00B84606"/>
    <w:rsid w:val="00B8492A"/>
    <w:rsid w:val="00B973F3"/>
    <w:rsid w:val="00B97D7A"/>
    <w:rsid w:val="00BA522B"/>
    <w:rsid w:val="00BB04AF"/>
    <w:rsid w:val="00BB3419"/>
    <w:rsid w:val="00BB5EE0"/>
    <w:rsid w:val="00BB5F55"/>
    <w:rsid w:val="00BC14B5"/>
    <w:rsid w:val="00BD1A71"/>
    <w:rsid w:val="00BD2324"/>
    <w:rsid w:val="00BD2C9D"/>
    <w:rsid w:val="00BD4F95"/>
    <w:rsid w:val="00BD52C9"/>
    <w:rsid w:val="00BD52E2"/>
    <w:rsid w:val="00BD5D66"/>
    <w:rsid w:val="00BE077B"/>
    <w:rsid w:val="00BE6354"/>
    <w:rsid w:val="00BF1566"/>
    <w:rsid w:val="00BF21B7"/>
    <w:rsid w:val="00BF3249"/>
    <w:rsid w:val="00C016DE"/>
    <w:rsid w:val="00C01C46"/>
    <w:rsid w:val="00C02163"/>
    <w:rsid w:val="00C04185"/>
    <w:rsid w:val="00C044BB"/>
    <w:rsid w:val="00C05469"/>
    <w:rsid w:val="00C0550F"/>
    <w:rsid w:val="00C07ABE"/>
    <w:rsid w:val="00C10A08"/>
    <w:rsid w:val="00C138D1"/>
    <w:rsid w:val="00C225D9"/>
    <w:rsid w:val="00C2282C"/>
    <w:rsid w:val="00C23894"/>
    <w:rsid w:val="00C23A97"/>
    <w:rsid w:val="00C23C45"/>
    <w:rsid w:val="00C2587F"/>
    <w:rsid w:val="00C25E96"/>
    <w:rsid w:val="00C26996"/>
    <w:rsid w:val="00C320E6"/>
    <w:rsid w:val="00C3333E"/>
    <w:rsid w:val="00C410E4"/>
    <w:rsid w:val="00C421B8"/>
    <w:rsid w:val="00C43B04"/>
    <w:rsid w:val="00C45015"/>
    <w:rsid w:val="00C52DB5"/>
    <w:rsid w:val="00C5550E"/>
    <w:rsid w:val="00C56153"/>
    <w:rsid w:val="00C56B0C"/>
    <w:rsid w:val="00C609A1"/>
    <w:rsid w:val="00C61BA0"/>
    <w:rsid w:val="00C63C67"/>
    <w:rsid w:val="00C64855"/>
    <w:rsid w:val="00C702DA"/>
    <w:rsid w:val="00C70EA7"/>
    <w:rsid w:val="00C71DA8"/>
    <w:rsid w:val="00C74AA8"/>
    <w:rsid w:val="00C7516E"/>
    <w:rsid w:val="00C75361"/>
    <w:rsid w:val="00C75770"/>
    <w:rsid w:val="00C7756F"/>
    <w:rsid w:val="00C842C1"/>
    <w:rsid w:val="00C852FB"/>
    <w:rsid w:val="00C85819"/>
    <w:rsid w:val="00C876FE"/>
    <w:rsid w:val="00C90E02"/>
    <w:rsid w:val="00C92BC7"/>
    <w:rsid w:val="00C92BFD"/>
    <w:rsid w:val="00C94816"/>
    <w:rsid w:val="00C97AF7"/>
    <w:rsid w:val="00CA1C37"/>
    <w:rsid w:val="00CA28DC"/>
    <w:rsid w:val="00CA3532"/>
    <w:rsid w:val="00CA4AE8"/>
    <w:rsid w:val="00CA56BB"/>
    <w:rsid w:val="00CA65FC"/>
    <w:rsid w:val="00CB0542"/>
    <w:rsid w:val="00CB2EC6"/>
    <w:rsid w:val="00CB43C9"/>
    <w:rsid w:val="00CB4943"/>
    <w:rsid w:val="00CB5826"/>
    <w:rsid w:val="00CC0E12"/>
    <w:rsid w:val="00CC1BB8"/>
    <w:rsid w:val="00CC22E1"/>
    <w:rsid w:val="00CC291C"/>
    <w:rsid w:val="00CC3B58"/>
    <w:rsid w:val="00CC4F2E"/>
    <w:rsid w:val="00CC79E5"/>
    <w:rsid w:val="00CD21DE"/>
    <w:rsid w:val="00CE64BF"/>
    <w:rsid w:val="00CF1CE2"/>
    <w:rsid w:val="00CF409A"/>
    <w:rsid w:val="00CF4B18"/>
    <w:rsid w:val="00CF7B06"/>
    <w:rsid w:val="00D00B2B"/>
    <w:rsid w:val="00D051D8"/>
    <w:rsid w:val="00D1121A"/>
    <w:rsid w:val="00D17B01"/>
    <w:rsid w:val="00D24877"/>
    <w:rsid w:val="00D24904"/>
    <w:rsid w:val="00D25C32"/>
    <w:rsid w:val="00D34376"/>
    <w:rsid w:val="00D403F3"/>
    <w:rsid w:val="00D543B5"/>
    <w:rsid w:val="00D5473B"/>
    <w:rsid w:val="00D673A3"/>
    <w:rsid w:val="00D73717"/>
    <w:rsid w:val="00D7756E"/>
    <w:rsid w:val="00D80CD8"/>
    <w:rsid w:val="00D8250F"/>
    <w:rsid w:val="00D8390E"/>
    <w:rsid w:val="00D92F2A"/>
    <w:rsid w:val="00D95C4C"/>
    <w:rsid w:val="00DA1115"/>
    <w:rsid w:val="00DA36ED"/>
    <w:rsid w:val="00DA49F6"/>
    <w:rsid w:val="00DA518C"/>
    <w:rsid w:val="00DA59F5"/>
    <w:rsid w:val="00DA6982"/>
    <w:rsid w:val="00DB2021"/>
    <w:rsid w:val="00DB6F0C"/>
    <w:rsid w:val="00DC1529"/>
    <w:rsid w:val="00DD5889"/>
    <w:rsid w:val="00DD5F1B"/>
    <w:rsid w:val="00DD6576"/>
    <w:rsid w:val="00DD6C76"/>
    <w:rsid w:val="00DE0899"/>
    <w:rsid w:val="00DE199F"/>
    <w:rsid w:val="00DE34F1"/>
    <w:rsid w:val="00DE6160"/>
    <w:rsid w:val="00DE7D01"/>
    <w:rsid w:val="00DE7E4B"/>
    <w:rsid w:val="00DF06FA"/>
    <w:rsid w:val="00DF4942"/>
    <w:rsid w:val="00DF7006"/>
    <w:rsid w:val="00E00C73"/>
    <w:rsid w:val="00E03F77"/>
    <w:rsid w:val="00E05A22"/>
    <w:rsid w:val="00E05F2F"/>
    <w:rsid w:val="00E141C2"/>
    <w:rsid w:val="00E244E1"/>
    <w:rsid w:val="00E34183"/>
    <w:rsid w:val="00E42717"/>
    <w:rsid w:val="00E44DD2"/>
    <w:rsid w:val="00E46833"/>
    <w:rsid w:val="00E4702A"/>
    <w:rsid w:val="00E4785D"/>
    <w:rsid w:val="00E51119"/>
    <w:rsid w:val="00E533A4"/>
    <w:rsid w:val="00E57F64"/>
    <w:rsid w:val="00E627B1"/>
    <w:rsid w:val="00E657AF"/>
    <w:rsid w:val="00E70169"/>
    <w:rsid w:val="00E74893"/>
    <w:rsid w:val="00E768E0"/>
    <w:rsid w:val="00E92B69"/>
    <w:rsid w:val="00E92FD3"/>
    <w:rsid w:val="00E9376C"/>
    <w:rsid w:val="00E941EB"/>
    <w:rsid w:val="00E948A2"/>
    <w:rsid w:val="00E95E90"/>
    <w:rsid w:val="00E97031"/>
    <w:rsid w:val="00EA335E"/>
    <w:rsid w:val="00EA528C"/>
    <w:rsid w:val="00EA580C"/>
    <w:rsid w:val="00EB1FFB"/>
    <w:rsid w:val="00EC0EF1"/>
    <w:rsid w:val="00EC16BF"/>
    <w:rsid w:val="00EC3A93"/>
    <w:rsid w:val="00EC5352"/>
    <w:rsid w:val="00EC6D7B"/>
    <w:rsid w:val="00EC6F8D"/>
    <w:rsid w:val="00ED04CE"/>
    <w:rsid w:val="00ED15BD"/>
    <w:rsid w:val="00ED762F"/>
    <w:rsid w:val="00EE126D"/>
    <w:rsid w:val="00EE15DC"/>
    <w:rsid w:val="00EE1BC1"/>
    <w:rsid w:val="00EE5AFD"/>
    <w:rsid w:val="00EE728B"/>
    <w:rsid w:val="00EF34E2"/>
    <w:rsid w:val="00EF510D"/>
    <w:rsid w:val="00EF54C6"/>
    <w:rsid w:val="00F02711"/>
    <w:rsid w:val="00F03BD6"/>
    <w:rsid w:val="00F04809"/>
    <w:rsid w:val="00F12D64"/>
    <w:rsid w:val="00F135CD"/>
    <w:rsid w:val="00F1575B"/>
    <w:rsid w:val="00F16E8D"/>
    <w:rsid w:val="00F17621"/>
    <w:rsid w:val="00F3010F"/>
    <w:rsid w:val="00F30DC6"/>
    <w:rsid w:val="00F31A9D"/>
    <w:rsid w:val="00F32C23"/>
    <w:rsid w:val="00F53DE9"/>
    <w:rsid w:val="00F560C7"/>
    <w:rsid w:val="00F576CB"/>
    <w:rsid w:val="00F57C02"/>
    <w:rsid w:val="00F57E47"/>
    <w:rsid w:val="00F62698"/>
    <w:rsid w:val="00F667A7"/>
    <w:rsid w:val="00F7035D"/>
    <w:rsid w:val="00F71A02"/>
    <w:rsid w:val="00F7622D"/>
    <w:rsid w:val="00F76987"/>
    <w:rsid w:val="00F77345"/>
    <w:rsid w:val="00F9370A"/>
    <w:rsid w:val="00FA07E1"/>
    <w:rsid w:val="00FA0D63"/>
    <w:rsid w:val="00FA2879"/>
    <w:rsid w:val="00FB5E3F"/>
    <w:rsid w:val="00FC0318"/>
    <w:rsid w:val="00FC165D"/>
    <w:rsid w:val="00FC50C8"/>
    <w:rsid w:val="00FC5105"/>
    <w:rsid w:val="00FD01DA"/>
    <w:rsid w:val="00FD110F"/>
    <w:rsid w:val="00FD1226"/>
    <w:rsid w:val="00FD226E"/>
    <w:rsid w:val="00FD55B1"/>
    <w:rsid w:val="00FD6CF9"/>
    <w:rsid w:val="00FD7AFD"/>
    <w:rsid w:val="00FE0555"/>
    <w:rsid w:val="00FE57B6"/>
    <w:rsid w:val="00FF01FB"/>
    <w:rsid w:val="00FF1218"/>
    <w:rsid w:val="00FF4830"/>
    <w:rsid w:val="00FF5CAC"/>
    <w:rsid w:val="00FF6586"/>
    <w:rsid w:val="00FF7383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97E9D3A"/>
  <w15:docId w15:val="{8FA734E9-0B9D-48ED-8B16-D5C28F07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08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228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E42717"/>
    <w:pPr>
      <w:keepNext/>
      <w:keepLines/>
      <w:numPr>
        <w:numId w:val="12"/>
      </w:numPr>
      <w:tabs>
        <w:tab w:val="left" w:pos="567"/>
      </w:tabs>
      <w:snapToGrid w:val="0"/>
      <w:spacing w:before="360" w:after="120"/>
      <w:outlineLvl w:val="3"/>
    </w:pPr>
    <w:rPr>
      <w:rFonts w:ascii="Arial" w:hAnsi="Arial"/>
      <w:b/>
      <w:bCs/>
      <w:cap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E42717"/>
    <w:rPr>
      <w:rFonts w:ascii="Arial" w:eastAsia="Times New Roman" w:hAnsi="Arial"/>
      <w:b/>
      <w:bCs/>
      <w:cap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paragraph" w:customStyle="1" w:styleId="Sansinterligne3">
    <w:name w:val="Sans interligne3"/>
    <w:uiPriority w:val="1"/>
    <w:qFormat/>
    <w:rsid w:val="00350080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350080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0080"/>
    <w:rPr>
      <w:rFonts w:ascii="Calibri Light" w:eastAsia="Times New Roman" w:hAnsi="Calibri Light"/>
      <w:b/>
      <w:bCs/>
      <w:kern w:val="32"/>
      <w:sz w:val="32"/>
      <w:szCs w:val="32"/>
    </w:rPr>
  </w:style>
  <w:style w:type="paragraph" w:customStyle="1" w:styleId="Paragraph">
    <w:name w:val="Paragraph"/>
    <w:basedOn w:val="Normal"/>
    <w:link w:val="ParagraphChar"/>
    <w:qFormat/>
    <w:rsid w:val="00350080"/>
    <w:pPr>
      <w:numPr>
        <w:numId w:val="13"/>
      </w:numPr>
      <w:spacing w:before="240"/>
      <w:ind w:left="567" w:hanging="567"/>
      <w:jc w:val="both"/>
    </w:pPr>
    <w:rPr>
      <w:rFonts w:ascii="Arial" w:hAnsi="Arial" w:cs="Arial"/>
      <w:sz w:val="22"/>
      <w:szCs w:val="22"/>
      <w:lang w:val="en-GB"/>
    </w:rPr>
  </w:style>
  <w:style w:type="character" w:customStyle="1" w:styleId="ParagraphChar">
    <w:name w:val="Paragraph Char"/>
    <w:link w:val="Paragraph"/>
    <w:rsid w:val="00350080"/>
    <w:rPr>
      <w:rFonts w:ascii="Arial" w:eastAsia="Times New Roman" w:hAnsi="Arial" w:cs="Arial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350080"/>
    <w:pPr>
      <w:spacing w:before="60" w:after="60"/>
      <w:jc w:val="both"/>
    </w:pPr>
    <w:rPr>
      <w:rFonts w:ascii="Arial" w:hAnsi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0080"/>
    <w:rPr>
      <w:rFonts w:ascii="Arial" w:eastAsia="Times New Roman" w:hAnsi="Arial"/>
      <w:lang w:val="en-GB"/>
    </w:rPr>
  </w:style>
  <w:style w:type="character" w:styleId="FootnoteReference">
    <w:name w:val="footnote reference"/>
    <w:uiPriority w:val="99"/>
    <w:unhideWhenUsed/>
    <w:rsid w:val="00350080"/>
    <w:rPr>
      <w:vertAlign w:val="superscript"/>
    </w:rPr>
  </w:style>
  <w:style w:type="character" w:customStyle="1" w:styleId="atenuated">
    <w:name w:val="atenuated"/>
    <w:rsid w:val="00350080"/>
  </w:style>
  <w:style w:type="character" w:customStyle="1" w:styleId="hps">
    <w:name w:val="hps"/>
    <w:rsid w:val="008E77E1"/>
  </w:style>
  <w:style w:type="paragraph" w:customStyle="1" w:styleId="5GAparabodytext">
    <w:name w:val="5GA para body text"/>
    <w:basedOn w:val="Marge"/>
    <w:autoRedefine/>
    <w:qFormat/>
    <w:rsid w:val="00CF4B18"/>
    <w:pPr>
      <w:numPr>
        <w:numId w:val="36"/>
      </w:numPr>
      <w:spacing w:after="120"/>
      <w:ind w:left="567" w:hanging="567"/>
    </w:pPr>
    <w:rPr>
      <w:rFonts w:cs="Arial"/>
      <w:bCs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E42717"/>
    <w:rPr>
      <w:color w:val="0000FF" w:themeColor="hyperlink"/>
      <w:u w:val="single"/>
    </w:rPr>
  </w:style>
  <w:style w:type="character" w:customStyle="1" w:styleId="MargeChar">
    <w:name w:val="Marge Char"/>
    <w:link w:val="Marge"/>
    <w:rsid w:val="00C852FB"/>
    <w:rPr>
      <w:rFonts w:ascii="Arial" w:eastAsia="Times New Roman" w:hAnsi="Arial"/>
      <w:snapToGrid w:val="0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23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3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32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324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961B1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228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IntenseEmphasis">
    <w:name w:val="Intense Emphasis"/>
    <w:aliases w:val="Texte"/>
    <w:uiPriority w:val="21"/>
    <w:rsid w:val="00AD4DC2"/>
    <w:rPr>
      <w:rFonts w:ascii="Arial" w:hAnsi="Arial" w:cs="Arial"/>
      <w:sz w:val="22"/>
    </w:rPr>
  </w:style>
  <w:style w:type="paragraph" w:customStyle="1" w:styleId="Introparagraph">
    <w:name w:val="Intro paragraph"/>
    <w:basedOn w:val="Marge"/>
    <w:link w:val="IntroparagraphChar"/>
    <w:qFormat/>
    <w:rsid w:val="00AD4DC2"/>
    <w:pPr>
      <w:tabs>
        <w:tab w:val="left" w:pos="709"/>
      </w:tabs>
      <w:autoSpaceDE w:val="0"/>
      <w:autoSpaceDN w:val="0"/>
      <w:adjustRightInd w:val="0"/>
      <w:spacing w:before="240"/>
    </w:pPr>
  </w:style>
  <w:style w:type="character" w:customStyle="1" w:styleId="IntroparagraphChar">
    <w:name w:val="Intro paragraph Char"/>
    <w:basedOn w:val="DefaultParagraphFont"/>
    <w:link w:val="Introparagraph"/>
    <w:rsid w:val="00AD4DC2"/>
    <w:rPr>
      <w:rFonts w:ascii="Arial" w:eastAsia="Times New Roman" w:hAnsi="Arial"/>
      <w:snapToGrid w:val="0"/>
      <w:sz w:val="22"/>
      <w:szCs w:val="24"/>
      <w:lang w:eastAsia="en-US"/>
    </w:rPr>
  </w:style>
  <w:style w:type="paragraph" w:customStyle="1" w:styleId="Default">
    <w:name w:val="Default"/>
    <w:rsid w:val="001C60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B6F0C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B70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86D07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981B7B"/>
    <w:rPr>
      <w:b/>
      <w:bCs/>
    </w:rPr>
  </w:style>
  <w:style w:type="paragraph" w:customStyle="1" w:styleId="GAPara">
    <w:name w:val="GA Para"/>
    <w:qFormat/>
    <w:rsid w:val="00981FF6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5GATitleResolution">
    <w:name w:val="5GA Title Resolution"/>
    <w:basedOn w:val="Normal"/>
    <w:qFormat/>
    <w:rsid w:val="00130C28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character" w:customStyle="1" w:styleId="Bullet1Char">
    <w:name w:val="Bullet_1 Char"/>
    <w:link w:val="Bullet1"/>
    <w:semiHidden/>
    <w:locked/>
    <w:rsid w:val="005B7F29"/>
    <w:rPr>
      <w:rFonts w:ascii="Arial" w:hAnsi="Arial" w:cs="Arial"/>
      <w:sz w:val="28"/>
      <w:szCs w:val="28"/>
      <w:lang w:eastAsia="zh-CN"/>
    </w:rPr>
  </w:style>
  <w:style w:type="paragraph" w:customStyle="1" w:styleId="Bullet1">
    <w:name w:val="Bullet_1"/>
    <w:basedOn w:val="Normal"/>
    <w:link w:val="Bullet1Char"/>
    <w:semiHidden/>
    <w:qFormat/>
    <w:rsid w:val="005B7F29"/>
    <w:pPr>
      <w:numPr>
        <w:numId w:val="52"/>
      </w:numPr>
      <w:snapToGrid w:val="0"/>
      <w:spacing w:before="240" w:after="240" w:line="360" w:lineRule="auto"/>
      <w:jc w:val="both"/>
    </w:pPr>
    <w:rPr>
      <w:rFonts w:ascii="Arial" w:eastAsia="SimSun" w:hAnsi="Arial" w:cs="Arial"/>
      <w:sz w:val="28"/>
      <w:szCs w:val="28"/>
      <w:lang w:eastAsia="zh-CN"/>
    </w:rPr>
  </w:style>
  <w:style w:type="paragraph" w:customStyle="1" w:styleId="Bullet2">
    <w:name w:val="Bullet_2"/>
    <w:basedOn w:val="Normal"/>
    <w:uiPriority w:val="99"/>
    <w:semiHidden/>
    <w:qFormat/>
    <w:rsid w:val="005B7F29"/>
    <w:pPr>
      <w:numPr>
        <w:ilvl w:val="1"/>
        <w:numId w:val="52"/>
      </w:numPr>
      <w:snapToGrid w:val="0"/>
      <w:spacing w:before="240" w:after="240" w:line="360" w:lineRule="auto"/>
      <w:jc w:val="both"/>
    </w:pPr>
    <w:rPr>
      <w:rFonts w:ascii="Arial" w:eastAsia="SimSun" w:hAnsi="Arial" w:cs="Arial"/>
      <w:sz w:val="28"/>
      <w:szCs w:val="2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Resolutions/6.GA/9" TargetMode="External"/><Relationship Id="rId13" Type="http://schemas.openxmlformats.org/officeDocument/2006/relationships/hyperlink" Target="https://www.helsinki.fi/en/conferences/indigenous-heritage-2017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doc/src/ITH-18-7.GA-7-EN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hyperlink" Target="https://ich.unesco.org/doc/src/ITH-16-11.COM_2.BUR-Decisions-EN.doc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ich.unesco.org/en/Decisions/10.COM/8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ch.unesco.org/en/Resolutions/6.GA/6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Sheet1!$D$5</c:f>
              <c:strCache>
                <c:ptCount val="1"/>
                <c:pt idx="0">
                  <c:v>Total allocation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Sheet1!$C$6:$C$9</c:f>
              <c:strCache>
                <c:ptCount val="4"/>
                <c:pt idx="0">
                  <c:v>35C/5</c:v>
                </c:pt>
                <c:pt idx="1">
                  <c:v>36C/5</c:v>
                </c:pt>
                <c:pt idx="2">
                  <c:v>37C/5</c:v>
                </c:pt>
                <c:pt idx="3">
                  <c:v>38C/5</c:v>
                </c:pt>
              </c:strCache>
            </c:strRef>
          </c:cat>
          <c:val>
            <c:numRef>
              <c:f>Sheet1!$D$6:$D$9</c:f>
              <c:numCache>
                <c:formatCode>#,##0</c:formatCode>
                <c:ptCount val="4"/>
                <c:pt idx="0">
                  <c:v>842653</c:v>
                </c:pt>
                <c:pt idx="1">
                  <c:v>1107810.99</c:v>
                </c:pt>
                <c:pt idx="2">
                  <c:v>1351087</c:v>
                </c:pt>
                <c:pt idx="3">
                  <c:v>1590746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C8-47A1-83D4-EBCAFE55BE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93587456"/>
        <c:axId val="218612288"/>
      </c:barChart>
      <c:lineChart>
        <c:grouping val="standard"/>
        <c:varyColors val="0"/>
        <c:ser>
          <c:idx val="1"/>
          <c:order val="1"/>
          <c:tx>
            <c:strRef>
              <c:f>Sheet1!$F$5</c:f>
              <c:strCache>
                <c:ptCount val="1"/>
                <c:pt idx="0">
                  <c:v>Expenditure rate 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2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cat>
            <c:strRef>
              <c:f>Sheet1!$C$7:$C$9</c:f>
              <c:strCache>
                <c:ptCount val="3"/>
                <c:pt idx="0">
                  <c:v>36C/5</c:v>
                </c:pt>
                <c:pt idx="1">
                  <c:v>37C/5</c:v>
                </c:pt>
                <c:pt idx="2">
                  <c:v>38C/5</c:v>
                </c:pt>
              </c:strCache>
            </c:strRef>
          </c:cat>
          <c:val>
            <c:numRef>
              <c:f>Sheet1!$F$6:$F$9</c:f>
              <c:numCache>
                <c:formatCode>0.00%</c:formatCode>
                <c:ptCount val="4"/>
                <c:pt idx="0" formatCode="0%">
                  <c:v>0.89124893639493363</c:v>
                </c:pt>
                <c:pt idx="1">
                  <c:v>0.92956120610430126</c:v>
                </c:pt>
                <c:pt idx="2" formatCode="0%">
                  <c:v>0.90203909148707673</c:v>
                </c:pt>
                <c:pt idx="3" formatCode="0.0%">
                  <c:v>0.92811184815174763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2C8-47A1-83D4-EBCAFE55BE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863872"/>
        <c:axId val="218611712"/>
      </c:lineChart>
      <c:catAx>
        <c:axId val="93587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18612288"/>
        <c:crosses val="autoZero"/>
        <c:auto val="1"/>
        <c:lblAlgn val="ctr"/>
        <c:lblOffset val="100"/>
        <c:noMultiLvlLbl val="0"/>
      </c:catAx>
      <c:valAx>
        <c:axId val="218612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93587456"/>
        <c:crosses val="autoZero"/>
        <c:crossBetween val="between"/>
      </c:valAx>
      <c:valAx>
        <c:axId val="218611712"/>
        <c:scaling>
          <c:orientation val="minMax"/>
          <c:max val="1"/>
          <c:min val="0"/>
        </c:scaling>
        <c:delete val="0"/>
        <c:axPos val="r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94863872"/>
        <c:crosses val="max"/>
        <c:crossBetween val="between"/>
      </c:valAx>
      <c:catAx>
        <c:axId val="948638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86117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BBD40-824B-4AB3-8BAB-F1859EF0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</Template>
  <TotalTime>3</TotalTime>
  <Pages>10</Pages>
  <Words>3579</Words>
  <Characters>21114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Shin, Eunkyung</cp:lastModifiedBy>
  <cp:revision>6</cp:revision>
  <cp:lastPrinted>2018-04-25T15:32:00Z</cp:lastPrinted>
  <dcterms:created xsi:type="dcterms:W3CDTF">2018-06-05T12:30:00Z</dcterms:created>
  <dcterms:modified xsi:type="dcterms:W3CDTF">2018-06-05T18:46:00Z</dcterms:modified>
</cp:coreProperties>
</file>